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bookmarkStart w:id="0" w:name="_GoBack"/>
      <w:bookmarkEnd w:id="0"/>
    </w:p>
    <w:p w:rsidR="00996DFC" w:rsidRDefault="00996DFC" w:rsidP="008E7C03"/>
    <w:p w:rsidR="00996DFC" w:rsidRDefault="00996DFC" w:rsidP="008E7C03"/>
    <w:p w:rsidR="00996DFC" w:rsidRPr="0012041D" w:rsidRDefault="00996DFC" w:rsidP="00996DFC">
      <w:pPr>
        <w:pStyle w:val="Nagwek1"/>
      </w:pPr>
      <w:bookmarkStart w:id="1" w:name="_Toc275436813"/>
      <w:bookmarkStart w:id="2" w:name="_Toc275539265"/>
      <w:bookmarkStart w:id="3" w:name="_Toc91140292"/>
      <w:r w:rsidRPr="0012041D">
        <w:t>1.</w:t>
      </w:r>
      <w:r w:rsidR="0095643F">
        <w:t xml:space="preserve"> </w:t>
      </w:r>
      <w:r w:rsidR="00A20B3F">
        <w:tab/>
      </w:r>
      <w:r>
        <w:t>OBJAŚNIENIA</w:t>
      </w:r>
      <w:bookmarkEnd w:id="1"/>
      <w:r>
        <w:t xml:space="preserve"> </w:t>
      </w:r>
      <w:r w:rsidR="00DD4F11">
        <w:t>DO WIELOLETNIEJ PROGNOZY FINANSOWEJ MIASTA STOŁECZNEGO WARSZAWY</w:t>
      </w:r>
      <w:r w:rsidR="00E04065">
        <w:br/>
      </w:r>
      <w:r w:rsidR="00DD4F11">
        <w:t>NA</w:t>
      </w:r>
      <w:r w:rsidR="008B6C19">
        <w:rPr>
          <w:rFonts w:ascii="Verdana" w:hAnsi="Verdana" w:cs="Verdana"/>
          <w:spacing w:val="-6"/>
          <w:sz w:val="18"/>
          <w:szCs w:val="18"/>
        </w:rPr>
        <w:t> </w:t>
      </w:r>
      <w:r w:rsidR="00DD4F11">
        <w:t>LATA</w:t>
      </w:r>
      <w:r w:rsidR="007A1656">
        <w:rPr>
          <w:rFonts w:ascii="Verdana" w:hAnsi="Verdana" w:cs="Verdana"/>
          <w:spacing w:val="-6"/>
          <w:sz w:val="18"/>
          <w:szCs w:val="18"/>
        </w:rPr>
        <w:t> </w:t>
      </w:r>
      <w:r w:rsidR="00BE681C">
        <w:t>2022-2050</w:t>
      </w:r>
      <w:bookmarkEnd w:id="2"/>
      <w:r w:rsidR="00B97F95">
        <w:t xml:space="preserve"> </w:t>
      </w:r>
      <w:r w:rsidR="00127C28">
        <w:t>WRAZ Z</w:t>
      </w:r>
      <w:r w:rsidR="00B97F95">
        <w:t xml:space="preserve"> POLITYK</w:t>
      </w:r>
      <w:r w:rsidR="00127C28">
        <w:t>Ą</w:t>
      </w:r>
      <w:r w:rsidR="00B97F95">
        <w:t xml:space="preserve"> DŁUGU</w:t>
      </w:r>
      <w:r w:rsidR="00B97F95">
        <w:br/>
        <w:t>MIASTA STOŁECZNEGO WARSZAWY</w:t>
      </w:r>
      <w:r w:rsidR="00B97F95">
        <w:br/>
        <w:t>EDYCJA</w:t>
      </w:r>
      <w:r w:rsidR="00B97F95">
        <w:rPr>
          <w:rFonts w:ascii="Verdana" w:hAnsi="Verdana" w:cs="Verdana"/>
          <w:spacing w:val="-6"/>
          <w:sz w:val="18"/>
          <w:szCs w:val="18"/>
        </w:rPr>
        <w:t> </w:t>
      </w:r>
      <w:r w:rsidR="00B97F95">
        <w:t>20</w:t>
      </w:r>
      <w:r w:rsidR="00794CC5">
        <w:t>2</w:t>
      </w:r>
      <w:r w:rsidR="00057881">
        <w:t>2</w:t>
      </w:r>
      <w:r w:rsidR="00B97F95">
        <w:t xml:space="preserve"> ROK</w:t>
      </w:r>
      <w:bookmarkEnd w:id="3"/>
    </w:p>
    <w:p w:rsidR="00996DFC" w:rsidRDefault="00996DFC" w:rsidP="008E7C03"/>
    <w:p w:rsidR="00996DFC" w:rsidRDefault="00996DFC" w:rsidP="008E7C03"/>
    <w:p w:rsidR="00996DFC" w:rsidRDefault="00996DFC" w:rsidP="008E7C03">
      <w:pPr>
        <w:sectPr w:rsidR="00996DFC" w:rsidSect="00492B3A">
          <w:headerReference w:type="default" r:id="rId8"/>
          <w:footerReference w:type="default" r:id="rId9"/>
          <w:type w:val="oddPage"/>
          <w:pgSz w:w="11907" w:h="16840" w:code="9"/>
          <w:pgMar w:top="1417" w:right="1417" w:bottom="1417" w:left="1417" w:header="708" w:footer="708" w:gutter="0"/>
          <w:cols w:space="708"/>
          <w:docGrid w:linePitch="360"/>
        </w:sectPr>
      </w:pPr>
    </w:p>
    <w:p w:rsidR="00F33C94" w:rsidRPr="00E04065" w:rsidRDefault="00F33C94" w:rsidP="00F33C94">
      <w:pPr>
        <w:jc w:val="center"/>
        <w:rPr>
          <w:b/>
          <w:sz w:val="20"/>
          <w:szCs w:val="20"/>
        </w:rPr>
      </w:pPr>
      <w:r w:rsidRPr="00E04065">
        <w:rPr>
          <w:b/>
          <w:sz w:val="20"/>
          <w:szCs w:val="20"/>
        </w:rPr>
        <w:lastRenderedPageBreak/>
        <w:t>SPIS TREŚCI</w:t>
      </w:r>
    </w:p>
    <w:p w:rsidR="00F33C94" w:rsidRPr="00E04065" w:rsidRDefault="00F33C94" w:rsidP="00F33C94">
      <w:pPr>
        <w:jc w:val="center"/>
        <w:rPr>
          <w:sz w:val="20"/>
          <w:szCs w:val="20"/>
        </w:rPr>
      </w:pPr>
    </w:p>
    <w:p w:rsidR="00F33C94" w:rsidRDefault="00F33C94">
      <w:pPr>
        <w:pStyle w:val="Spistreci1"/>
        <w:rPr>
          <w:rFonts w:asciiTheme="minorHAnsi" w:eastAsiaTheme="minorEastAsia" w:hAnsiTheme="minorHAnsi" w:cstheme="minorBidi"/>
          <w:b w:val="0"/>
          <w:sz w:val="22"/>
          <w:szCs w:val="22"/>
        </w:rPr>
      </w:pPr>
      <w:r>
        <w:rPr>
          <w:b w:val="0"/>
        </w:rPr>
        <w:fldChar w:fldCharType="begin"/>
      </w:r>
      <w:r>
        <w:rPr>
          <w:b w:val="0"/>
        </w:rPr>
        <w:instrText xml:space="preserve"> TOC \o "1-7" \h \z \u </w:instrText>
      </w:r>
      <w:r>
        <w:rPr>
          <w:b w:val="0"/>
        </w:rPr>
        <w:fldChar w:fldCharType="separate"/>
      </w:r>
      <w:hyperlink w:anchor="_Toc91140292" w:history="1">
        <w:r w:rsidRPr="001D0575">
          <w:rPr>
            <w:rStyle w:val="Hipercze"/>
          </w:rPr>
          <w:t xml:space="preserve">1. </w:t>
        </w:r>
        <w:r>
          <w:rPr>
            <w:rFonts w:asciiTheme="minorHAnsi" w:eastAsiaTheme="minorEastAsia" w:hAnsiTheme="minorHAnsi" w:cstheme="minorBidi"/>
            <w:b w:val="0"/>
            <w:sz w:val="22"/>
            <w:szCs w:val="22"/>
          </w:rPr>
          <w:tab/>
        </w:r>
        <w:r w:rsidRPr="001D0575">
          <w:rPr>
            <w:rStyle w:val="Hipercze"/>
          </w:rPr>
          <w:t>OBJAŚNIENIA DO WIELOLETNIEJ PROGNOZY FINANSOWEJ MIASTA STOŁECZNEGO WARSZAWY NA</w:t>
        </w:r>
        <w:r w:rsidRPr="001D0575">
          <w:rPr>
            <w:rStyle w:val="Hipercze"/>
            <w:rFonts w:ascii="Verdana" w:hAnsi="Verdana" w:cs="Verdana"/>
            <w:spacing w:val="-6"/>
          </w:rPr>
          <w:t> </w:t>
        </w:r>
        <w:r w:rsidRPr="001D0575">
          <w:rPr>
            <w:rStyle w:val="Hipercze"/>
          </w:rPr>
          <w:t>LATA</w:t>
        </w:r>
        <w:r w:rsidRPr="001D0575">
          <w:rPr>
            <w:rStyle w:val="Hipercze"/>
            <w:rFonts w:ascii="Verdana" w:hAnsi="Verdana" w:cs="Verdana"/>
            <w:spacing w:val="-6"/>
          </w:rPr>
          <w:t> </w:t>
        </w:r>
        <w:r w:rsidRPr="001D0575">
          <w:rPr>
            <w:rStyle w:val="Hipercze"/>
          </w:rPr>
          <w:t>2022-2050 WRAZ Z POLITYKĄ DŁUGU MIASTA STOŁECZNEGO WARSZAWY EDYCJA</w:t>
        </w:r>
        <w:r w:rsidRPr="001D0575">
          <w:rPr>
            <w:rStyle w:val="Hipercze"/>
            <w:rFonts w:ascii="Verdana" w:hAnsi="Verdana" w:cs="Verdana"/>
            <w:spacing w:val="-6"/>
          </w:rPr>
          <w:t> </w:t>
        </w:r>
        <w:r w:rsidRPr="001D0575">
          <w:rPr>
            <w:rStyle w:val="Hipercze"/>
          </w:rPr>
          <w:t>2022 ROK</w:t>
        </w:r>
        <w:r>
          <w:rPr>
            <w:webHidden/>
          </w:rPr>
          <w:tab/>
        </w:r>
        <w:r>
          <w:rPr>
            <w:webHidden/>
          </w:rPr>
          <w:fldChar w:fldCharType="begin"/>
        </w:r>
        <w:r>
          <w:rPr>
            <w:webHidden/>
          </w:rPr>
          <w:instrText xml:space="preserve"> PAGEREF _Toc91140292 \h </w:instrText>
        </w:r>
        <w:r>
          <w:rPr>
            <w:webHidden/>
          </w:rPr>
        </w:r>
        <w:r>
          <w:rPr>
            <w:webHidden/>
          </w:rPr>
          <w:fldChar w:fldCharType="separate"/>
        </w:r>
        <w:r>
          <w:rPr>
            <w:webHidden/>
          </w:rPr>
          <w:t>1</w:t>
        </w:r>
        <w:r>
          <w:rPr>
            <w:webHidden/>
          </w:rPr>
          <w:fldChar w:fldCharType="end"/>
        </w:r>
      </w:hyperlink>
    </w:p>
    <w:p w:rsidR="00F33C94" w:rsidRDefault="00F33C94">
      <w:pPr>
        <w:pStyle w:val="Spistreci4"/>
        <w:rPr>
          <w:rFonts w:asciiTheme="minorHAnsi" w:eastAsiaTheme="minorEastAsia" w:hAnsiTheme="minorHAnsi" w:cstheme="minorBidi"/>
          <w:sz w:val="22"/>
          <w:szCs w:val="22"/>
        </w:rPr>
      </w:pPr>
      <w:hyperlink w:anchor="_Toc91140293" w:history="1">
        <w:r w:rsidRPr="001D0575">
          <w:rPr>
            <w:rStyle w:val="Hipercze"/>
          </w:rPr>
          <w:t>1.1. OBJAŚNIENIA DO WIELOLETNIEJ PROGNOZY FINANSOWEJ MIASTA STOŁECZNEGO WARSZAWY NA</w:t>
        </w:r>
        <w:r w:rsidRPr="001D0575">
          <w:rPr>
            <w:rStyle w:val="Hipercze"/>
            <w:rFonts w:ascii="Verdana" w:hAnsi="Verdana" w:cs="Verdana"/>
            <w:spacing w:val="-6"/>
          </w:rPr>
          <w:t> </w:t>
        </w:r>
        <w:r w:rsidRPr="001D0575">
          <w:rPr>
            <w:rStyle w:val="Hipercze"/>
          </w:rPr>
          <w:t>LATA</w:t>
        </w:r>
        <w:r w:rsidRPr="001D0575">
          <w:rPr>
            <w:rStyle w:val="Hipercze"/>
            <w:rFonts w:ascii="Verdana" w:hAnsi="Verdana" w:cs="Verdana"/>
            <w:spacing w:val="-6"/>
          </w:rPr>
          <w:t> </w:t>
        </w:r>
        <w:r w:rsidRPr="001D0575">
          <w:rPr>
            <w:rStyle w:val="Hipercze"/>
          </w:rPr>
          <w:t>2022-2050</w:t>
        </w:r>
        <w:r>
          <w:rPr>
            <w:webHidden/>
          </w:rPr>
          <w:tab/>
        </w:r>
        <w:r>
          <w:rPr>
            <w:webHidden/>
          </w:rPr>
          <w:fldChar w:fldCharType="begin"/>
        </w:r>
        <w:r>
          <w:rPr>
            <w:webHidden/>
          </w:rPr>
          <w:instrText xml:space="preserve"> PAGEREF _Toc91140293 \h </w:instrText>
        </w:r>
        <w:r>
          <w:rPr>
            <w:webHidden/>
          </w:rPr>
        </w:r>
        <w:r>
          <w:rPr>
            <w:webHidden/>
          </w:rPr>
          <w:fldChar w:fldCharType="separate"/>
        </w:r>
        <w:r>
          <w:rPr>
            <w:webHidden/>
          </w:rPr>
          <w:t>5</w:t>
        </w:r>
        <w:r>
          <w:rPr>
            <w:webHidden/>
          </w:rPr>
          <w:fldChar w:fldCharType="end"/>
        </w:r>
      </w:hyperlink>
    </w:p>
    <w:p w:rsidR="00F33C94" w:rsidRDefault="00F33C94">
      <w:pPr>
        <w:pStyle w:val="Spistreci4"/>
        <w:rPr>
          <w:rFonts w:asciiTheme="minorHAnsi" w:eastAsiaTheme="minorEastAsia" w:hAnsiTheme="minorHAnsi" w:cstheme="minorBidi"/>
          <w:sz w:val="22"/>
          <w:szCs w:val="22"/>
        </w:rPr>
      </w:pPr>
      <w:hyperlink w:anchor="_Toc91140294" w:history="1">
        <w:r w:rsidRPr="001D0575">
          <w:rPr>
            <w:rStyle w:val="Hipercze"/>
          </w:rPr>
          <w:t>1.2. POLITYKA DŁUGU MIASTA STOŁECZNEGO WARSZAWY EDYCJA 2022 ROK</w:t>
        </w:r>
        <w:r>
          <w:rPr>
            <w:webHidden/>
          </w:rPr>
          <w:tab/>
        </w:r>
        <w:r>
          <w:rPr>
            <w:webHidden/>
          </w:rPr>
          <w:fldChar w:fldCharType="begin"/>
        </w:r>
        <w:r>
          <w:rPr>
            <w:webHidden/>
          </w:rPr>
          <w:instrText xml:space="preserve"> PAGEREF _Toc91140294 \h </w:instrText>
        </w:r>
        <w:r>
          <w:rPr>
            <w:webHidden/>
          </w:rPr>
        </w:r>
        <w:r>
          <w:rPr>
            <w:webHidden/>
          </w:rPr>
          <w:fldChar w:fldCharType="separate"/>
        </w:r>
        <w:r>
          <w:rPr>
            <w:webHidden/>
          </w:rPr>
          <w:t>73</w:t>
        </w:r>
        <w:r>
          <w:rPr>
            <w:webHidden/>
          </w:rPr>
          <w:fldChar w:fldCharType="end"/>
        </w:r>
      </w:hyperlink>
    </w:p>
    <w:p w:rsidR="00F33C94" w:rsidRDefault="00F33C94" w:rsidP="00F33C94">
      <w:pPr>
        <w:rPr>
          <w:b/>
          <w:noProof/>
          <w:sz w:val="16"/>
        </w:rPr>
        <w:sectPr w:rsidR="00F33C94" w:rsidSect="00492B3A">
          <w:headerReference w:type="default" r:id="rId10"/>
          <w:type w:val="oddPage"/>
          <w:pgSz w:w="11907" w:h="16840" w:code="9"/>
          <w:pgMar w:top="1417" w:right="1417" w:bottom="1417" w:left="1417" w:header="708" w:footer="708" w:gutter="0"/>
          <w:cols w:space="708"/>
          <w:docGrid w:linePitch="360"/>
        </w:sectPr>
      </w:pPr>
      <w:r>
        <w:rPr>
          <w:b/>
          <w:noProof/>
          <w:sz w:val="16"/>
        </w:rPr>
        <w:fldChar w:fldCharType="end"/>
      </w:r>
    </w:p>
    <w:p w:rsidR="008D4CD7" w:rsidRDefault="008D4CD7" w:rsidP="00F33C94"/>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Default="008D4CD7" w:rsidP="008D4CD7"/>
    <w:p w:rsidR="008D4CD7" w:rsidRPr="0012041D" w:rsidRDefault="008D4CD7" w:rsidP="008D4CD7">
      <w:pPr>
        <w:pStyle w:val="Nagwek4"/>
      </w:pPr>
      <w:bookmarkStart w:id="4" w:name="_Toc91140293"/>
      <w:r w:rsidRPr="0012041D">
        <w:t>1.</w:t>
      </w:r>
      <w:r>
        <w:t>1. OBJAŚNIENIA DO</w:t>
      </w:r>
      <w:r w:rsidR="00C52CC0">
        <w:br/>
      </w:r>
      <w:r>
        <w:t>WIELOLETNIEJ PROGNOZY FINANSOWEJ</w:t>
      </w:r>
      <w:r w:rsidR="00C52CC0">
        <w:br/>
      </w:r>
      <w:r>
        <w:t>MIASTA STOŁECZNEGO WARSZAWY</w:t>
      </w:r>
      <w:r>
        <w:br/>
        <w:t>NA</w:t>
      </w:r>
      <w:r>
        <w:rPr>
          <w:rFonts w:ascii="Verdana" w:hAnsi="Verdana" w:cs="Verdana"/>
          <w:spacing w:val="-6"/>
          <w:sz w:val="18"/>
          <w:szCs w:val="18"/>
        </w:rPr>
        <w:t> </w:t>
      </w:r>
      <w:r>
        <w:t>LATA</w:t>
      </w:r>
      <w:r>
        <w:rPr>
          <w:rFonts w:ascii="Verdana" w:hAnsi="Verdana" w:cs="Verdana"/>
          <w:spacing w:val="-6"/>
          <w:sz w:val="18"/>
          <w:szCs w:val="18"/>
        </w:rPr>
        <w:t> </w:t>
      </w:r>
      <w:r w:rsidR="00BE681C">
        <w:t>2022-2050</w:t>
      </w:r>
      <w:bookmarkEnd w:id="4"/>
    </w:p>
    <w:p w:rsidR="008D4CD7" w:rsidRDefault="008D4CD7" w:rsidP="008D4CD7"/>
    <w:p w:rsidR="008D4CD7" w:rsidRDefault="008D4CD7" w:rsidP="008D4CD7">
      <w:pPr>
        <w:sectPr w:rsidR="008D4CD7" w:rsidSect="00492B3A">
          <w:type w:val="oddPage"/>
          <w:pgSz w:w="11907" w:h="16840" w:code="9"/>
          <w:pgMar w:top="1417" w:right="1417" w:bottom="1417" w:left="1417" w:header="708" w:footer="708" w:gutter="0"/>
          <w:cols w:space="708"/>
          <w:docGrid w:linePitch="360"/>
        </w:sectPr>
      </w:pPr>
    </w:p>
    <w:p w:rsidR="007F07DD" w:rsidRPr="00EC1297" w:rsidRDefault="007F07DD" w:rsidP="007F07DD">
      <w:pPr>
        <w:spacing w:before="120" w:after="120"/>
        <w:rPr>
          <w:rFonts w:ascii="Verdana" w:hAnsi="Verdana"/>
          <w:sz w:val="22"/>
          <w:szCs w:val="22"/>
        </w:rPr>
      </w:pPr>
      <w:r w:rsidRPr="00EC1297">
        <w:rPr>
          <w:rFonts w:ascii="Verdana" w:hAnsi="Verdana"/>
          <w:b/>
          <w:bCs/>
          <w:sz w:val="22"/>
          <w:szCs w:val="22"/>
        </w:rPr>
        <w:lastRenderedPageBreak/>
        <w:t>1. Wstęp</w:t>
      </w:r>
    </w:p>
    <w:p w:rsidR="007F07DD" w:rsidRPr="000A6485" w:rsidRDefault="007F07DD" w:rsidP="007F07DD">
      <w:pPr>
        <w:spacing w:before="240" w:after="60"/>
        <w:ind w:firstLine="539"/>
        <w:jc w:val="both"/>
        <w:rPr>
          <w:rFonts w:ascii="Verdana" w:hAnsi="Verdana" w:cs="Arial"/>
          <w:iCs/>
          <w:sz w:val="16"/>
          <w:szCs w:val="16"/>
        </w:rPr>
      </w:pPr>
      <w:r w:rsidRPr="009C3288">
        <w:rPr>
          <w:rFonts w:ascii="Verdana" w:hAnsi="Verdana"/>
          <w:sz w:val="16"/>
          <w:szCs w:val="16"/>
        </w:rPr>
        <w:t xml:space="preserve">Wieloletnia </w:t>
      </w:r>
      <w:r>
        <w:rPr>
          <w:rFonts w:ascii="Verdana" w:hAnsi="Verdana"/>
          <w:sz w:val="16"/>
          <w:szCs w:val="16"/>
        </w:rPr>
        <w:t>P</w:t>
      </w:r>
      <w:r w:rsidRPr="009C3288">
        <w:rPr>
          <w:rFonts w:ascii="Verdana" w:hAnsi="Verdana"/>
          <w:sz w:val="16"/>
          <w:szCs w:val="16"/>
        </w:rPr>
        <w:t xml:space="preserve">rognoza </w:t>
      </w:r>
      <w:r>
        <w:rPr>
          <w:rFonts w:ascii="Verdana" w:hAnsi="Verdana"/>
          <w:sz w:val="16"/>
          <w:szCs w:val="16"/>
        </w:rPr>
        <w:t>F</w:t>
      </w:r>
      <w:r w:rsidRPr="009C3288">
        <w:rPr>
          <w:rFonts w:ascii="Verdana" w:hAnsi="Verdana"/>
          <w:sz w:val="16"/>
          <w:szCs w:val="16"/>
        </w:rPr>
        <w:t>inansowa</w:t>
      </w:r>
      <w:r>
        <w:rPr>
          <w:rFonts w:ascii="Verdana" w:hAnsi="Verdana"/>
          <w:sz w:val="16"/>
          <w:szCs w:val="16"/>
        </w:rPr>
        <w:t xml:space="preserve"> (WPF)</w:t>
      </w:r>
      <w:r w:rsidRPr="009C3288">
        <w:rPr>
          <w:rFonts w:ascii="Verdana" w:hAnsi="Verdana"/>
          <w:sz w:val="16"/>
          <w:szCs w:val="16"/>
        </w:rPr>
        <w:t xml:space="preserve"> stanowi</w:t>
      </w:r>
      <w:r>
        <w:rPr>
          <w:rFonts w:ascii="Verdana" w:hAnsi="Verdana"/>
          <w:sz w:val="16"/>
          <w:szCs w:val="16"/>
        </w:rPr>
        <w:t>ąca</w:t>
      </w:r>
      <w:r w:rsidRPr="009C3288">
        <w:rPr>
          <w:rFonts w:ascii="Verdana" w:hAnsi="Verdana"/>
          <w:sz w:val="16"/>
          <w:szCs w:val="16"/>
        </w:rPr>
        <w:t xml:space="preserve"> instrument zarządzania finansami </w:t>
      </w:r>
      <w:r>
        <w:rPr>
          <w:rFonts w:ascii="Verdana" w:hAnsi="Verdana"/>
          <w:sz w:val="16"/>
          <w:szCs w:val="16"/>
        </w:rPr>
        <w:t>m.st. Warszawy</w:t>
      </w:r>
      <w:r w:rsidRPr="009C3288">
        <w:rPr>
          <w:rFonts w:ascii="Verdana" w:hAnsi="Verdana"/>
          <w:sz w:val="16"/>
          <w:szCs w:val="16"/>
        </w:rPr>
        <w:t xml:space="preserve"> </w:t>
      </w:r>
      <w:r>
        <w:rPr>
          <w:rFonts w:ascii="Verdana" w:hAnsi="Verdana"/>
          <w:sz w:val="16"/>
          <w:szCs w:val="16"/>
        </w:rPr>
        <w:t>opracowywana jest</w:t>
      </w:r>
      <w:r w:rsidRPr="000A6485">
        <w:rPr>
          <w:rFonts w:ascii="Verdana" w:hAnsi="Verdana"/>
          <w:sz w:val="16"/>
          <w:szCs w:val="16"/>
        </w:rPr>
        <w:t xml:space="preserve"> zgodnie z przepisami ustawy z dnia 27 sierpnia 2009 r. </w:t>
      </w:r>
      <w:r w:rsidRPr="00494813">
        <w:rPr>
          <w:rFonts w:ascii="Verdana" w:hAnsi="Verdana" w:cs="Arial"/>
          <w:i/>
          <w:iCs/>
          <w:sz w:val="16"/>
          <w:szCs w:val="16"/>
        </w:rPr>
        <w:t>o finansach publicznych</w:t>
      </w:r>
      <w:r w:rsidRPr="000A6485">
        <w:rPr>
          <w:rFonts w:ascii="Verdana" w:hAnsi="Verdana" w:cs="Arial"/>
          <w:iCs/>
          <w:sz w:val="16"/>
          <w:szCs w:val="16"/>
        </w:rPr>
        <w:t xml:space="preserve"> (</w:t>
      </w:r>
      <w:r>
        <w:rPr>
          <w:rFonts w:ascii="Verdana" w:hAnsi="Verdana"/>
          <w:sz w:val="16"/>
          <w:szCs w:val="16"/>
        </w:rPr>
        <w:t>Dz.</w:t>
      </w:r>
      <w:r w:rsidRPr="000A6485">
        <w:rPr>
          <w:rFonts w:ascii="Verdana" w:hAnsi="Verdana"/>
          <w:sz w:val="16"/>
          <w:szCs w:val="16"/>
        </w:rPr>
        <w:t xml:space="preserve">U. </w:t>
      </w:r>
      <w:r>
        <w:rPr>
          <w:rFonts w:ascii="Verdana" w:hAnsi="Verdana"/>
          <w:sz w:val="16"/>
          <w:szCs w:val="16"/>
        </w:rPr>
        <w:br/>
      </w:r>
      <w:r w:rsidRPr="000A6485">
        <w:rPr>
          <w:rFonts w:ascii="Verdana" w:hAnsi="Verdana"/>
          <w:sz w:val="16"/>
          <w:szCs w:val="16"/>
        </w:rPr>
        <w:t>z 20</w:t>
      </w:r>
      <w:r>
        <w:rPr>
          <w:rFonts w:ascii="Verdana" w:hAnsi="Verdana"/>
          <w:sz w:val="16"/>
          <w:szCs w:val="16"/>
        </w:rPr>
        <w:t>21</w:t>
      </w:r>
      <w:r w:rsidRPr="000A6485">
        <w:rPr>
          <w:rFonts w:ascii="Verdana" w:hAnsi="Verdana"/>
          <w:sz w:val="16"/>
          <w:szCs w:val="16"/>
        </w:rPr>
        <w:t xml:space="preserve"> r. poz. </w:t>
      </w:r>
      <w:r>
        <w:rPr>
          <w:rFonts w:ascii="Verdana" w:hAnsi="Verdana"/>
          <w:sz w:val="16"/>
          <w:szCs w:val="16"/>
        </w:rPr>
        <w:t>305, 1236, 1535, 1773, 1927, 1981, 2054 i 2270</w:t>
      </w:r>
      <w:r w:rsidRPr="000A6485">
        <w:rPr>
          <w:rFonts w:ascii="Verdana" w:hAnsi="Verdana"/>
          <w:sz w:val="16"/>
          <w:szCs w:val="16"/>
        </w:rPr>
        <w:t>)</w:t>
      </w:r>
      <w:r w:rsidRPr="000A6485">
        <w:rPr>
          <w:rFonts w:ascii="Verdana" w:hAnsi="Verdana" w:cs="Arial"/>
          <w:iCs/>
          <w:sz w:val="16"/>
          <w:szCs w:val="16"/>
        </w:rPr>
        <w:t xml:space="preserve"> – zwanej dalej </w:t>
      </w:r>
      <w:r w:rsidRPr="000A6485">
        <w:rPr>
          <w:rFonts w:ascii="Verdana" w:hAnsi="Verdana" w:cs="Arial"/>
          <w:i/>
          <w:iCs/>
          <w:sz w:val="16"/>
          <w:szCs w:val="16"/>
        </w:rPr>
        <w:t>ustawą o finansach publicznych</w:t>
      </w:r>
      <w:r w:rsidRPr="000A6485">
        <w:rPr>
          <w:rFonts w:ascii="Verdana" w:hAnsi="Verdana" w:cs="Arial"/>
          <w:iCs/>
          <w:sz w:val="16"/>
          <w:szCs w:val="16"/>
        </w:rPr>
        <w:t xml:space="preserve">. </w:t>
      </w:r>
    </w:p>
    <w:p w:rsidR="007F07DD" w:rsidRPr="000A6485" w:rsidRDefault="007F07DD" w:rsidP="007F07DD">
      <w:pPr>
        <w:spacing w:before="60" w:after="60"/>
        <w:ind w:firstLine="539"/>
        <w:jc w:val="both"/>
        <w:rPr>
          <w:rFonts w:ascii="Verdana" w:hAnsi="Verdana" w:cs="Arial"/>
          <w:iCs/>
          <w:sz w:val="16"/>
          <w:szCs w:val="16"/>
        </w:rPr>
      </w:pPr>
      <w:r w:rsidRPr="000A6485">
        <w:rPr>
          <w:rFonts w:ascii="Verdana" w:hAnsi="Verdana"/>
          <w:sz w:val="16"/>
          <w:szCs w:val="16"/>
        </w:rPr>
        <w:t xml:space="preserve">WPF jest dokumentem strategicznym służącym ocenie długoterminowego potencjału m.st. Warszawy, </w:t>
      </w:r>
      <w:r w:rsidRPr="000A6485">
        <w:rPr>
          <w:rFonts w:ascii="Verdana" w:hAnsi="Verdana"/>
          <w:sz w:val="16"/>
          <w:szCs w:val="16"/>
        </w:rPr>
        <w:br/>
        <w:t>tworzonym w celu opracowania prognozy niezbędnych wydatków bieżących oraz ustalenia możliwości inwestycyjnych w kontekście efektywnego zarządzania środkami zwrotnymi, finansującymi potrzeby rozwojowe.</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WPF to także dokument podnoszący poziom transparentności, przejrzystości i jawności finansów </w:t>
      </w:r>
      <w:r w:rsidRPr="000A6485">
        <w:rPr>
          <w:rFonts w:ascii="Verdana" w:hAnsi="Verdana"/>
          <w:sz w:val="16"/>
          <w:szCs w:val="16"/>
        </w:rPr>
        <w:br/>
        <w:t>m.st. Warszawy, służący między innymi ocenie jej standingu finansowego i zdolności kredytowej.</w:t>
      </w:r>
    </w:p>
    <w:p w:rsidR="007F07DD" w:rsidRPr="000A6485" w:rsidRDefault="007F07DD" w:rsidP="007F07DD">
      <w:pPr>
        <w:spacing w:before="60" w:after="60"/>
        <w:jc w:val="both"/>
        <w:rPr>
          <w:rFonts w:ascii="Verdana" w:hAnsi="Verdana" w:cs="Arial"/>
          <w:iCs/>
          <w:sz w:val="16"/>
          <w:szCs w:val="16"/>
        </w:rPr>
      </w:pPr>
      <w:r w:rsidRPr="000A6485">
        <w:rPr>
          <w:rFonts w:ascii="Verdana" w:hAnsi="Verdana" w:cs="Arial"/>
          <w:iCs/>
          <w:sz w:val="16"/>
          <w:szCs w:val="16"/>
        </w:rPr>
        <w:t>Załączniki do WPF</w:t>
      </w:r>
      <w:r>
        <w:rPr>
          <w:rFonts w:ascii="Verdana" w:hAnsi="Verdana" w:cs="Arial"/>
          <w:iCs/>
          <w:sz w:val="16"/>
          <w:szCs w:val="16"/>
        </w:rPr>
        <w:t xml:space="preserve"> m.st. Warszawy na lata </w:t>
      </w:r>
      <w:r w:rsidRPr="0090283F">
        <w:rPr>
          <w:rFonts w:ascii="Verdana" w:eastAsiaTheme="minorEastAsia" w:hAnsi="Verdana" w:cs="Verdana"/>
          <w:color w:val="000000"/>
          <w:sz w:val="16"/>
          <w:szCs w:val="16"/>
        </w:rPr>
        <w:t>2022</w:t>
      </w:r>
      <w:r w:rsidRPr="000A6485">
        <w:rPr>
          <w:rFonts w:ascii="Verdana" w:hAnsi="Verdana" w:cs="Arial"/>
          <w:iCs/>
          <w:sz w:val="16"/>
          <w:szCs w:val="16"/>
        </w:rPr>
        <w:t>-2050, tj.:</w:t>
      </w:r>
    </w:p>
    <w:p w:rsidR="007F07DD" w:rsidRPr="000A6485" w:rsidRDefault="007F07DD" w:rsidP="007F07DD">
      <w:pPr>
        <w:pStyle w:val="Akapitzlist"/>
        <w:numPr>
          <w:ilvl w:val="0"/>
          <w:numId w:val="36"/>
        </w:numPr>
        <w:spacing w:before="60" w:after="60"/>
        <w:ind w:left="567" w:hanging="207"/>
        <w:contextualSpacing w:val="0"/>
        <w:rPr>
          <w:rFonts w:ascii="Verdana" w:hAnsi="Verdana" w:cs="Arial"/>
          <w:i/>
          <w:iCs/>
          <w:sz w:val="16"/>
          <w:szCs w:val="16"/>
        </w:rPr>
      </w:pPr>
      <w:r w:rsidRPr="000A6485">
        <w:rPr>
          <w:rFonts w:ascii="Verdana" w:hAnsi="Verdana" w:cs="Arial"/>
          <w:iCs/>
          <w:sz w:val="16"/>
          <w:szCs w:val="16"/>
        </w:rPr>
        <w:t>załącznik nr 1 –</w:t>
      </w:r>
      <w:r>
        <w:rPr>
          <w:rFonts w:ascii="Verdana" w:hAnsi="Verdana" w:cs="Arial"/>
          <w:i/>
          <w:iCs/>
          <w:sz w:val="16"/>
          <w:szCs w:val="16"/>
        </w:rPr>
        <w:t>Wieloletnia Prognoza</w:t>
      </w:r>
      <w:r w:rsidRPr="000A6485">
        <w:rPr>
          <w:rFonts w:ascii="Verdana" w:hAnsi="Verdana" w:cs="Arial"/>
          <w:i/>
          <w:iCs/>
          <w:sz w:val="16"/>
          <w:szCs w:val="16"/>
        </w:rPr>
        <w:t xml:space="preserve"> Finan</w:t>
      </w:r>
      <w:r>
        <w:rPr>
          <w:rFonts w:ascii="Verdana" w:hAnsi="Verdana" w:cs="Arial"/>
          <w:i/>
          <w:iCs/>
          <w:sz w:val="16"/>
          <w:szCs w:val="16"/>
        </w:rPr>
        <w:t xml:space="preserve">sowa m.st. Warszawy na lata </w:t>
      </w:r>
      <w:r w:rsidRPr="0090283F">
        <w:rPr>
          <w:rFonts w:ascii="Verdana" w:eastAsiaTheme="minorEastAsia" w:hAnsi="Verdana" w:cs="Verdana"/>
          <w:i/>
          <w:color w:val="000000"/>
          <w:sz w:val="16"/>
          <w:szCs w:val="16"/>
        </w:rPr>
        <w:t>2022</w:t>
      </w:r>
      <w:r w:rsidRPr="000A6485">
        <w:rPr>
          <w:rFonts w:ascii="Verdana" w:hAnsi="Verdana" w:cs="Arial"/>
          <w:i/>
          <w:iCs/>
          <w:sz w:val="16"/>
          <w:szCs w:val="16"/>
        </w:rPr>
        <w:t>-2050</w:t>
      </w:r>
      <w:r w:rsidRPr="000A6485">
        <w:rPr>
          <w:rFonts w:ascii="Verdana" w:hAnsi="Verdana" w:cs="Arial"/>
          <w:iCs/>
          <w:sz w:val="16"/>
          <w:szCs w:val="16"/>
        </w:rPr>
        <w:t xml:space="preserve"> </w:t>
      </w:r>
      <w:r>
        <w:rPr>
          <w:rFonts w:ascii="Verdana" w:hAnsi="Verdana" w:cs="Arial"/>
          <w:iCs/>
          <w:sz w:val="16"/>
          <w:szCs w:val="16"/>
        </w:rPr>
        <w:br/>
        <w:t xml:space="preserve">                       </w:t>
      </w:r>
      <w:r w:rsidRPr="000A6485">
        <w:rPr>
          <w:rFonts w:ascii="Verdana" w:hAnsi="Verdana" w:cs="Arial"/>
          <w:iCs/>
          <w:sz w:val="16"/>
          <w:szCs w:val="16"/>
        </w:rPr>
        <w:t>(układ formalny WPF)</w:t>
      </w:r>
      <w:r w:rsidRPr="000A6485">
        <w:rPr>
          <w:rFonts w:ascii="Verdana" w:hAnsi="Verdana" w:cs="Arial"/>
          <w:i/>
          <w:iCs/>
          <w:sz w:val="16"/>
          <w:szCs w:val="16"/>
        </w:rPr>
        <w:t>;</w:t>
      </w:r>
    </w:p>
    <w:p w:rsidR="007F07DD" w:rsidRPr="000A6485" w:rsidRDefault="007F07DD" w:rsidP="007F07DD">
      <w:pPr>
        <w:pStyle w:val="Akapitzlist"/>
        <w:numPr>
          <w:ilvl w:val="0"/>
          <w:numId w:val="36"/>
        </w:numPr>
        <w:spacing w:before="60" w:after="60"/>
        <w:ind w:left="567" w:hanging="207"/>
        <w:contextualSpacing w:val="0"/>
        <w:jc w:val="both"/>
        <w:rPr>
          <w:rFonts w:ascii="Verdana" w:hAnsi="Verdana" w:cs="Arial"/>
          <w:i/>
          <w:iCs/>
          <w:sz w:val="16"/>
          <w:szCs w:val="16"/>
        </w:rPr>
      </w:pPr>
      <w:r w:rsidRPr="000A6485">
        <w:rPr>
          <w:rFonts w:ascii="Verdana" w:hAnsi="Verdana" w:cs="Arial"/>
          <w:iCs/>
          <w:sz w:val="16"/>
          <w:szCs w:val="16"/>
        </w:rPr>
        <w:t xml:space="preserve">załącznik nr 2 – </w:t>
      </w:r>
      <w:r w:rsidRPr="000A6485">
        <w:rPr>
          <w:rFonts w:ascii="Verdana" w:hAnsi="Verdana" w:cs="Arial"/>
          <w:i/>
          <w:iCs/>
          <w:sz w:val="16"/>
          <w:szCs w:val="16"/>
        </w:rPr>
        <w:t>Wykaz przedsięwzięć wielolet</w:t>
      </w:r>
      <w:r>
        <w:rPr>
          <w:rFonts w:ascii="Verdana" w:hAnsi="Verdana" w:cs="Arial"/>
          <w:i/>
          <w:iCs/>
          <w:sz w:val="16"/>
          <w:szCs w:val="16"/>
        </w:rPr>
        <w:t xml:space="preserve">nich m.st. Warszawy na lata </w:t>
      </w:r>
      <w:r w:rsidRPr="0090283F">
        <w:rPr>
          <w:rFonts w:ascii="Verdana" w:eastAsiaTheme="minorEastAsia" w:hAnsi="Verdana" w:cs="Verdana"/>
          <w:i/>
          <w:color w:val="000000"/>
          <w:sz w:val="16"/>
          <w:szCs w:val="16"/>
        </w:rPr>
        <w:t>2022</w:t>
      </w:r>
      <w:r w:rsidRPr="000A6485">
        <w:rPr>
          <w:rFonts w:ascii="Verdana" w:hAnsi="Verdana" w:cs="Arial"/>
          <w:i/>
          <w:iCs/>
          <w:sz w:val="16"/>
          <w:szCs w:val="16"/>
        </w:rPr>
        <w:t>-2050;</w:t>
      </w:r>
    </w:p>
    <w:p w:rsidR="007F07DD" w:rsidRPr="000A6485" w:rsidRDefault="007F07DD" w:rsidP="007F07DD">
      <w:pPr>
        <w:spacing w:before="60" w:after="60"/>
        <w:jc w:val="both"/>
        <w:rPr>
          <w:rFonts w:ascii="Verdana" w:hAnsi="Verdana" w:cs="Arial"/>
          <w:iCs/>
          <w:sz w:val="16"/>
          <w:szCs w:val="16"/>
        </w:rPr>
      </w:pPr>
      <w:r w:rsidRPr="000A6485">
        <w:rPr>
          <w:rFonts w:ascii="Verdana" w:hAnsi="Verdana"/>
          <w:sz w:val="16"/>
          <w:szCs w:val="16"/>
        </w:rPr>
        <w:t xml:space="preserve">są zgodne co do formy z wzorami powyższych załączników określonymi w rozporządzeniu Ministra Finansów </w:t>
      </w:r>
      <w:r w:rsidRPr="000A6485">
        <w:rPr>
          <w:rFonts w:ascii="Verdana" w:hAnsi="Verdana"/>
          <w:sz w:val="16"/>
          <w:szCs w:val="16"/>
        </w:rPr>
        <w:br/>
        <w:t xml:space="preserve">z dnia 10 stycznia 2013 r. </w:t>
      </w:r>
      <w:r w:rsidRPr="00494813">
        <w:rPr>
          <w:rFonts w:ascii="Verdana" w:hAnsi="Verdana"/>
          <w:i/>
          <w:sz w:val="16"/>
          <w:szCs w:val="16"/>
        </w:rPr>
        <w:t>w sprawie wieloletniej prognozy finansowej jednostki samorządu terytorialnego</w:t>
      </w:r>
      <w:r w:rsidRPr="000A6485">
        <w:rPr>
          <w:rFonts w:ascii="Verdana" w:hAnsi="Verdana"/>
          <w:sz w:val="16"/>
          <w:szCs w:val="16"/>
        </w:rPr>
        <w:t xml:space="preserve"> </w:t>
      </w:r>
      <w:r w:rsidRPr="000A6485">
        <w:rPr>
          <w:rFonts w:ascii="Verdana" w:hAnsi="Verdana"/>
          <w:sz w:val="16"/>
          <w:szCs w:val="16"/>
        </w:rPr>
        <w:br/>
      </w:r>
      <w:r>
        <w:rPr>
          <w:rFonts w:ascii="Verdana" w:hAnsi="Verdana"/>
          <w:sz w:val="16"/>
          <w:szCs w:val="16"/>
        </w:rPr>
        <w:t>(Dz.U.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wydanym na podstawie art. 230b ustawy o finansach publicznych, który został wprowadzony art. 8 ust. 9 ustawy z dnia 7 grudnia 2012 r. </w:t>
      </w:r>
      <w:r w:rsidRPr="00D14800">
        <w:rPr>
          <w:rFonts w:ascii="Verdana" w:hAnsi="Verdana"/>
          <w:i/>
          <w:sz w:val="16"/>
          <w:szCs w:val="16"/>
        </w:rPr>
        <w:t>o zmianie niektórych ustaw w związku z realizacją ustawy budżetowej</w:t>
      </w:r>
      <w:r>
        <w:rPr>
          <w:rFonts w:ascii="Verdana" w:hAnsi="Verdana"/>
          <w:sz w:val="16"/>
          <w:szCs w:val="16"/>
        </w:rPr>
        <w:t xml:space="preserve"> (Dz.</w:t>
      </w:r>
      <w:r w:rsidRPr="000A6485">
        <w:rPr>
          <w:rFonts w:ascii="Verdana" w:hAnsi="Verdana"/>
          <w:sz w:val="16"/>
          <w:szCs w:val="16"/>
        </w:rPr>
        <w:t xml:space="preserve">U. z 2012 r. poz. 1456 oraz z 2013 r. poz. 1199). </w:t>
      </w:r>
    </w:p>
    <w:p w:rsidR="007F07DD" w:rsidRDefault="007F07DD" w:rsidP="007F07DD">
      <w:pPr>
        <w:spacing w:before="60" w:after="60"/>
        <w:ind w:firstLine="539"/>
        <w:jc w:val="both"/>
        <w:rPr>
          <w:rFonts w:ascii="Verdana" w:hAnsi="Verdana"/>
          <w:sz w:val="16"/>
          <w:szCs w:val="16"/>
        </w:rPr>
      </w:pPr>
      <w:r>
        <w:rPr>
          <w:rFonts w:ascii="Verdana" w:hAnsi="Verdana" w:cs="Arial"/>
          <w:iCs/>
          <w:sz w:val="16"/>
          <w:szCs w:val="16"/>
        </w:rPr>
        <w:t xml:space="preserve">Wieloletnia Prognoza Finansowa </w:t>
      </w:r>
      <w:r w:rsidRPr="00DD26A6">
        <w:rPr>
          <w:rFonts w:ascii="Verdana" w:hAnsi="Verdana" w:cs="Arial"/>
          <w:iCs/>
          <w:sz w:val="16"/>
          <w:szCs w:val="16"/>
        </w:rPr>
        <w:t xml:space="preserve">m.st. Warszawy na lata </w:t>
      </w:r>
      <w:r w:rsidRPr="0090283F">
        <w:rPr>
          <w:rFonts w:ascii="Verdana" w:eastAsiaTheme="minorEastAsia" w:hAnsi="Verdana" w:cs="Verdana"/>
          <w:color w:val="000000"/>
          <w:sz w:val="16"/>
          <w:szCs w:val="16"/>
        </w:rPr>
        <w:t>2022</w:t>
      </w:r>
      <w:r w:rsidRPr="00DD26A6">
        <w:rPr>
          <w:rFonts w:ascii="Verdana" w:hAnsi="Verdana" w:cs="Arial"/>
          <w:iCs/>
          <w:sz w:val="16"/>
          <w:szCs w:val="16"/>
        </w:rPr>
        <w:t>-2050 został</w:t>
      </w:r>
      <w:r>
        <w:rPr>
          <w:rFonts w:ascii="Verdana" w:hAnsi="Verdana" w:cs="Arial"/>
          <w:iCs/>
          <w:sz w:val="16"/>
          <w:szCs w:val="16"/>
        </w:rPr>
        <w:t>a opracowana</w:t>
      </w:r>
      <w:r w:rsidRPr="00DD26A6">
        <w:rPr>
          <w:rFonts w:ascii="Verdana" w:hAnsi="Verdana" w:cs="Arial"/>
          <w:iCs/>
          <w:sz w:val="16"/>
          <w:szCs w:val="16"/>
        </w:rPr>
        <w:t xml:space="preserve"> w oparciu o istotne elementy Wieloletniej Prognozy Finansow</w:t>
      </w:r>
      <w:r>
        <w:rPr>
          <w:rFonts w:ascii="Verdana" w:hAnsi="Verdana" w:cs="Arial"/>
          <w:iCs/>
          <w:sz w:val="16"/>
          <w:szCs w:val="16"/>
        </w:rPr>
        <w:t>ej m.st. Warszawy edycji 2021-2050</w:t>
      </w:r>
      <w:r w:rsidRPr="00DD26A6">
        <w:rPr>
          <w:rFonts w:ascii="Verdana" w:hAnsi="Verdana" w:cs="Arial"/>
          <w:iCs/>
          <w:sz w:val="16"/>
          <w:szCs w:val="16"/>
        </w:rPr>
        <w:t xml:space="preserve"> </w:t>
      </w:r>
      <w:r>
        <w:rPr>
          <w:rFonts w:ascii="Verdana" w:hAnsi="Verdana"/>
          <w:sz w:val="16"/>
          <w:szCs w:val="16"/>
        </w:rPr>
        <w:t>i powiązana</w:t>
      </w:r>
      <w:r w:rsidRPr="00DD26A6">
        <w:rPr>
          <w:rFonts w:ascii="Verdana" w:hAnsi="Verdana"/>
          <w:sz w:val="16"/>
          <w:szCs w:val="16"/>
        </w:rPr>
        <w:t xml:space="preserve"> jest </w:t>
      </w:r>
      <w:r>
        <w:rPr>
          <w:rFonts w:ascii="Verdana" w:hAnsi="Verdana"/>
          <w:sz w:val="16"/>
          <w:szCs w:val="16"/>
        </w:rPr>
        <w:br/>
        <w:t>z budżetem</w:t>
      </w:r>
      <w:r w:rsidRPr="00DD26A6">
        <w:rPr>
          <w:rFonts w:ascii="Verdana" w:hAnsi="Verdana"/>
          <w:sz w:val="16"/>
          <w:szCs w:val="16"/>
        </w:rPr>
        <w:t xml:space="preserve"> m.st. Warszawy na </w:t>
      </w:r>
      <w:r w:rsidRPr="0090283F">
        <w:rPr>
          <w:rFonts w:ascii="Verdana" w:eastAsiaTheme="minorEastAsia" w:hAnsi="Verdana" w:cs="Verdana"/>
          <w:color w:val="000000"/>
          <w:sz w:val="16"/>
          <w:szCs w:val="16"/>
        </w:rPr>
        <w:t>2022</w:t>
      </w:r>
      <w:r w:rsidRPr="00DD26A6">
        <w:rPr>
          <w:rFonts w:ascii="Verdana" w:hAnsi="Verdana"/>
          <w:sz w:val="16"/>
          <w:szCs w:val="16"/>
        </w:rPr>
        <w:t xml:space="preserve"> r. </w:t>
      </w:r>
    </w:p>
    <w:p w:rsidR="007F07DD" w:rsidRPr="00AC083A" w:rsidRDefault="007F07DD" w:rsidP="007F07DD">
      <w:pPr>
        <w:spacing w:before="60" w:after="60"/>
        <w:ind w:firstLine="567"/>
        <w:jc w:val="both"/>
        <w:rPr>
          <w:rFonts w:ascii="Verdana" w:hAnsi="Verdana"/>
          <w:sz w:val="16"/>
          <w:szCs w:val="16"/>
        </w:rPr>
      </w:pPr>
      <w:r>
        <w:rPr>
          <w:rFonts w:ascii="Verdana" w:hAnsi="Verdana" w:cs="Arial"/>
          <w:iCs/>
          <w:sz w:val="16"/>
          <w:szCs w:val="16"/>
        </w:rPr>
        <w:t xml:space="preserve">Wieloletnia Prognoza Finansowa </w:t>
      </w:r>
      <w:r w:rsidRPr="00DD26A6">
        <w:rPr>
          <w:rFonts w:ascii="Verdana" w:hAnsi="Verdana" w:cs="Arial"/>
          <w:iCs/>
          <w:sz w:val="16"/>
          <w:szCs w:val="16"/>
        </w:rPr>
        <w:t xml:space="preserve">m.st. Warszawy na lata </w:t>
      </w:r>
      <w:r w:rsidRPr="0090283F">
        <w:rPr>
          <w:rFonts w:ascii="Verdana" w:eastAsiaTheme="minorEastAsia" w:hAnsi="Verdana" w:cs="Verdana"/>
          <w:color w:val="000000"/>
          <w:sz w:val="16"/>
          <w:szCs w:val="16"/>
        </w:rPr>
        <w:t>2022</w:t>
      </w:r>
      <w:r w:rsidRPr="00DD26A6">
        <w:rPr>
          <w:rFonts w:ascii="Verdana" w:hAnsi="Verdana" w:cs="Arial"/>
          <w:iCs/>
          <w:sz w:val="16"/>
          <w:szCs w:val="16"/>
        </w:rPr>
        <w:t>-2050</w:t>
      </w:r>
      <w:r>
        <w:rPr>
          <w:rFonts w:ascii="Verdana" w:hAnsi="Verdana"/>
          <w:sz w:val="16"/>
          <w:szCs w:val="16"/>
        </w:rPr>
        <w:t xml:space="preserve"> została opracowany</w:t>
      </w:r>
      <w:r w:rsidRPr="00AC083A">
        <w:rPr>
          <w:rFonts w:ascii="Verdana" w:hAnsi="Verdana"/>
          <w:sz w:val="16"/>
          <w:szCs w:val="16"/>
        </w:rPr>
        <w:t xml:space="preserve"> </w:t>
      </w:r>
      <w:r>
        <w:rPr>
          <w:rFonts w:ascii="Verdana" w:hAnsi="Verdana"/>
          <w:sz w:val="16"/>
          <w:szCs w:val="16"/>
        </w:rPr>
        <w:br/>
      </w:r>
      <w:r w:rsidRPr="00AC083A">
        <w:rPr>
          <w:rFonts w:ascii="Verdana" w:hAnsi="Verdana"/>
          <w:sz w:val="16"/>
          <w:szCs w:val="16"/>
        </w:rPr>
        <w:t xml:space="preserve">z uwzględnieniem planowanych </w:t>
      </w:r>
      <w:r>
        <w:rPr>
          <w:rFonts w:ascii="Verdana" w:hAnsi="Verdana"/>
          <w:sz w:val="16"/>
          <w:szCs w:val="16"/>
        </w:rPr>
        <w:t xml:space="preserve">na </w:t>
      </w:r>
      <w:r w:rsidRPr="0090283F">
        <w:rPr>
          <w:rFonts w:ascii="Verdana" w:eastAsiaTheme="minorEastAsia" w:hAnsi="Verdana" w:cs="Verdana"/>
          <w:color w:val="000000"/>
          <w:sz w:val="16"/>
          <w:szCs w:val="16"/>
        </w:rPr>
        <w:t>2022</w:t>
      </w:r>
      <w:r>
        <w:rPr>
          <w:rFonts w:ascii="Verdana" w:hAnsi="Verdana"/>
          <w:sz w:val="16"/>
          <w:szCs w:val="16"/>
        </w:rPr>
        <w:t xml:space="preserve"> r. </w:t>
      </w:r>
      <w:r w:rsidRPr="00AC083A">
        <w:rPr>
          <w:rFonts w:ascii="Verdana" w:hAnsi="Verdana"/>
          <w:sz w:val="16"/>
          <w:szCs w:val="16"/>
        </w:rPr>
        <w:t xml:space="preserve">dochodów z podatków dochodowych od osób fizycznych (PIT) i osób prawnych (CIT) </w:t>
      </w:r>
      <w:r>
        <w:rPr>
          <w:rFonts w:ascii="Verdana" w:hAnsi="Verdana"/>
          <w:sz w:val="16"/>
          <w:szCs w:val="16"/>
        </w:rPr>
        <w:t>oraz dochodów z subwencji ogólnej, a także</w:t>
      </w:r>
      <w:r w:rsidRPr="00AC083A">
        <w:rPr>
          <w:rFonts w:ascii="Verdana" w:hAnsi="Verdana"/>
          <w:sz w:val="16"/>
          <w:szCs w:val="16"/>
        </w:rPr>
        <w:t xml:space="preserve"> </w:t>
      </w:r>
      <w:r>
        <w:rPr>
          <w:rFonts w:ascii="Verdana" w:hAnsi="Verdana"/>
          <w:sz w:val="16"/>
          <w:szCs w:val="16"/>
        </w:rPr>
        <w:t xml:space="preserve">wysokości </w:t>
      </w:r>
      <w:r w:rsidRPr="00AC083A">
        <w:rPr>
          <w:rFonts w:ascii="Verdana" w:hAnsi="Verdana"/>
          <w:sz w:val="16"/>
          <w:szCs w:val="16"/>
        </w:rPr>
        <w:t xml:space="preserve">wpłaty do budżetu państwa na rzecz subwencji ogólnej w części równoważącej (tzw. Janosikowe) na poziomie zgodnym z kwotami podanymi przez Ministerstwo </w:t>
      </w:r>
      <w:r>
        <w:rPr>
          <w:rFonts w:ascii="Verdana" w:hAnsi="Verdana"/>
          <w:sz w:val="16"/>
          <w:szCs w:val="16"/>
        </w:rPr>
        <w:t xml:space="preserve">Finansów </w:t>
      </w:r>
      <w:r w:rsidRPr="00AC083A">
        <w:rPr>
          <w:rFonts w:ascii="Verdana" w:hAnsi="Verdana"/>
          <w:sz w:val="16"/>
          <w:szCs w:val="16"/>
        </w:rPr>
        <w:t xml:space="preserve">w pismach z 14 października 2021 r. znak: ST3.4750.31.2021 i ST8.4750.5.2021. Stosownie do informacji przedstawionej w powyższych pismach, przekazane przez Ministerstwo </w:t>
      </w:r>
      <w:r>
        <w:rPr>
          <w:rFonts w:ascii="Verdana" w:hAnsi="Verdana"/>
          <w:sz w:val="16"/>
          <w:szCs w:val="16"/>
        </w:rPr>
        <w:t xml:space="preserve">Finansów </w:t>
      </w:r>
      <w:r w:rsidRPr="00AC083A">
        <w:rPr>
          <w:rFonts w:ascii="Verdana" w:hAnsi="Verdana"/>
          <w:sz w:val="16"/>
          <w:szCs w:val="16"/>
        </w:rPr>
        <w:t xml:space="preserve">parametry budżetowe dla m.st. Warszawy zostały ustalone na podstawie: </w:t>
      </w:r>
    </w:p>
    <w:p w:rsidR="007F07DD" w:rsidRPr="00AC083A" w:rsidRDefault="007F07DD" w:rsidP="007F07DD">
      <w:pPr>
        <w:pStyle w:val="Akapitzlist"/>
        <w:numPr>
          <w:ilvl w:val="0"/>
          <w:numId w:val="55"/>
        </w:numPr>
        <w:spacing w:before="60" w:after="60"/>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 z 29</w:t>
      </w:r>
      <w:r w:rsidRPr="00AC083A">
        <w:rPr>
          <w:rFonts w:ascii="Verdana" w:hAnsi="Verdana" w:cs="Arial"/>
          <w:sz w:val="16"/>
          <w:szCs w:val="16"/>
        </w:rPr>
        <w:t xml:space="preserve"> października 2021 r. </w:t>
      </w:r>
      <w:r w:rsidRPr="00AC083A">
        <w:rPr>
          <w:rFonts w:ascii="Verdana" w:hAnsi="Verdana" w:cs="Arial"/>
          <w:i/>
          <w:sz w:val="16"/>
          <w:szCs w:val="16"/>
        </w:rPr>
        <w:t>o zmianie ustawy o podatku dochodowym od osób fizycznych, ustawy o podatku dochodowym od osób prawnych oraz niektórych innych</w:t>
      </w:r>
      <w:r>
        <w:rPr>
          <w:rFonts w:ascii="Verdana" w:hAnsi="Verdana" w:cs="Arial"/>
          <w:sz w:val="16"/>
          <w:szCs w:val="16"/>
        </w:rPr>
        <w:t xml:space="preserve"> (Dz.U. poz. 2105)</w:t>
      </w:r>
      <w:r w:rsidRPr="00AC083A">
        <w:rPr>
          <w:rFonts w:ascii="Verdana" w:hAnsi="Verdana" w:cs="Arial"/>
          <w:sz w:val="16"/>
          <w:szCs w:val="16"/>
        </w:rPr>
        <w:t>,</w:t>
      </w:r>
    </w:p>
    <w:p w:rsidR="007F07DD" w:rsidRPr="000F322D" w:rsidRDefault="007F07DD" w:rsidP="007F07DD">
      <w:pPr>
        <w:pStyle w:val="Akapitzlist"/>
        <w:numPr>
          <w:ilvl w:val="0"/>
          <w:numId w:val="55"/>
        </w:numPr>
        <w:spacing w:before="60" w:after="60"/>
        <w:ind w:left="567" w:hanging="283"/>
        <w:contextualSpacing w:val="0"/>
        <w:jc w:val="both"/>
        <w:rPr>
          <w:rFonts w:ascii="Verdana" w:hAnsi="Verdana" w:cs="Arial"/>
          <w:b/>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Pr>
          <w:rFonts w:ascii="Verdana" w:hAnsi="Verdana" w:cs="Arial"/>
          <w:iCs/>
          <w:sz w:val="16"/>
          <w:szCs w:val="16"/>
        </w:rPr>
        <w:t xml:space="preserve">Dz.U. </w:t>
      </w:r>
      <w:r w:rsidRPr="00AC083A">
        <w:rPr>
          <w:rFonts w:ascii="Verdana" w:hAnsi="Verdana" w:cs="Arial"/>
          <w:iCs/>
          <w:sz w:val="16"/>
          <w:szCs w:val="16"/>
        </w:rPr>
        <w:t>poz. 1927</w:t>
      </w:r>
      <w:r w:rsidRPr="00AC083A">
        <w:rPr>
          <w:rFonts w:ascii="Verdana" w:hAnsi="Verdana" w:cs="Arial"/>
          <w:sz w:val="16"/>
          <w:szCs w:val="16"/>
        </w:rPr>
        <w:t>).</w:t>
      </w:r>
    </w:p>
    <w:p w:rsidR="007F07DD" w:rsidRDefault="007F07DD" w:rsidP="007F07DD">
      <w:pPr>
        <w:spacing w:before="60" w:after="60"/>
        <w:ind w:firstLine="567"/>
        <w:jc w:val="both"/>
        <w:rPr>
          <w:rFonts w:ascii="Verdana" w:hAnsi="Verdana" w:cs="Arial"/>
          <w:b/>
          <w:sz w:val="16"/>
          <w:szCs w:val="16"/>
        </w:rPr>
      </w:pPr>
      <w:r>
        <w:rPr>
          <w:rFonts w:ascii="Verdana" w:hAnsi="Verdana" w:cs="Arial"/>
          <w:sz w:val="16"/>
          <w:szCs w:val="16"/>
        </w:rPr>
        <w:t>Ustawa</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(Dz.U. </w:t>
      </w:r>
      <w:r w:rsidRPr="00E7313D">
        <w:rPr>
          <w:rFonts w:ascii="Verdana" w:hAnsi="Verdana" w:cs="Arial"/>
          <w:sz w:val="16"/>
          <w:szCs w:val="16"/>
        </w:rPr>
        <w:t>poz. 1927)</w:t>
      </w:r>
      <w:r>
        <w:rPr>
          <w:rFonts w:ascii="Verdana" w:hAnsi="Verdana" w:cs="Arial"/>
          <w:sz w:val="16"/>
          <w:szCs w:val="16"/>
        </w:rPr>
        <w:t xml:space="preserve"> w odniesieniu do reguły indywidualnego limitu obsługi długu, określonej w art. 243 </w:t>
      </w:r>
      <w:r w:rsidRPr="00E7313D">
        <w:rPr>
          <w:rFonts w:ascii="Verdana" w:hAnsi="Verdana" w:cs="Arial"/>
          <w:sz w:val="16"/>
          <w:szCs w:val="16"/>
        </w:rPr>
        <w:t>ustawy o finansach</w:t>
      </w:r>
      <w:r>
        <w:rPr>
          <w:rFonts w:ascii="Verdana" w:hAnsi="Verdana" w:cs="Arial"/>
          <w:i/>
          <w:sz w:val="16"/>
          <w:szCs w:val="16"/>
        </w:rPr>
        <w:t xml:space="preserve"> </w:t>
      </w:r>
      <w:r w:rsidRPr="00B11B2B">
        <w:rPr>
          <w:rFonts w:ascii="Verdana" w:hAnsi="Verdana" w:cs="Arial"/>
          <w:sz w:val="16"/>
          <w:szCs w:val="16"/>
        </w:rPr>
        <w:t>publicznych</w:t>
      </w:r>
      <w:r>
        <w:rPr>
          <w:rFonts w:ascii="Verdana" w:hAnsi="Verdana" w:cs="Arial"/>
          <w:sz w:val="16"/>
          <w:szCs w:val="16"/>
        </w:rPr>
        <w:t>, poprzez</w:t>
      </w:r>
      <w:r w:rsidRPr="00006222">
        <w:rPr>
          <w:rFonts w:ascii="Verdana" w:hAnsi="Verdana" w:cs="Arial"/>
          <w:sz w:val="16"/>
          <w:szCs w:val="16"/>
        </w:rPr>
        <w:t xml:space="preserve"> art. 7 </w:t>
      </w:r>
      <w:r w:rsidRPr="00AC1B12">
        <w:rPr>
          <w:rFonts w:ascii="Verdana" w:hAnsi="Verdana" w:cs="Arial"/>
          <w:b/>
          <w:sz w:val="16"/>
          <w:szCs w:val="16"/>
        </w:rPr>
        <w:t xml:space="preserve">zobowiązała organ wykonawczy jednostki samorządu terytorialnego do dokonania </w:t>
      </w:r>
      <w:r>
        <w:rPr>
          <w:rFonts w:ascii="Verdana" w:hAnsi="Verdana" w:cs="Arial"/>
          <w:b/>
          <w:sz w:val="16"/>
          <w:szCs w:val="16"/>
        </w:rPr>
        <w:t xml:space="preserve">w terminie do 31 grudnia 2021 r. </w:t>
      </w:r>
      <w:r w:rsidRPr="00AC1B12">
        <w:rPr>
          <w:rFonts w:ascii="Verdana" w:hAnsi="Verdana" w:cs="Arial"/>
          <w:b/>
          <w:sz w:val="16"/>
          <w:szCs w:val="16"/>
        </w:rPr>
        <w:t>wyboru dla lat 2022-2025 długości okresu stosowanego w badaniu spełnienia reguły indywidualnego limitu obsługi długu JST</w:t>
      </w:r>
      <w:r w:rsidRPr="00006222">
        <w:rPr>
          <w:rFonts w:ascii="Verdana" w:hAnsi="Verdana" w:cs="Arial"/>
          <w:sz w:val="16"/>
          <w:szCs w:val="16"/>
        </w:rPr>
        <w:t xml:space="preserve"> </w:t>
      </w:r>
      <w:r>
        <w:rPr>
          <w:rFonts w:ascii="Verdana" w:hAnsi="Verdana" w:cs="Arial"/>
          <w:sz w:val="16"/>
          <w:szCs w:val="16"/>
        </w:rPr>
        <w:t>i następnie przekazania informacji</w:t>
      </w:r>
      <w:r w:rsidRPr="00006222">
        <w:rPr>
          <w:rFonts w:ascii="Verdana" w:hAnsi="Verdana" w:cs="Arial"/>
          <w:sz w:val="16"/>
          <w:szCs w:val="16"/>
        </w:rPr>
        <w:t xml:space="preserve"> w tym </w:t>
      </w:r>
      <w:r>
        <w:rPr>
          <w:rFonts w:ascii="Verdana" w:hAnsi="Verdana" w:cs="Arial"/>
          <w:sz w:val="16"/>
          <w:szCs w:val="16"/>
        </w:rPr>
        <w:t>względzie</w:t>
      </w:r>
      <w:r w:rsidRPr="00006222">
        <w:rPr>
          <w:rFonts w:ascii="Verdana" w:hAnsi="Verdana" w:cs="Arial"/>
          <w:sz w:val="16"/>
          <w:szCs w:val="16"/>
        </w:rPr>
        <w:t xml:space="preserve"> właściwej regionalnej izbie obrachunkowej oraz organowi stanowiącemu. Zgodnie z </w:t>
      </w:r>
      <w:r>
        <w:rPr>
          <w:rFonts w:ascii="Verdana" w:hAnsi="Verdana" w:cs="Arial"/>
          <w:sz w:val="16"/>
          <w:szCs w:val="16"/>
        </w:rPr>
        <w:t xml:space="preserve">uchwalonym </w:t>
      </w:r>
      <w:r w:rsidRPr="00006222">
        <w:rPr>
          <w:rFonts w:ascii="Verdana" w:hAnsi="Verdana" w:cs="Arial"/>
          <w:sz w:val="16"/>
          <w:szCs w:val="16"/>
        </w:rPr>
        <w:t xml:space="preserve">przepisem okres ten, na podstawie którego wyznaczany jest indywidualny limit obsługi długu dla danego roku, dla lat 2022-2025 może obejmować tak jak </w:t>
      </w:r>
      <w:r>
        <w:rPr>
          <w:rFonts w:ascii="Verdana" w:hAnsi="Verdana" w:cs="Arial"/>
          <w:sz w:val="16"/>
          <w:szCs w:val="16"/>
        </w:rPr>
        <w:t>przed zmianą przepisów</w:t>
      </w:r>
      <w:r w:rsidRPr="00006222">
        <w:rPr>
          <w:rFonts w:ascii="Verdana" w:hAnsi="Verdana" w:cs="Arial"/>
          <w:sz w:val="16"/>
          <w:szCs w:val="16"/>
        </w:rPr>
        <w:t xml:space="preserve"> trzy wcześniejsze lata lub może zostać rozciągnięt</w:t>
      </w:r>
      <w:r>
        <w:rPr>
          <w:rFonts w:ascii="Verdana" w:hAnsi="Verdana" w:cs="Arial"/>
          <w:sz w:val="16"/>
          <w:szCs w:val="16"/>
        </w:rPr>
        <w:t xml:space="preserve">y na siedem poprzedzających lat. </w:t>
      </w:r>
      <w:r w:rsidRPr="00E339B7">
        <w:rPr>
          <w:rFonts w:ascii="Verdana" w:hAnsi="Verdana" w:cs="Arial"/>
          <w:b/>
          <w:sz w:val="16"/>
          <w:szCs w:val="16"/>
        </w:rPr>
        <w:t xml:space="preserve">Prezydent </w:t>
      </w:r>
      <w:r>
        <w:rPr>
          <w:rFonts w:ascii="Verdana" w:hAnsi="Verdana" w:cs="Arial"/>
          <w:b/>
          <w:sz w:val="16"/>
          <w:szCs w:val="16"/>
        </w:rPr>
        <w:br/>
      </w:r>
      <w:r w:rsidRPr="00E339B7">
        <w:rPr>
          <w:rFonts w:ascii="Verdana" w:hAnsi="Verdana" w:cs="Arial"/>
          <w:b/>
          <w:sz w:val="16"/>
          <w:szCs w:val="16"/>
        </w:rPr>
        <w:t xml:space="preserve">m.st. Warszawy jako organ wykonawczy dokonał dla lat 2022-2025 wyboru 7-letniego okresu </w:t>
      </w:r>
      <w:r w:rsidRPr="00E339B7">
        <w:rPr>
          <w:rFonts w:ascii="Verdana" w:hAnsi="Verdana" w:cs="Arial"/>
          <w:b/>
          <w:sz w:val="16"/>
          <w:szCs w:val="16"/>
        </w:rPr>
        <w:lastRenderedPageBreak/>
        <w:t>stosowanego do wyliczenia relacji, o której mowa w art. 243 ustawy o finansach publicznych</w:t>
      </w:r>
      <w:r w:rsidRPr="00011AAA">
        <w:rPr>
          <w:rStyle w:val="Odwoanieprzypisudolnego"/>
          <w:rFonts w:ascii="Verdana" w:hAnsi="Verdana"/>
          <w:bCs/>
          <w:iCs/>
          <w:color w:val="000000"/>
          <w:sz w:val="16"/>
          <w:szCs w:val="16"/>
        </w:rPr>
        <w:footnoteReference w:id="1"/>
      </w:r>
      <w:r>
        <w:rPr>
          <w:rFonts w:ascii="Verdana" w:hAnsi="Verdana" w:cs="Arial"/>
          <w:b/>
          <w:sz w:val="16"/>
          <w:szCs w:val="16"/>
        </w:rPr>
        <w:t xml:space="preserve"> oraz poinformował o wyborze Regionalną Izbę Obrachunkową w Warszawie w piśmie z 26 listopada </w:t>
      </w:r>
      <w:r>
        <w:rPr>
          <w:rFonts w:ascii="Verdana" w:hAnsi="Verdana" w:cs="Arial"/>
          <w:b/>
          <w:sz w:val="16"/>
          <w:szCs w:val="16"/>
        </w:rPr>
        <w:br/>
        <w:t>2021 r. nr GP-OR.0050.1795.2021 i Radę m.st. Warszawy w piśmie z 26 listopada 2021 r. nr DR-7-OW.3150.6.2021.KPI</w:t>
      </w:r>
      <w:r w:rsidRPr="00E339B7">
        <w:rPr>
          <w:rFonts w:ascii="Verdana" w:hAnsi="Verdana" w:cs="Arial"/>
          <w:b/>
          <w:sz w:val="16"/>
          <w:szCs w:val="16"/>
        </w:rPr>
        <w:t>.</w:t>
      </w:r>
    </w:p>
    <w:p w:rsidR="007F07DD" w:rsidRPr="001C15AA" w:rsidRDefault="007F07DD" w:rsidP="007F07DD">
      <w:pPr>
        <w:spacing w:before="60" w:after="60"/>
        <w:ind w:firstLine="539"/>
        <w:jc w:val="both"/>
        <w:rPr>
          <w:rFonts w:ascii="Verdana" w:hAnsi="Verdana"/>
          <w:b/>
          <w:sz w:val="16"/>
          <w:szCs w:val="16"/>
        </w:rPr>
      </w:pPr>
      <w:r w:rsidRPr="007C1DF2">
        <w:rPr>
          <w:rFonts w:ascii="Verdana" w:hAnsi="Verdana" w:cs="Arial"/>
          <w:b/>
          <w:sz w:val="16"/>
          <w:szCs w:val="16"/>
        </w:rPr>
        <w:t xml:space="preserve">Dochody i wydatki budżetowe </w:t>
      </w:r>
      <w:r>
        <w:rPr>
          <w:rFonts w:ascii="Verdana" w:hAnsi="Verdana" w:cs="Arial"/>
          <w:b/>
          <w:sz w:val="16"/>
          <w:szCs w:val="16"/>
        </w:rPr>
        <w:t xml:space="preserve">m.st. Warszawy </w:t>
      </w:r>
      <w:r w:rsidRPr="007C1DF2">
        <w:rPr>
          <w:rFonts w:ascii="Verdana" w:hAnsi="Verdana" w:cs="Arial"/>
          <w:b/>
          <w:sz w:val="16"/>
          <w:szCs w:val="16"/>
        </w:rPr>
        <w:t xml:space="preserve">związane z Programem „Rodzina 500 Plus” </w:t>
      </w:r>
      <w:r>
        <w:rPr>
          <w:rFonts w:ascii="Verdana" w:hAnsi="Verdana" w:cs="Arial"/>
          <w:b/>
          <w:sz w:val="16"/>
          <w:szCs w:val="16"/>
        </w:rPr>
        <w:t>zaplanowano</w:t>
      </w:r>
      <w:r w:rsidRPr="007C1DF2">
        <w:rPr>
          <w:rFonts w:ascii="Verdana" w:hAnsi="Verdana" w:cs="Arial"/>
          <w:b/>
          <w:sz w:val="16"/>
          <w:szCs w:val="16"/>
        </w:rPr>
        <w:t xml:space="preserve"> przy założeniu przejęcia przez Zakład Ubezpieczeń Społecznych od czerwca 2022 r.</w:t>
      </w:r>
      <w:r>
        <w:rPr>
          <w:rFonts w:ascii="Verdana" w:hAnsi="Verdana" w:cs="Arial"/>
          <w:b/>
          <w:sz w:val="16"/>
          <w:szCs w:val="16"/>
        </w:rPr>
        <w:t xml:space="preserve"> </w:t>
      </w:r>
      <w:r w:rsidRPr="007C1DF2">
        <w:rPr>
          <w:rFonts w:ascii="Verdana" w:hAnsi="Verdana" w:cs="Arial"/>
          <w:b/>
          <w:sz w:val="16"/>
          <w:szCs w:val="16"/>
        </w:rPr>
        <w:t xml:space="preserve">realizacji wypłat świadczeń </w:t>
      </w:r>
      <w:r>
        <w:rPr>
          <w:rFonts w:ascii="Verdana" w:hAnsi="Verdana" w:cs="Arial"/>
          <w:b/>
          <w:sz w:val="16"/>
          <w:szCs w:val="16"/>
        </w:rPr>
        <w:t>objętych Programem</w:t>
      </w:r>
      <w:r w:rsidRPr="007C1DF2">
        <w:rPr>
          <w:rFonts w:ascii="Verdana" w:hAnsi="Verdana" w:cs="Arial"/>
          <w:b/>
          <w:sz w:val="16"/>
          <w:szCs w:val="16"/>
        </w:rPr>
        <w:t xml:space="preserve">, co </w:t>
      </w:r>
      <w:r>
        <w:rPr>
          <w:rFonts w:ascii="Verdana" w:hAnsi="Verdana" w:cs="Arial"/>
          <w:b/>
          <w:sz w:val="16"/>
          <w:szCs w:val="16"/>
        </w:rPr>
        <w:t>sankcjonuje</w:t>
      </w:r>
      <w:r w:rsidRPr="007C1DF2">
        <w:rPr>
          <w:rFonts w:ascii="Verdana" w:hAnsi="Verdana" w:cs="Arial"/>
          <w:b/>
          <w:sz w:val="16"/>
          <w:szCs w:val="16"/>
        </w:rPr>
        <w:t xml:space="preserve"> ustawa z 17 września 2021 r. </w:t>
      </w:r>
      <w:r>
        <w:rPr>
          <w:rFonts w:ascii="Verdana" w:hAnsi="Verdana" w:cs="Arial"/>
          <w:b/>
          <w:sz w:val="16"/>
          <w:szCs w:val="16"/>
        </w:rPr>
        <w:br/>
      </w:r>
      <w:r w:rsidRPr="007C1DF2">
        <w:rPr>
          <w:rFonts w:ascii="Verdana" w:hAnsi="Verdana" w:cs="Arial"/>
          <w:b/>
          <w:i/>
          <w:sz w:val="16"/>
          <w:szCs w:val="16"/>
        </w:rPr>
        <w:t>o zmianie ustawy o pomocy państwa w wychowaniu dzieci oraz niektórych innych ustaw</w:t>
      </w:r>
      <w:r>
        <w:rPr>
          <w:rFonts w:ascii="Verdana" w:hAnsi="Verdana" w:cs="Arial"/>
          <w:b/>
          <w:sz w:val="16"/>
          <w:szCs w:val="16"/>
        </w:rPr>
        <w:t xml:space="preserve"> </w:t>
      </w:r>
      <w:r w:rsidRPr="001C15AA">
        <w:rPr>
          <w:rFonts w:ascii="Verdana" w:hAnsi="Verdana" w:cs="Arial"/>
          <w:b/>
          <w:sz w:val="16"/>
          <w:szCs w:val="16"/>
        </w:rPr>
        <w:t>(</w:t>
      </w:r>
      <w:r w:rsidRPr="001C15AA">
        <w:rPr>
          <w:rFonts w:ascii="Verdana" w:hAnsi="Verdana" w:cs="Arial"/>
          <w:b/>
          <w:iCs/>
          <w:sz w:val="16"/>
          <w:szCs w:val="16"/>
        </w:rPr>
        <w:t>Dz.U. poz. 1981</w:t>
      </w:r>
      <w:r w:rsidRPr="001C15AA">
        <w:rPr>
          <w:rFonts w:ascii="Verdana" w:hAnsi="Verdana" w:cs="Arial"/>
          <w:b/>
          <w:sz w:val="16"/>
          <w:szCs w:val="16"/>
        </w:rPr>
        <w:t>).</w:t>
      </w:r>
    </w:p>
    <w:p w:rsidR="007F07DD" w:rsidRDefault="007F07DD" w:rsidP="007F07DD">
      <w:pPr>
        <w:spacing w:before="120" w:after="120"/>
        <w:ind w:firstLine="567"/>
        <w:jc w:val="both"/>
        <w:rPr>
          <w:rFonts w:ascii="Verdana" w:hAnsi="Verdana"/>
          <w:sz w:val="16"/>
          <w:szCs w:val="16"/>
        </w:rPr>
      </w:pPr>
    </w:p>
    <w:p w:rsidR="007F07DD" w:rsidRPr="000A6485" w:rsidRDefault="007F07DD" w:rsidP="007F07DD">
      <w:pPr>
        <w:spacing w:before="120" w:after="120" w:line="240" w:lineRule="auto"/>
        <w:ind w:left="284" w:hanging="284"/>
        <w:rPr>
          <w:rFonts w:ascii="Verdana" w:hAnsi="Verdana"/>
          <w:sz w:val="22"/>
          <w:szCs w:val="22"/>
        </w:rPr>
      </w:pPr>
      <w:r w:rsidRPr="000A6485">
        <w:rPr>
          <w:rFonts w:ascii="Verdana" w:hAnsi="Verdana"/>
          <w:b/>
          <w:bCs/>
          <w:sz w:val="22"/>
          <w:szCs w:val="22"/>
        </w:rPr>
        <w:t xml:space="preserve">2. Źródła danych i informacji wykorzystanych do opracowania  </w:t>
      </w:r>
      <w:r w:rsidRPr="000A6485">
        <w:rPr>
          <w:rFonts w:ascii="Verdana" w:hAnsi="Verdana"/>
          <w:b/>
          <w:bCs/>
          <w:sz w:val="22"/>
          <w:szCs w:val="22"/>
        </w:rPr>
        <w:br/>
        <w:t xml:space="preserve">Wieloletniej Prognozy Finansowej m.st. Warszawy </w:t>
      </w:r>
      <w:r>
        <w:rPr>
          <w:rFonts w:ascii="Verdana" w:hAnsi="Verdana"/>
          <w:b/>
          <w:bCs/>
          <w:sz w:val="22"/>
          <w:szCs w:val="22"/>
        </w:rPr>
        <w:br/>
      </w:r>
      <w:r w:rsidRPr="000A6485">
        <w:rPr>
          <w:rFonts w:ascii="Verdana" w:hAnsi="Verdana"/>
          <w:b/>
          <w:bCs/>
          <w:sz w:val="22"/>
          <w:szCs w:val="22"/>
        </w:rPr>
        <w:t xml:space="preserve">na lata </w:t>
      </w:r>
      <w:r w:rsidRPr="0090283F">
        <w:rPr>
          <w:rFonts w:ascii="Verdana" w:hAnsi="Verdana"/>
          <w:b/>
          <w:bCs/>
          <w:sz w:val="22"/>
          <w:szCs w:val="22"/>
        </w:rPr>
        <w:t>2022</w:t>
      </w:r>
      <w:r w:rsidRPr="000A6485">
        <w:rPr>
          <w:rFonts w:ascii="Verdana" w:hAnsi="Verdana"/>
          <w:b/>
          <w:bCs/>
          <w:sz w:val="22"/>
          <w:szCs w:val="22"/>
        </w:rPr>
        <w:t>-2050</w:t>
      </w:r>
    </w:p>
    <w:p w:rsidR="007F07DD" w:rsidRPr="000A6485" w:rsidRDefault="007F07DD" w:rsidP="007F07DD">
      <w:pPr>
        <w:spacing w:before="240" w:after="60"/>
        <w:ind w:firstLine="567"/>
        <w:jc w:val="both"/>
        <w:rPr>
          <w:rFonts w:ascii="Verdana" w:hAnsi="Verdana"/>
          <w:sz w:val="16"/>
          <w:szCs w:val="16"/>
        </w:rPr>
      </w:pPr>
      <w:r>
        <w:rPr>
          <w:rFonts w:ascii="Verdana" w:hAnsi="Verdana" w:cs="Arial"/>
          <w:iCs/>
          <w:sz w:val="16"/>
          <w:szCs w:val="16"/>
        </w:rPr>
        <w:t xml:space="preserve">Wieloletnia Prognoza Finansowa </w:t>
      </w:r>
      <w:r w:rsidRPr="00DD26A6">
        <w:rPr>
          <w:rFonts w:ascii="Verdana" w:hAnsi="Verdana" w:cs="Arial"/>
          <w:iCs/>
          <w:sz w:val="16"/>
          <w:szCs w:val="16"/>
        </w:rPr>
        <w:t xml:space="preserve">m.st. Warszawy na lata </w:t>
      </w:r>
      <w:r w:rsidRPr="0090283F">
        <w:rPr>
          <w:rFonts w:ascii="Verdana" w:eastAsiaTheme="minorEastAsia" w:hAnsi="Verdana" w:cs="Verdana"/>
          <w:color w:val="000000"/>
          <w:sz w:val="16"/>
          <w:szCs w:val="16"/>
        </w:rPr>
        <w:t>2022</w:t>
      </w:r>
      <w:r w:rsidRPr="00DD26A6">
        <w:rPr>
          <w:rFonts w:ascii="Verdana" w:hAnsi="Verdana" w:cs="Arial"/>
          <w:iCs/>
          <w:sz w:val="16"/>
          <w:szCs w:val="16"/>
        </w:rPr>
        <w:t>-2050</w:t>
      </w:r>
      <w:r w:rsidRPr="000A6485">
        <w:rPr>
          <w:rFonts w:ascii="Verdana" w:hAnsi="Verdana"/>
          <w:sz w:val="16"/>
          <w:szCs w:val="16"/>
        </w:rPr>
        <w:t>, zwan</w:t>
      </w:r>
      <w:r>
        <w:rPr>
          <w:rFonts w:ascii="Verdana" w:hAnsi="Verdana"/>
          <w:sz w:val="16"/>
          <w:szCs w:val="16"/>
        </w:rPr>
        <w:t>a</w:t>
      </w:r>
      <w:r w:rsidRPr="000A6485">
        <w:rPr>
          <w:rFonts w:ascii="Verdana" w:hAnsi="Verdana"/>
          <w:sz w:val="16"/>
          <w:szCs w:val="16"/>
        </w:rPr>
        <w:t xml:space="preserve"> dalej WPF </w:t>
      </w:r>
      <w:r w:rsidRPr="0090283F">
        <w:rPr>
          <w:rFonts w:ascii="Verdana" w:eastAsiaTheme="minorEastAsia" w:hAnsi="Verdana" w:cs="Verdana"/>
          <w:color w:val="000000"/>
          <w:sz w:val="16"/>
          <w:szCs w:val="16"/>
        </w:rPr>
        <w:t>2022</w:t>
      </w:r>
      <w:r w:rsidRPr="000A6485">
        <w:rPr>
          <w:rFonts w:ascii="Verdana" w:hAnsi="Verdana"/>
          <w:sz w:val="16"/>
          <w:szCs w:val="16"/>
        </w:rPr>
        <w:t>-2050, został</w:t>
      </w:r>
      <w:r>
        <w:rPr>
          <w:rFonts w:ascii="Verdana" w:hAnsi="Verdana"/>
          <w:sz w:val="16"/>
          <w:szCs w:val="16"/>
        </w:rPr>
        <w:t>a</w:t>
      </w:r>
      <w:r w:rsidRPr="000A6485">
        <w:rPr>
          <w:rFonts w:ascii="Verdana" w:hAnsi="Verdana"/>
          <w:sz w:val="16"/>
          <w:szCs w:val="16"/>
        </w:rPr>
        <w:t xml:space="preserve"> opracowan</w:t>
      </w:r>
      <w:r>
        <w:rPr>
          <w:rFonts w:ascii="Verdana" w:hAnsi="Verdana"/>
          <w:sz w:val="16"/>
          <w:szCs w:val="16"/>
        </w:rPr>
        <w:t>a</w:t>
      </w:r>
      <w:r w:rsidRPr="000A6485">
        <w:rPr>
          <w:rFonts w:ascii="Verdana" w:hAnsi="Verdana"/>
          <w:sz w:val="16"/>
          <w:szCs w:val="16"/>
        </w:rPr>
        <w:t xml:space="preserve"> w szczególności w oparciu o następujące dokumenty:</w:t>
      </w:r>
    </w:p>
    <w:p w:rsidR="007F07DD" w:rsidRPr="000A6485" w:rsidRDefault="007F07DD" w:rsidP="007F07DD">
      <w:pPr>
        <w:numPr>
          <w:ilvl w:val="0"/>
          <w:numId w:val="4"/>
        </w:numPr>
        <w:tabs>
          <w:tab w:val="clear" w:pos="720"/>
          <w:tab w:val="num" w:pos="540"/>
        </w:tabs>
        <w:spacing w:before="60" w:after="60"/>
        <w:ind w:left="540" w:hanging="180"/>
        <w:jc w:val="both"/>
        <w:rPr>
          <w:rFonts w:ascii="Verdana" w:hAnsi="Verdana"/>
          <w:sz w:val="16"/>
          <w:szCs w:val="16"/>
        </w:rPr>
      </w:pPr>
      <w:r w:rsidRPr="000A6485">
        <w:rPr>
          <w:rFonts w:ascii="Verdana" w:hAnsi="Verdana"/>
          <w:i/>
          <w:sz w:val="16"/>
          <w:szCs w:val="16"/>
        </w:rPr>
        <w:t xml:space="preserve">Program </w:t>
      </w:r>
      <w:r>
        <w:rPr>
          <w:rFonts w:ascii="Verdana" w:hAnsi="Verdana"/>
          <w:i/>
          <w:sz w:val="16"/>
          <w:szCs w:val="16"/>
        </w:rPr>
        <w:t>Konwergencji – aktualizacja 2021</w:t>
      </w:r>
      <w:r w:rsidRPr="000A6485">
        <w:rPr>
          <w:rFonts w:ascii="Verdana" w:hAnsi="Verdana"/>
          <w:i/>
          <w:sz w:val="16"/>
          <w:szCs w:val="16"/>
        </w:rPr>
        <w:t xml:space="preserve">, </w:t>
      </w:r>
      <w:r w:rsidRPr="000A6485">
        <w:rPr>
          <w:rFonts w:ascii="Verdana" w:hAnsi="Verdana"/>
          <w:sz w:val="16"/>
          <w:szCs w:val="16"/>
        </w:rPr>
        <w:t>k</w:t>
      </w:r>
      <w:r>
        <w:rPr>
          <w:rFonts w:ascii="Verdana" w:hAnsi="Verdana"/>
          <w:sz w:val="16"/>
          <w:szCs w:val="16"/>
        </w:rPr>
        <w:t>wiecień 2021</w:t>
      </w:r>
      <w:r w:rsidRPr="000A6485">
        <w:rPr>
          <w:rFonts w:ascii="Verdana" w:hAnsi="Verdana"/>
          <w:sz w:val="16"/>
          <w:szCs w:val="16"/>
        </w:rPr>
        <w:t xml:space="preserve"> r.;</w:t>
      </w:r>
    </w:p>
    <w:p w:rsidR="007F07DD" w:rsidRPr="000A6485" w:rsidRDefault="007F07DD" w:rsidP="007F07DD">
      <w:pPr>
        <w:numPr>
          <w:ilvl w:val="0"/>
          <w:numId w:val="4"/>
        </w:numPr>
        <w:tabs>
          <w:tab w:val="clear" w:pos="720"/>
          <w:tab w:val="num" w:pos="540"/>
        </w:tabs>
        <w:spacing w:before="60" w:after="60"/>
        <w:ind w:left="540" w:hanging="180"/>
        <w:jc w:val="both"/>
        <w:rPr>
          <w:rFonts w:ascii="Verdana" w:hAnsi="Verdana"/>
          <w:sz w:val="16"/>
          <w:szCs w:val="16"/>
        </w:rPr>
      </w:pPr>
      <w:r w:rsidRPr="000A6485">
        <w:rPr>
          <w:rFonts w:ascii="Verdana" w:hAnsi="Verdana"/>
          <w:i/>
          <w:sz w:val="16"/>
          <w:szCs w:val="16"/>
        </w:rPr>
        <w:t xml:space="preserve">Wytyczne dotyczące stosowania jednolitych wskaźników makroekonomicznych będących podstawą oszacowania skutków finansowych projektowanych ustaw – aktualizacja </w:t>
      </w:r>
      <w:r>
        <w:rPr>
          <w:rFonts w:ascii="Verdana" w:hAnsi="Verdana"/>
          <w:i/>
          <w:sz w:val="16"/>
          <w:szCs w:val="16"/>
        </w:rPr>
        <w:t>sierpień 2021</w:t>
      </w:r>
      <w:r w:rsidRPr="000A6485">
        <w:rPr>
          <w:rFonts w:ascii="Verdana" w:hAnsi="Verdana"/>
          <w:i/>
          <w:sz w:val="16"/>
          <w:szCs w:val="16"/>
        </w:rPr>
        <w:t xml:space="preserve"> r.</w:t>
      </w:r>
      <w:r w:rsidRPr="000A6485">
        <w:rPr>
          <w:rFonts w:ascii="Verdana" w:hAnsi="Verdana"/>
          <w:iCs/>
          <w:sz w:val="16"/>
          <w:szCs w:val="16"/>
        </w:rPr>
        <w:t xml:space="preserve">, Ministerstwo Finansów </w:t>
      </w:r>
      <w:r>
        <w:rPr>
          <w:rFonts w:ascii="Verdana" w:hAnsi="Verdana"/>
          <w:iCs/>
          <w:sz w:val="16"/>
          <w:szCs w:val="16"/>
        </w:rPr>
        <w:t>sierpień 2021</w:t>
      </w:r>
      <w:r w:rsidRPr="000A6485">
        <w:rPr>
          <w:rFonts w:ascii="Verdana" w:hAnsi="Verdana"/>
          <w:iCs/>
          <w:sz w:val="16"/>
          <w:szCs w:val="16"/>
        </w:rPr>
        <w:t xml:space="preserve"> r.;</w:t>
      </w:r>
    </w:p>
    <w:p w:rsidR="007F07DD" w:rsidRPr="000A6485" w:rsidRDefault="007F07DD" w:rsidP="007F07DD">
      <w:pPr>
        <w:numPr>
          <w:ilvl w:val="0"/>
          <w:numId w:val="4"/>
        </w:numPr>
        <w:tabs>
          <w:tab w:val="clear" w:pos="720"/>
          <w:tab w:val="num" w:pos="540"/>
        </w:tabs>
        <w:spacing w:before="60" w:after="60"/>
        <w:ind w:left="540" w:hanging="180"/>
        <w:jc w:val="both"/>
        <w:rPr>
          <w:rFonts w:ascii="Verdana" w:hAnsi="Verdana"/>
          <w:sz w:val="16"/>
          <w:szCs w:val="16"/>
        </w:rPr>
      </w:pPr>
      <w:r w:rsidRPr="000A6485">
        <w:rPr>
          <w:rFonts w:ascii="Verdana" w:hAnsi="Verdana"/>
          <w:i/>
          <w:sz w:val="16"/>
          <w:szCs w:val="16"/>
        </w:rPr>
        <w:t>Informacja kwartalna o stanie finansów publicznych</w:t>
      </w:r>
      <w:r>
        <w:rPr>
          <w:rFonts w:ascii="Verdana" w:hAnsi="Verdana"/>
          <w:i/>
          <w:sz w:val="16"/>
          <w:szCs w:val="16"/>
        </w:rPr>
        <w:t xml:space="preserve"> w II kwartale 2021</w:t>
      </w:r>
      <w:r w:rsidRPr="000A6485">
        <w:rPr>
          <w:rFonts w:ascii="Verdana" w:hAnsi="Verdana"/>
          <w:i/>
          <w:sz w:val="16"/>
          <w:szCs w:val="16"/>
        </w:rPr>
        <w:t xml:space="preserve"> r.</w:t>
      </w:r>
      <w:r w:rsidRPr="000A6485">
        <w:rPr>
          <w:rFonts w:ascii="Verdana" w:hAnsi="Verdana"/>
          <w:sz w:val="16"/>
          <w:szCs w:val="16"/>
        </w:rPr>
        <w:t>, Ministerstwo Finansów sierpień</w:t>
      </w:r>
      <w:r>
        <w:rPr>
          <w:rFonts w:ascii="Verdana" w:hAnsi="Verdana"/>
          <w:sz w:val="16"/>
          <w:szCs w:val="16"/>
        </w:rPr>
        <w:t xml:space="preserve"> 2021</w:t>
      </w:r>
      <w:r w:rsidRPr="000A6485">
        <w:rPr>
          <w:rFonts w:ascii="Verdana" w:hAnsi="Verdana"/>
          <w:sz w:val="16"/>
          <w:szCs w:val="16"/>
        </w:rPr>
        <w:t xml:space="preserve"> r.;</w:t>
      </w:r>
    </w:p>
    <w:p w:rsidR="007F07DD" w:rsidRPr="000A6485" w:rsidRDefault="007F07DD" w:rsidP="007F07DD">
      <w:pPr>
        <w:numPr>
          <w:ilvl w:val="0"/>
          <w:numId w:val="4"/>
        </w:numPr>
        <w:tabs>
          <w:tab w:val="clear" w:pos="720"/>
          <w:tab w:val="num" w:pos="540"/>
        </w:tabs>
        <w:spacing w:before="60" w:after="60"/>
        <w:ind w:left="540" w:hanging="180"/>
        <w:jc w:val="both"/>
        <w:rPr>
          <w:rFonts w:ascii="Verdana" w:hAnsi="Verdana"/>
          <w:sz w:val="16"/>
          <w:szCs w:val="16"/>
        </w:rPr>
      </w:pPr>
      <w:r w:rsidRPr="000A6485">
        <w:rPr>
          <w:rFonts w:ascii="Verdana" w:hAnsi="Verdana"/>
          <w:i/>
          <w:sz w:val="16"/>
          <w:szCs w:val="16"/>
        </w:rPr>
        <w:t>Projekt ustawy budżetowej na rok 20</w:t>
      </w:r>
      <w:r>
        <w:rPr>
          <w:rFonts w:ascii="Verdana" w:hAnsi="Verdana"/>
          <w:i/>
          <w:sz w:val="16"/>
          <w:szCs w:val="16"/>
        </w:rPr>
        <w:t>22</w:t>
      </w:r>
      <w:r w:rsidRPr="000A6485">
        <w:rPr>
          <w:rFonts w:ascii="Verdana" w:hAnsi="Verdana"/>
          <w:i/>
          <w:sz w:val="16"/>
          <w:szCs w:val="16"/>
        </w:rPr>
        <w:t>,</w:t>
      </w:r>
      <w:r>
        <w:rPr>
          <w:rFonts w:ascii="Verdana" w:hAnsi="Verdana"/>
          <w:sz w:val="16"/>
          <w:szCs w:val="16"/>
        </w:rPr>
        <w:t xml:space="preserve"> wrzesień 2021</w:t>
      </w:r>
      <w:r w:rsidRPr="000A6485">
        <w:rPr>
          <w:rFonts w:ascii="Verdana" w:hAnsi="Verdana"/>
          <w:sz w:val="16"/>
          <w:szCs w:val="16"/>
        </w:rPr>
        <w:t xml:space="preserve"> r.;</w:t>
      </w:r>
    </w:p>
    <w:p w:rsidR="007F07DD" w:rsidRPr="00841EE5" w:rsidRDefault="007F07DD" w:rsidP="007F07DD">
      <w:pPr>
        <w:numPr>
          <w:ilvl w:val="0"/>
          <w:numId w:val="4"/>
        </w:numPr>
        <w:tabs>
          <w:tab w:val="clear" w:pos="720"/>
          <w:tab w:val="num" w:pos="540"/>
        </w:tabs>
        <w:spacing w:before="60" w:after="60"/>
        <w:ind w:left="540" w:hanging="180"/>
        <w:jc w:val="both"/>
        <w:rPr>
          <w:rFonts w:ascii="Verdana" w:hAnsi="Verdana"/>
          <w:iCs/>
          <w:sz w:val="16"/>
          <w:szCs w:val="16"/>
        </w:rPr>
      </w:pPr>
      <w:r w:rsidRPr="00841EE5">
        <w:rPr>
          <w:rFonts w:ascii="Verdana" w:hAnsi="Verdana"/>
          <w:iCs/>
          <w:sz w:val="16"/>
          <w:szCs w:val="16"/>
        </w:rPr>
        <w:t>Informacje o wysokości subwencji oraz szacowanych wpł</w:t>
      </w:r>
      <w:r>
        <w:rPr>
          <w:rFonts w:ascii="Verdana" w:hAnsi="Verdana"/>
          <w:iCs/>
          <w:sz w:val="16"/>
          <w:szCs w:val="16"/>
        </w:rPr>
        <w:t>ywach z tytułu udziału w podatkach dochodowych</w:t>
      </w:r>
      <w:r w:rsidRPr="00841EE5">
        <w:rPr>
          <w:rFonts w:ascii="Verdana" w:hAnsi="Verdana"/>
          <w:iCs/>
          <w:sz w:val="16"/>
          <w:szCs w:val="16"/>
        </w:rPr>
        <w:t xml:space="preserve"> od osób fizycznych</w:t>
      </w:r>
      <w:r>
        <w:rPr>
          <w:rFonts w:ascii="Verdana" w:hAnsi="Verdana"/>
          <w:iCs/>
          <w:sz w:val="16"/>
          <w:szCs w:val="16"/>
        </w:rPr>
        <w:t xml:space="preserve"> (PIT) i prawnych (CIT)</w:t>
      </w:r>
      <w:r w:rsidRPr="00841EE5">
        <w:rPr>
          <w:rFonts w:ascii="Verdana" w:hAnsi="Verdana"/>
          <w:iCs/>
          <w:sz w:val="16"/>
          <w:szCs w:val="16"/>
        </w:rPr>
        <w:t xml:space="preserve"> przekazane przez Ministerstwo Finansów w pismach:</w:t>
      </w:r>
      <w:r w:rsidRPr="00AC083A">
        <w:rPr>
          <w:rFonts w:ascii="Verdana" w:hAnsi="Verdana"/>
          <w:sz w:val="16"/>
          <w:szCs w:val="16"/>
        </w:rPr>
        <w:t xml:space="preserve"> ST3.4750.31.2021 i ST8.4750.5.2021</w:t>
      </w:r>
      <w:r>
        <w:rPr>
          <w:rFonts w:ascii="Verdana" w:hAnsi="Verdana"/>
          <w:iCs/>
          <w:sz w:val="16"/>
          <w:szCs w:val="16"/>
        </w:rPr>
        <w:t xml:space="preserve"> z 14 października 2021</w:t>
      </w:r>
      <w:r w:rsidRPr="00841EE5">
        <w:rPr>
          <w:rFonts w:ascii="Verdana" w:hAnsi="Verdana"/>
          <w:iCs/>
          <w:sz w:val="16"/>
          <w:szCs w:val="16"/>
        </w:rPr>
        <w:t xml:space="preserve"> r.;</w:t>
      </w:r>
    </w:p>
    <w:p w:rsidR="007F07DD" w:rsidRDefault="007F07DD" w:rsidP="007F07DD">
      <w:pPr>
        <w:numPr>
          <w:ilvl w:val="0"/>
          <w:numId w:val="4"/>
        </w:numPr>
        <w:tabs>
          <w:tab w:val="clear" w:pos="720"/>
          <w:tab w:val="num" w:pos="540"/>
        </w:tabs>
        <w:spacing w:before="60" w:after="60"/>
        <w:ind w:left="540" w:hanging="180"/>
        <w:jc w:val="both"/>
        <w:rPr>
          <w:rFonts w:ascii="Verdana" w:hAnsi="Verdana"/>
          <w:sz w:val="16"/>
          <w:szCs w:val="16"/>
        </w:rPr>
      </w:pPr>
      <w:r w:rsidRPr="000A6485">
        <w:rPr>
          <w:rFonts w:ascii="Verdana" w:hAnsi="Verdana"/>
          <w:i/>
          <w:iCs/>
          <w:sz w:val="16"/>
          <w:szCs w:val="16"/>
        </w:rPr>
        <w:t>Wieloletnia Prognoza Finansowa</w:t>
      </w:r>
      <w:r>
        <w:rPr>
          <w:rFonts w:ascii="Verdana" w:hAnsi="Verdana"/>
          <w:i/>
          <w:iCs/>
          <w:sz w:val="16"/>
          <w:szCs w:val="16"/>
        </w:rPr>
        <w:t xml:space="preserve"> m.st. Warszawy na lata 2021</w:t>
      </w:r>
      <w:r w:rsidRPr="000A6485">
        <w:rPr>
          <w:rFonts w:ascii="Verdana" w:hAnsi="Verdana"/>
          <w:i/>
          <w:iCs/>
          <w:sz w:val="16"/>
          <w:szCs w:val="16"/>
        </w:rPr>
        <w:t>-2050</w:t>
      </w:r>
      <w:r w:rsidRPr="000A6485">
        <w:rPr>
          <w:rFonts w:ascii="Verdana" w:hAnsi="Verdana"/>
          <w:sz w:val="16"/>
          <w:szCs w:val="16"/>
        </w:rPr>
        <w:t xml:space="preserve">, </w:t>
      </w:r>
      <w:r>
        <w:rPr>
          <w:rFonts w:ascii="Verdana" w:hAnsi="Verdana"/>
          <w:sz w:val="16"/>
          <w:szCs w:val="16"/>
        </w:rPr>
        <w:t>grudzień 2020</w:t>
      </w:r>
      <w:r w:rsidRPr="000A6485">
        <w:rPr>
          <w:rFonts w:ascii="Verdana" w:hAnsi="Verdana"/>
          <w:sz w:val="16"/>
          <w:szCs w:val="16"/>
        </w:rPr>
        <w:t xml:space="preserve"> r. z </w:t>
      </w:r>
      <w:proofErr w:type="spellStart"/>
      <w:r w:rsidRPr="000A6485">
        <w:rPr>
          <w:rFonts w:ascii="Verdana" w:hAnsi="Verdana"/>
          <w:sz w:val="16"/>
          <w:szCs w:val="16"/>
        </w:rPr>
        <w:t>późn</w:t>
      </w:r>
      <w:proofErr w:type="spellEnd"/>
      <w:r w:rsidRPr="000A6485">
        <w:rPr>
          <w:rFonts w:ascii="Verdana" w:hAnsi="Verdana"/>
          <w:sz w:val="16"/>
          <w:szCs w:val="16"/>
        </w:rPr>
        <w:t>. zm.</w:t>
      </w:r>
      <w:r>
        <w:rPr>
          <w:rFonts w:ascii="Verdana" w:hAnsi="Verdana"/>
          <w:sz w:val="16"/>
          <w:szCs w:val="16"/>
        </w:rPr>
        <w:t>;</w:t>
      </w:r>
    </w:p>
    <w:p w:rsidR="007F07DD" w:rsidRDefault="007F07DD" w:rsidP="007F07DD">
      <w:pPr>
        <w:numPr>
          <w:ilvl w:val="0"/>
          <w:numId w:val="4"/>
        </w:numPr>
        <w:tabs>
          <w:tab w:val="clear" w:pos="720"/>
          <w:tab w:val="num" w:pos="540"/>
        </w:tabs>
        <w:spacing w:before="60" w:after="60"/>
        <w:ind w:left="540" w:hanging="180"/>
        <w:jc w:val="both"/>
        <w:rPr>
          <w:rFonts w:ascii="Verdana" w:hAnsi="Verdana" w:cs="Arial"/>
          <w:sz w:val="16"/>
          <w:szCs w:val="16"/>
        </w:rPr>
      </w:pPr>
      <w:r>
        <w:rPr>
          <w:rFonts w:ascii="Verdana" w:hAnsi="Verdana" w:cs="Arial"/>
          <w:sz w:val="16"/>
          <w:szCs w:val="16"/>
        </w:rPr>
        <w:t>ustawa</w:t>
      </w:r>
      <w:r w:rsidRPr="00B83F87">
        <w:rPr>
          <w:rFonts w:ascii="Verdana" w:hAnsi="Verdana" w:cs="Arial"/>
          <w:sz w:val="16"/>
          <w:szCs w:val="16"/>
        </w:rPr>
        <w:t xml:space="preserve"> z 17 września 2021 r. </w:t>
      </w:r>
      <w:r w:rsidRPr="00B83F87">
        <w:rPr>
          <w:rFonts w:ascii="Verdana" w:hAnsi="Verdana" w:cs="Arial"/>
          <w:i/>
          <w:sz w:val="16"/>
          <w:szCs w:val="16"/>
        </w:rPr>
        <w:t>o zmianie ustawy o pomocy państwa w wychowaniu dzieci oraz niektórych innych ustaw</w:t>
      </w:r>
      <w:r>
        <w:rPr>
          <w:rFonts w:ascii="Verdana" w:hAnsi="Verdana" w:cs="Arial"/>
          <w:sz w:val="16"/>
          <w:szCs w:val="16"/>
        </w:rPr>
        <w:t xml:space="preserve"> </w:t>
      </w:r>
      <w:r w:rsidRPr="00AC083A">
        <w:rPr>
          <w:rFonts w:ascii="Verdana" w:hAnsi="Verdana" w:cs="Arial"/>
          <w:sz w:val="16"/>
          <w:szCs w:val="16"/>
        </w:rPr>
        <w:t>(</w:t>
      </w:r>
      <w:r>
        <w:rPr>
          <w:rFonts w:ascii="Verdana" w:hAnsi="Verdana" w:cs="Arial"/>
          <w:iCs/>
          <w:sz w:val="16"/>
          <w:szCs w:val="16"/>
        </w:rPr>
        <w:t>Dz.U. poz. 1981</w:t>
      </w:r>
      <w:r w:rsidRPr="00AC083A">
        <w:rPr>
          <w:rFonts w:ascii="Verdana" w:hAnsi="Verdana" w:cs="Arial"/>
          <w:sz w:val="16"/>
          <w:szCs w:val="16"/>
        </w:rPr>
        <w:t>)</w:t>
      </w:r>
      <w:r>
        <w:rPr>
          <w:rFonts w:ascii="Verdana" w:hAnsi="Verdana" w:cs="Arial"/>
          <w:sz w:val="16"/>
          <w:szCs w:val="16"/>
        </w:rPr>
        <w:t>;</w:t>
      </w:r>
    </w:p>
    <w:p w:rsidR="007F07DD" w:rsidRPr="00187595" w:rsidRDefault="007F07DD" w:rsidP="007F07DD">
      <w:pPr>
        <w:numPr>
          <w:ilvl w:val="0"/>
          <w:numId w:val="4"/>
        </w:numPr>
        <w:tabs>
          <w:tab w:val="clear" w:pos="720"/>
          <w:tab w:val="num" w:pos="567"/>
        </w:tabs>
        <w:spacing w:before="60" w:after="60"/>
        <w:ind w:left="567" w:hanging="218"/>
        <w:jc w:val="both"/>
        <w:rPr>
          <w:rFonts w:ascii="Verdana" w:hAnsi="Verdana"/>
          <w:sz w:val="16"/>
          <w:szCs w:val="16"/>
        </w:rPr>
      </w:pPr>
      <w:r>
        <w:rPr>
          <w:rFonts w:ascii="Verdana" w:hAnsi="Verdana" w:cs="Arial"/>
          <w:sz w:val="16"/>
          <w:szCs w:val="16"/>
        </w:rPr>
        <w:t>ustawa</w:t>
      </w:r>
      <w:r w:rsidRPr="00AC083A">
        <w:rPr>
          <w:rFonts w:ascii="Verdana" w:hAnsi="Verdana" w:cs="Arial"/>
          <w:sz w:val="16"/>
          <w:szCs w:val="16"/>
        </w:rPr>
        <w:t xml:space="preserve">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Pr>
          <w:rFonts w:ascii="Verdana" w:hAnsi="Verdana" w:cs="Arial"/>
          <w:iCs/>
          <w:sz w:val="16"/>
          <w:szCs w:val="16"/>
        </w:rPr>
        <w:t xml:space="preserve">Dz.U. </w:t>
      </w:r>
      <w:r w:rsidRPr="00AC083A">
        <w:rPr>
          <w:rFonts w:ascii="Verdana" w:hAnsi="Verdana" w:cs="Arial"/>
          <w:iCs/>
          <w:sz w:val="16"/>
          <w:szCs w:val="16"/>
        </w:rPr>
        <w:t>poz. 1927</w:t>
      </w:r>
      <w:r>
        <w:rPr>
          <w:rFonts w:ascii="Verdana" w:hAnsi="Verdana" w:cs="Arial"/>
          <w:sz w:val="16"/>
          <w:szCs w:val="16"/>
        </w:rPr>
        <w:t>);</w:t>
      </w:r>
    </w:p>
    <w:p w:rsidR="007F07DD" w:rsidRPr="00AC083A" w:rsidRDefault="007F07DD" w:rsidP="007F07DD">
      <w:pPr>
        <w:pStyle w:val="Akapitzlist"/>
        <w:numPr>
          <w:ilvl w:val="0"/>
          <w:numId w:val="4"/>
        </w:numPr>
        <w:tabs>
          <w:tab w:val="clear" w:pos="720"/>
          <w:tab w:val="num" w:pos="567"/>
        </w:tabs>
        <w:spacing w:before="60" w:after="60"/>
        <w:ind w:left="567" w:hanging="218"/>
        <w:contextualSpacing w:val="0"/>
        <w:jc w:val="both"/>
        <w:rPr>
          <w:rFonts w:ascii="Verdana" w:hAnsi="Verdana" w:cs="Arial"/>
          <w:i/>
          <w:sz w:val="16"/>
          <w:szCs w:val="16"/>
        </w:rPr>
      </w:pPr>
      <w:r>
        <w:rPr>
          <w:rFonts w:ascii="Verdana" w:hAnsi="Verdana" w:cs="Arial"/>
          <w:sz w:val="16"/>
          <w:szCs w:val="16"/>
        </w:rPr>
        <w:t>ustawa z 29</w:t>
      </w:r>
      <w:r w:rsidRPr="00AC083A">
        <w:rPr>
          <w:rFonts w:ascii="Verdana" w:hAnsi="Verdana" w:cs="Arial"/>
          <w:sz w:val="16"/>
          <w:szCs w:val="16"/>
        </w:rPr>
        <w:t xml:space="preserve"> października 2021 r. </w:t>
      </w:r>
      <w:r w:rsidRPr="00AC083A">
        <w:rPr>
          <w:rFonts w:ascii="Verdana" w:hAnsi="Verdana" w:cs="Arial"/>
          <w:i/>
          <w:sz w:val="16"/>
          <w:szCs w:val="16"/>
        </w:rPr>
        <w:t xml:space="preserve">o zmianie ustawy o podatku dochodowym od osób fizycznych, ustawy </w:t>
      </w:r>
      <w:r>
        <w:rPr>
          <w:rFonts w:ascii="Verdana" w:hAnsi="Verdana" w:cs="Arial"/>
          <w:i/>
          <w:sz w:val="16"/>
          <w:szCs w:val="16"/>
        </w:rPr>
        <w:br/>
      </w:r>
      <w:r w:rsidRPr="00AC083A">
        <w:rPr>
          <w:rFonts w:ascii="Verdana" w:hAnsi="Verdana" w:cs="Arial"/>
          <w:i/>
          <w:sz w:val="16"/>
          <w:szCs w:val="16"/>
        </w:rPr>
        <w:t>o podatku dochodowym od osób prawnych oraz niektórych innych ustaw</w:t>
      </w:r>
      <w:r>
        <w:rPr>
          <w:rFonts w:ascii="Verdana" w:hAnsi="Verdana" w:cs="Arial"/>
          <w:sz w:val="16"/>
          <w:szCs w:val="16"/>
        </w:rPr>
        <w:t xml:space="preserve"> (Dz.U. poz. 2105).</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 xml:space="preserve">W WPF </w:t>
      </w:r>
      <w:r w:rsidRPr="0090283F">
        <w:rPr>
          <w:rFonts w:ascii="Verdana" w:eastAsiaTheme="minorEastAsia" w:hAnsi="Verdana" w:cs="Verdana"/>
          <w:color w:val="000000"/>
          <w:sz w:val="16"/>
          <w:szCs w:val="16"/>
        </w:rPr>
        <w:t>2022</w:t>
      </w:r>
      <w:r w:rsidRPr="000A6485">
        <w:rPr>
          <w:rFonts w:ascii="Verdana" w:hAnsi="Verdana"/>
          <w:sz w:val="16"/>
          <w:szCs w:val="16"/>
        </w:rPr>
        <w:t>-2050</w:t>
      </w:r>
      <w:r>
        <w:rPr>
          <w:rFonts w:ascii="Verdana" w:hAnsi="Verdana"/>
          <w:sz w:val="16"/>
          <w:szCs w:val="16"/>
        </w:rPr>
        <w:t xml:space="preserve"> </w:t>
      </w:r>
      <w:r w:rsidRPr="000A6485">
        <w:rPr>
          <w:rFonts w:ascii="Verdana" w:hAnsi="Verdana"/>
          <w:sz w:val="16"/>
          <w:szCs w:val="16"/>
        </w:rPr>
        <w:t>uwzględniono również analizy własne obejmujące:</w:t>
      </w:r>
    </w:p>
    <w:p w:rsidR="007F07DD" w:rsidRPr="000A6485" w:rsidRDefault="007F07DD" w:rsidP="007F07DD">
      <w:pPr>
        <w:numPr>
          <w:ilvl w:val="0"/>
          <w:numId w:val="11"/>
        </w:numPr>
        <w:tabs>
          <w:tab w:val="clear" w:pos="1080"/>
          <w:tab w:val="num" w:pos="540"/>
        </w:tabs>
        <w:spacing w:before="60" w:after="60"/>
        <w:ind w:left="540" w:hanging="180"/>
        <w:jc w:val="both"/>
        <w:rPr>
          <w:rFonts w:ascii="Verdana" w:hAnsi="Verdana"/>
          <w:sz w:val="16"/>
          <w:szCs w:val="16"/>
        </w:rPr>
      </w:pPr>
      <w:r w:rsidRPr="000A6485">
        <w:rPr>
          <w:rFonts w:ascii="Verdana" w:hAnsi="Verdana"/>
          <w:sz w:val="16"/>
          <w:szCs w:val="16"/>
        </w:rPr>
        <w:t>tendencje w zakresie kształtowania się dochodów m.st. Warszawy z poszczególnych źródeł i wpływu na ich wysokość zmieniających się uwarunkowań wewnętrznych i zmian warunków w otoczeniu zewnętrznym,</w:t>
      </w:r>
    </w:p>
    <w:p w:rsidR="007F07DD" w:rsidRPr="000A6485" w:rsidRDefault="007F07DD" w:rsidP="007F07DD">
      <w:pPr>
        <w:numPr>
          <w:ilvl w:val="0"/>
          <w:numId w:val="11"/>
        </w:numPr>
        <w:tabs>
          <w:tab w:val="clear" w:pos="1080"/>
          <w:tab w:val="num" w:pos="540"/>
        </w:tabs>
        <w:spacing w:before="60" w:after="60"/>
        <w:ind w:left="540" w:hanging="180"/>
        <w:jc w:val="both"/>
        <w:rPr>
          <w:rFonts w:ascii="Verdana" w:hAnsi="Verdana"/>
          <w:sz w:val="16"/>
          <w:szCs w:val="16"/>
        </w:rPr>
      </w:pPr>
      <w:r w:rsidRPr="000A6485">
        <w:rPr>
          <w:rFonts w:ascii="Verdana" w:hAnsi="Verdana"/>
          <w:sz w:val="16"/>
          <w:szCs w:val="16"/>
        </w:rPr>
        <w:t>uwarunkowania w kształtowaniu wydatków Miasta,</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 xml:space="preserve">z uwzględnieniem negatywnych dla możliwości </w:t>
      </w:r>
      <w:r>
        <w:rPr>
          <w:rFonts w:ascii="Verdana" w:hAnsi="Verdana"/>
          <w:sz w:val="16"/>
          <w:szCs w:val="16"/>
        </w:rPr>
        <w:t>budżetowych</w:t>
      </w:r>
      <w:r w:rsidRPr="000A6485">
        <w:rPr>
          <w:rFonts w:ascii="Verdana" w:hAnsi="Verdana"/>
          <w:sz w:val="16"/>
          <w:szCs w:val="16"/>
        </w:rPr>
        <w:t xml:space="preserve"> </w:t>
      </w:r>
      <w:r>
        <w:rPr>
          <w:rFonts w:ascii="Verdana" w:hAnsi="Verdana"/>
          <w:sz w:val="16"/>
          <w:szCs w:val="16"/>
        </w:rPr>
        <w:t xml:space="preserve">m.st. Warszawy utrzymujących się konsekwencji społeczno-gospodarczych pandemii </w:t>
      </w:r>
      <w:proofErr w:type="spellStart"/>
      <w:r>
        <w:rPr>
          <w:rFonts w:ascii="Verdana" w:hAnsi="Verdana"/>
          <w:sz w:val="16"/>
          <w:szCs w:val="16"/>
        </w:rPr>
        <w:t>koronawirusa</w:t>
      </w:r>
      <w:proofErr w:type="spellEnd"/>
      <w:r>
        <w:rPr>
          <w:rFonts w:ascii="Verdana" w:hAnsi="Verdana"/>
          <w:sz w:val="16"/>
          <w:szCs w:val="16"/>
        </w:rPr>
        <w:t xml:space="preserve"> SARS-Cov-2 wywołującego chorobę COVID-19, które nałożyły się na niekorzystne dla dochodów samorządów</w:t>
      </w:r>
      <w:r w:rsidRPr="000A6485">
        <w:rPr>
          <w:rFonts w:ascii="Verdana" w:hAnsi="Verdana"/>
          <w:sz w:val="16"/>
          <w:szCs w:val="16"/>
        </w:rPr>
        <w:t xml:space="preserve"> zmian</w:t>
      </w:r>
      <w:r>
        <w:rPr>
          <w:rFonts w:ascii="Verdana" w:hAnsi="Verdana"/>
          <w:sz w:val="16"/>
          <w:szCs w:val="16"/>
        </w:rPr>
        <w:t>y prawne wprowadzone w latach 2018-2019</w:t>
      </w:r>
      <w:r w:rsidRPr="000A6485">
        <w:rPr>
          <w:rFonts w:ascii="Verdana" w:hAnsi="Verdana"/>
          <w:sz w:val="16"/>
          <w:szCs w:val="16"/>
        </w:rPr>
        <w:t xml:space="preserve"> w zakresie podatku doch</w:t>
      </w:r>
      <w:r>
        <w:rPr>
          <w:rFonts w:ascii="Verdana" w:hAnsi="Verdana"/>
          <w:sz w:val="16"/>
          <w:szCs w:val="16"/>
        </w:rPr>
        <w:t xml:space="preserve">odowego od osób fizycznych PIT </w:t>
      </w:r>
      <w:r w:rsidRPr="000A6485">
        <w:rPr>
          <w:rFonts w:ascii="Verdana" w:hAnsi="Verdana"/>
          <w:sz w:val="16"/>
          <w:szCs w:val="16"/>
        </w:rPr>
        <w:t xml:space="preserve">oraz </w:t>
      </w:r>
      <w:r>
        <w:rPr>
          <w:rFonts w:ascii="Verdana" w:hAnsi="Verdana"/>
          <w:sz w:val="16"/>
          <w:szCs w:val="16"/>
        </w:rPr>
        <w:t>dotyczące</w:t>
      </w:r>
      <w:r w:rsidRPr="000A6485">
        <w:rPr>
          <w:rFonts w:ascii="Verdana" w:hAnsi="Verdana"/>
          <w:sz w:val="16"/>
          <w:szCs w:val="16"/>
        </w:rPr>
        <w:t xml:space="preserve"> przekształcenia prawa użytkowania wieczystego </w:t>
      </w:r>
      <w:r w:rsidRPr="000A6485">
        <w:rPr>
          <w:rFonts w:ascii="Verdana" w:hAnsi="Verdana"/>
          <w:sz w:val="16"/>
          <w:szCs w:val="16"/>
        </w:rPr>
        <w:lastRenderedPageBreak/>
        <w:t xml:space="preserve">gruntów </w:t>
      </w:r>
      <w:r>
        <w:rPr>
          <w:rFonts w:ascii="Verdana" w:hAnsi="Verdana"/>
          <w:sz w:val="16"/>
          <w:szCs w:val="16"/>
        </w:rPr>
        <w:t xml:space="preserve">przeznaczonych </w:t>
      </w:r>
      <w:r w:rsidRPr="000A6485">
        <w:rPr>
          <w:rFonts w:ascii="Verdana" w:hAnsi="Verdana"/>
          <w:sz w:val="16"/>
          <w:szCs w:val="16"/>
        </w:rPr>
        <w:t>na cele mieszkaniowe w prawo własnoś</w:t>
      </w:r>
      <w:r>
        <w:rPr>
          <w:rFonts w:ascii="Verdana" w:hAnsi="Verdana"/>
          <w:sz w:val="16"/>
          <w:szCs w:val="16"/>
        </w:rPr>
        <w:t>ci (z bonifikatami) powodujące</w:t>
      </w:r>
      <w:r w:rsidRPr="000A6485">
        <w:rPr>
          <w:rFonts w:ascii="Verdana" w:hAnsi="Verdana"/>
          <w:sz w:val="16"/>
          <w:szCs w:val="16"/>
        </w:rPr>
        <w:t xml:space="preserve"> utratę dochodów związanych </w:t>
      </w:r>
      <w:r>
        <w:rPr>
          <w:rFonts w:ascii="Verdana" w:hAnsi="Verdana"/>
          <w:sz w:val="16"/>
          <w:szCs w:val="16"/>
        </w:rPr>
        <w:t>z użytkowaniem wieczystym, a także z uwzględnieniem rozwiązań prawnych</w:t>
      </w:r>
      <w:r w:rsidRPr="000270E2">
        <w:rPr>
          <w:rFonts w:ascii="Verdana" w:hAnsi="Verdana"/>
          <w:sz w:val="16"/>
          <w:szCs w:val="16"/>
        </w:rPr>
        <w:t xml:space="preserve"> </w:t>
      </w:r>
      <w:r>
        <w:rPr>
          <w:rFonts w:ascii="Verdana" w:hAnsi="Verdana"/>
          <w:sz w:val="16"/>
          <w:szCs w:val="16"/>
        </w:rPr>
        <w:t>przewidzianych</w:t>
      </w:r>
      <w:r w:rsidRPr="000270E2">
        <w:rPr>
          <w:rFonts w:ascii="Verdana" w:hAnsi="Verdana"/>
          <w:sz w:val="16"/>
          <w:szCs w:val="16"/>
        </w:rPr>
        <w:t xml:space="preserve"> </w:t>
      </w:r>
      <w:r>
        <w:rPr>
          <w:rFonts w:ascii="Verdana" w:hAnsi="Verdana"/>
          <w:sz w:val="16"/>
          <w:szCs w:val="16"/>
        </w:rPr>
        <w:br/>
      </w:r>
      <w:r w:rsidRPr="000270E2">
        <w:rPr>
          <w:rFonts w:ascii="Verdana" w:hAnsi="Verdana"/>
          <w:sz w:val="16"/>
          <w:szCs w:val="16"/>
        </w:rPr>
        <w:t xml:space="preserve">w rządowym Programie Polski Ład wprowadzającym w finansach samorządów zasadnicze zmiany systemowe </w:t>
      </w:r>
      <w:r>
        <w:rPr>
          <w:rFonts w:ascii="Verdana" w:hAnsi="Verdana"/>
          <w:sz w:val="16"/>
          <w:szCs w:val="16"/>
        </w:rPr>
        <w:br/>
      </w:r>
      <w:r w:rsidRPr="000270E2">
        <w:rPr>
          <w:rFonts w:ascii="Verdana" w:hAnsi="Verdana"/>
          <w:sz w:val="16"/>
          <w:szCs w:val="16"/>
        </w:rPr>
        <w:t>w trwały sposób negatywnie oddziałujące na potencjał dochodowy m.st. Warszawy, bez adekwatnych rozwiązań kompensacyjnych.</w:t>
      </w:r>
    </w:p>
    <w:p w:rsidR="007F07DD" w:rsidRDefault="007F07DD" w:rsidP="007F07DD">
      <w:pPr>
        <w:spacing w:before="60" w:after="60"/>
        <w:jc w:val="both"/>
        <w:rPr>
          <w:rFonts w:ascii="Verdana" w:hAnsi="Verdana"/>
          <w:sz w:val="16"/>
          <w:szCs w:val="16"/>
        </w:rPr>
      </w:pPr>
      <w:r w:rsidRPr="000A6485">
        <w:rPr>
          <w:rFonts w:ascii="Verdana" w:hAnsi="Verdana"/>
          <w:sz w:val="16"/>
          <w:szCs w:val="16"/>
        </w:rPr>
        <w:t xml:space="preserve">W </w:t>
      </w:r>
      <w:r>
        <w:rPr>
          <w:rFonts w:ascii="Verdana" w:hAnsi="Verdana"/>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sz w:val="16"/>
          <w:szCs w:val="16"/>
        </w:rPr>
        <w:t>-2050 ujęto planowane do uzyskania środki z unijnej perspektywy finansowej obejmującej lata 2014-2020</w:t>
      </w:r>
      <w:r>
        <w:rPr>
          <w:rFonts w:ascii="Verdana" w:hAnsi="Verdana"/>
          <w:sz w:val="16"/>
          <w:szCs w:val="16"/>
        </w:rPr>
        <w:t xml:space="preserve"> (z okresem rozliczeniowym do 2025 r.)</w:t>
      </w:r>
      <w:r w:rsidRPr="000A6485">
        <w:rPr>
          <w:rFonts w:ascii="Verdana" w:hAnsi="Verdana"/>
          <w:sz w:val="16"/>
          <w:szCs w:val="16"/>
        </w:rPr>
        <w:t>.</w:t>
      </w:r>
    </w:p>
    <w:p w:rsidR="007F07DD" w:rsidRDefault="007F07DD" w:rsidP="007F07DD">
      <w:pPr>
        <w:spacing w:before="120" w:after="120" w:line="240" w:lineRule="auto"/>
        <w:ind w:left="426" w:hanging="426"/>
        <w:rPr>
          <w:rFonts w:ascii="Verdana" w:hAnsi="Verdana"/>
          <w:b/>
          <w:bCs/>
          <w:sz w:val="22"/>
          <w:szCs w:val="22"/>
        </w:rPr>
      </w:pPr>
    </w:p>
    <w:p w:rsidR="007F07DD" w:rsidRPr="000A6485" w:rsidRDefault="007F07DD" w:rsidP="007F07DD">
      <w:pPr>
        <w:spacing w:before="120" w:after="120" w:line="240" w:lineRule="auto"/>
        <w:ind w:left="426" w:hanging="426"/>
        <w:rPr>
          <w:rFonts w:ascii="Verdana" w:hAnsi="Verdana"/>
          <w:b/>
          <w:bCs/>
          <w:sz w:val="22"/>
          <w:szCs w:val="22"/>
        </w:rPr>
      </w:pPr>
      <w:r w:rsidRPr="000A6485">
        <w:rPr>
          <w:rFonts w:ascii="Verdana" w:hAnsi="Verdana"/>
          <w:b/>
          <w:bCs/>
          <w:sz w:val="22"/>
          <w:szCs w:val="22"/>
        </w:rPr>
        <w:t>3.  Cele opracowania Wieloletniej Prognozy Finansowej m.st. Warszawy</w:t>
      </w:r>
    </w:p>
    <w:p w:rsidR="007F07DD" w:rsidRPr="000A6485" w:rsidRDefault="007F07DD" w:rsidP="007F07DD">
      <w:pPr>
        <w:spacing w:before="240" w:after="240" w:line="240" w:lineRule="auto"/>
        <w:rPr>
          <w:rFonts w:ascii="Verdana" w:hAnsi="Verdana"/>
          <w:b/>
          <w:bCs/>
          <w:sz w:val="20"/>
          <w:szCs w:val="20"/>
        </w:rPr>
      </w:pPr>
      <w:r w:rsidRPr="000A6485">
        <w:rPr>
          <w:rFonts w:ascii="Verdana" w:hAnsi="Verdana"/>
          <w:b/>
          <w:bCs/>
          <w:sz w:val="20"/>
          <w:szCs w:val="20"/>
        </w:rPr>
        <w:t xml:space="preserve">3.1 Ograniczenie ryzyka w zarządzaniu finansami m.st. Warszawy </w:t>
      </w:r>
      <w:r w:rsidRPr="000A6485">
        <w:rPr>
          <w:rFonts w:ascii="Verdana" w:hAnsi="Verdana"/>
          <w:b/>
          <w:bCs/>
          <w:sz w:val="20"/>
          <w:szCs w:val="20"/>
        </w:rPr>
        <w:br/>
        <w:t xml:space="preserve">      w perspektywie wieloletniej</w:t>
      </w:r>
    </w:p>
    <w:p w:rsidR="007F07DD" w:rsidRPr="000A6485" w:rsidRDefault="007F07DD" w:rsidP="007F07DD">
      <w:pPr>
        <w:spacing w:before="60" w:after="60"/>
        <w:ind w:firstLine="540"/>
        <w:jc w:val="both"/>
        <w:rPr>
          <w:rFonts w:ascii="Verdana" w:hAnsi="Verdana"/>
          <w:iCs/>
          <w:sz w:val="16"/>
          <w:szCs w:val="16"/>
        </w:rPr>
      </w:pPr>
      <w:r w:rsidRPr="000A6485">
        <w:rPr>
          <w:rFonts w:ascii="Verdana" w:hAnsi="Verdana"/>
          <w:iCs/>
          <w:sz w:val="16"/>
          <w:szCs w:val="16"/>
        </w:rPr>
        <w:t>Prognozowanie i planowanie w perspektywie wieloletniej podyktowane jest w głównej mierze charakterem prowadzonej działalności:</w:t>
      </w:r>
    </w:p>
    <w:p w:rsidR="007F07DD" w:rsidRPr="000A6485" w:rsidRDefault="007F07DD" w:rsidP="007F07DD">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ciągłością funkcjonowania jednostek organizacyjnych,</w:t>
      </w:r>
    </w:p>
    <w:p w:rsidR="007F07DD" w:rsidRPr="000A6485" w:rsidRDefault="007F07DD" w:rsidP="007F07DD">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realizacją zadań inwestycyjnych w okresach przekraczających rok budżetowy,</w:t>
      </w:r>
    </w:p>
    <w:p w:rsidR="007F07DD" w:rsidRPr="000A6485" w:rsidRDefault="007F07DD" w:rsidP="007F07DD">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wieloletnimi skutkami decyzji finansowych podejmowanych w danym roku budżetowym.</w:t>
      </w:r>
    </w:p>
    <w:p w:rsidR="007F07DD" w:rsidRPr="000A6485" w:rsidRDefault="007F07DD" w:rsidP="007F07DD">
      <w:pPr>
        <w:spacing w:before="60" w:after="60"/>
        <w:ind w:firstLine="540"/>
        <w:jc w:val="both"/>
        <w:rPr>
          <w:rFonts w:ascii="Verdana" w:hAnsi="Verdana"/>
          <w:iCs/>
          <w:sz w:val="16"/>
          <w:szCs w:val="16"/>
        </w:rPr>
      </w:pPr>
      <w:r w:rsidRPr="000A6485">
        <w:rPr>
          <w:rFonts w:ascii="Verdana" w:hAnsi="Verdana"/>
          <w:iCs/>
          <w:sz w:val="16"/>
          <w:szCs w:val="16"/>
        </w:rPr>
        <w:t>Ponadto wśród wydatków m.st. Warszawy znajdują się wydatki obligatoryjne zdeterminowane ustawami bądź zawartymi przez Miasto umowami długookresowymi (</w:t>
      </w:r>
      <w:r>
        <w:rPr>
          <w:rFonts w:ascii="Verdana" w:hAnsi="Verdana"/>
          <w:iCs/>
          <w:sz w:val="16"/>
          <w:szCs w:val="16"/>
        </w:rPr>
        <w:t xml:space="preserve">m.in. </w:t>
      </w:r>
      <w:r w:rsidRPr="000A6485">
        <w:rPr>
          <w:rFonts w:ascii="Verdana" w:hAnsi="Verdana"/>
          <w:iCs/>
          <w:sz w:val="16"/>
          <w:szCs w:val="16"/>
        </w:rPr>
        <w:t xml:space="preserve">wpłata do budżetu państwa z przeznaczeniem </w:t>
      </w:r>
      <w:r w:rsidRPr="000A6485">
        <w:rPr>
          <w:rFonts w:ascii="Verdana" w:hAnsi="Verdana"/>
          <w:iCs/>
          <w:sz w:val="16"/>
          <w:szCs w:val="16"/>
        </w:rPr>
        <w:br/>
        <w:t>na subwencję równoważącą dla gmin i powiatów</w:t>
      </w:r>
      <w:r>
        <w:rPr>
          <w:rFonts w:ascii="Verdana" w:hAnsi="Verdana"/>
          <w:iCs/>
          <w:sz w:val="16"/>
          <w:szCs w:val="16"/>
        </w:rPr>
        <w:t>, tj. tzw. Janosikowe</w:t>
      </w:r>
      <w:r w:rsidRPr="000A6485">
        <w:rPr>
          <w:rFonts w:ascii="Verdana" w:hAnsi="Verdana"/>
          <w:iCs/>
          <w:sz w:val="16"/>
          <w:szCs w:val="16"/>
        </w:rPr>
        <w:t xml:space="preserve">, zakup usług komunikacji miejskiej </w:t>
      </w:r>
      <w:r>
        <w:rPr>
          <w:rFonts w:ascii="Verdana" w:hAnsi="Verdana"/>
          <w:iCs/>
          <w:sz w:val="16"/>
          <w:szCs w:val="16"/>
        </w:rPr>
        <w:br/>
      </w:r>
      <w:r w:rsidRPr="000A6485">
        <w:rPr>
          <w:rFonts w:ascii="Verdana" w:hAnsi="Verdana"/>
          <w:iCs/>
          <w:sz w:val="16"/>
          <w:szCs w:val="16"/>
        </w:rPr>
        <w:t>na podstawie wieloletnich umów, koszty obsługi długu).</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3.2 Podstawa do zaciągania zobowiązań wieloletnich</w:t>
      </w:r>
    </w:p>
    <w:p w:rsidR="007F07DD" w:rsidRPr="000A6485" w:rsidRDefault="007F07DD" w:rsidP="007F07DD">
      <w:pPr>
        <w:spacing w:before="120" w:after="120"/>
        <w:ind w:firstLine="539"/>
        <w:jc w:val="both"/>
        <w:rPr>
          <w:rFonts w:ascii="Verdana" w:hAnsi="Verdana"/>
          <w:iCs/>
          <w:sz w:val="16"/>
          <w:szCs w:val="16"/>
        </w:rPr>
      </w:pPr>
      <w:r w:rsidRPr="000A6485">
        <w:rPr>
          <w:rFonts w:ascii="Verdana" w:hAnsi="Verdana"/>
          <w:iCs/>
          <w:sz w:val="16"/>
          <w:szCs w:val="16"/>
        </w:rPr>
        <w:t xml:space="preserve">WPF wytycza długookresowe ramy finansowe działalności m.st. Warszawy ustalając m.in. możliwości finansowania nowych zadań, dając podstawę do zaciągania długoterminowych zobowiązań. WPF umożliwia dokonywanie weryfikacji możliwości sfinansowania długoterminowych przedsięwzięć. Parametry budżetowe ujęte w WPF stanowią podstawę projektowania kolejnych rocznych budżetów. Prognozowana dostępność środków </w:t>
      </w:r>
      <w:r w:rsidRPr="000A6485">
        <w:rPr>
          <w:rFonts w:ascii="Verdana" w:hAnsi="Verdana"/>
          <w:iCs/>
          <w:sz w:val="16"/>
          <w:szCs w:val="16"/>
        </w:rPr>
        <w:br/>
        <w:t xml:space="preserve">w planach finansowych dysponentów jest przesłanką do określenia pułapu nowo zaciąganych zobowiązań wieloletnich, zapewniając zachowanie bezpieczeństwa budżetowego. W efekcie zgodnie z ustawą </w:t>
      </w:r>
      <w:r w:rsidRPr="000A6485">
        <w:rPr>
          <w:rFonts w:ascii="Verdana" w:hAnsi="Verdana"/>
          <w:iCs/>
          <w:sz w:val="16"/>
          <w:szCs w:val="16"/>
        </w:rPr>
        <w:br/>
        <w:t xml:space="preserve">o finansach publicznych uchwała w sprawie WPF zawiera upoważnienie dla Prezydenta Miasta do zaciągania zobowiązań związanych z realizacją zamieszczonych w niej przedsięwzięć. </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3.3 Wypełnienie zapisów ustawowych</w:t>
      </w:r>
    </w:p>
    <w:p w:rsidR="007F07DD" w:rsidRPr="000A6485"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Zgodnie z ustawą o finansach publicznych WPF obejmuje okres roku budżetowego oraz co najmniej trzech kolejnych lat. Okres objęty WPF nie może być krótszy niż okres, na który przyjęto limity wydatków </w:t>
      </w:r>
      <w:r w:rsidRPr="000A6485">
        <w:rPr>
          <w:rFonts w:ascii="Verdana" w:hAnsi="Verdana"/>
          <w:sz w:val="16"/>
          <w:szCs w:val="16"/>
        </w:rPr>
        <w:br/>
        <w:t>na tzw. przedsięwzięcia. W warunkach m.st. Warszawy horyzont czasowy WPF wyznaczają planowane zobowiązania z tytułu obsługi przewidywanych do zaciągnięcia zobowiązań dłużnych.</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Na podstawie delegacji zawartej w art. 230b ustawy</w:t>
      </w:r>
      <w:r>
        <w:rPr>
          <w:rFonts w:ascii="Verdana" w:hAnsi="Verdana"/>
          <w:sz w:val="16"/>
          <w:szCs w:val="16"/>
        </w:rPr>
        <w:t xml:space="preserve"> o finansach publicznych</w:t>
      </w:r>
      <w:r w:rsidRPr="000A6485">
        <w:rPr>
          <w:rFonts w:ascii="Verdana" w:hAnsi="Verdana"/>
          <w:sz w:val="16"/>
          <w:szCs w:val="16"/>
        </w:rPr>
        <w:t xml:space="preserve"> Minister Finansów w dniu </w:t>
      </w:r>
      <w:r>
        <w:rPr>
          <w:rFonts w:ascii="Verdana" w:hAnsi="Verdana"/>
          <w:sz w:val="16"/>
          <w:szCs w:val="16"/>
        </w:rPr>
        <w:br/>
      </w:r>
      <w:r w:rsidRPr="000A6485">
        <w:rPr>
          <w:rFonts w:ascii="Verdana" w:hAnsi="Verdana"/>
          <w:sz w:val="16"/>
          <w:szCs w:val="16"/>
        </w:rPr>
        <w:t xml:space="preserve">10 stycznia 2013 r. wydał rozporządzenie </w:t>
      </w:r>
      <w:r w:rsidRPr="00494813">
        <w:rPr>
          <w:rFonts w:ascii="Verdana" w:hAnsi="Verdana"/>
          <w:i/>
          <w:sz w:val="16"/>
          <w:szCs w:val="16"/>
        </w:rPr>
        <w:t>w sprawie wieloletniej prognozy finansowej jednostki samorządu terytorialnego</w:t>
      </w:r>
      <w:r w:rsidRPr="000A6485">
        <w:rPr>
          <w:rFonts w:ascii="Verdana" w:hAnsi="Verdana"/>
          <w:sz w:val="16"/>
          <w:szCs w:val="16"/>
        </w:rPr>
        <w:t xml:space="preserve"> (</w:t>
      </w:r>
      <w:r>
        <w:rPr>
          <w:rFonts w:ascii="Verdana" w:hAnsi="Verdana"/>
          <w:sz w:val="16"/>
          <w:szCs w:val="16"/>
        </w:rPr>
        <w:t>Dz.U.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W Rozporządzeniu określono m.in. wzór wieloletniej prognozy finansowej jednostki samorządu terytorialnego (załącznik nr 1) oraz wzór wykazu przedsięwzięć wieloletnich (załącznik </w:t>
      </w:r>
      <w:r>
        <w:rPr>
          <w:rFonts w:ascii="Verdana" w:hAnsi="Verdana"/>
          <w:sz w:val="16"/>
          <w:szCs w:val="16"/>
        </w:rPr>
        <w:br/>
      </w:r>
      <w:r w:rsidRPr="000A6485">
        <w:rPr>
          <w:rFonts w:ascii="Verdana" w:hAnsi="Verdana"/>
          <w:sz w:val="16"/>
          <w:szCs w:val="16"/>
        </w:rPr>
        <w:t xml:space="preserve">nr 2). WPF </w:t>
      </w:r>
      <w:r w:rsidRPr="0090283F">
        <w:rPr>
          <w:rFonts w:ascii="Verdana" w:eastAsiaTheme="minorEastAsia" w:hAnsi="Verdana" w:cs="Verdana"/>
          <w:color w:val="000000"/>
          <w:sz w:val="16"/>
          <w:szCs w:val="16"/>
        </w:rPr>
        <w:t>2022</w:t>
      </w:r>
      <w:r w:rsidRPr="000A6485">
        <w:rPr>
          <w:rFonts w:ascii="Verdana" w:hAnsi="Verdana"/>
          <w:sz w:val="16"/>
          <w:szCs w:val="16"/>
        </w:rPr>
        <w:t>-2050 ujmuje</w:t>
      </w:r>
      <w:r>
        <w:rPr>
          <w:rFonts w:ascii="Verdana" w:hAnsi="Verdana"/>
          <w:sz w:val="16"/>
          <w:szCs w:val="16"/>
        </w:rPr>
        <w:t>,</w:t>
      </w:r>
      <w:r w:rsidRPr="000A6485">
        <w:rPr>
          <w:rFonts w:ascii="Verdana" w:hAnsi="Verdana"/>
          <w:sz w:val="16"/>
          <w:szCs w:val="16"/>
        </w:rPr>
        <w:t xml:space="preserve"> zgodnie z właściwymi przepisami</w:t>
      </w:r>
      <w:r>
        <w:rPr>
          <w:rFonts w:ascii="Verdana" w:hAnsi="Verdana"/>
          <w:sz w:val="16"/>
          <w:szCs w:val="16"/>
        </w:rPr>
        <w:t>,</w:t>
      </w:r>
      <w:r w:rsidRPr="000A6485">
        <w:rPr>
          <w:rFonts w:ascii="Verdana" w:hAnsi="Verdana"/>
          <w:sz w:val="16"/>
          <w:szCs w:val="16"/>
        </w:rPr>
        <w:t xml:space="preserve"> dochody i wydatki z zakresu finansowania programów, projektów lub zadań z udziałem środków unijnych. Uwzględnia informacje odnoszące się do długu </w:t>
      </w:r>
      <w:r>
        <w:rPr>
          <w:rFonts w:ascii="Verdana" w:hAnsi="Verdana"/>
          <w:sz w:val="16"/>
          <w:szCs w:val="16"/>
        </w:rPr>
        <w:t>jednostki samorządu terytorialnego</w:t>
      </w:r>
      <w:r w:rsidRPr="000A6485">
        <w:rPr>
          <w:rFonts w:ascii="Verdana" w:hAnsi="Verdana"/>
          <w:sz w:val="16"/>
          <w:szCs w:val="16"/>
        </w:rPr>
        <w:t xml:space="preserve"> i jego spłat. Zawiera informacje o stopniu wypełnienia relacji określonych </w:t>
      </w:r>
      <w:r>
        <w:rPr>
          <w:rFonts w:ascii="Verdana" w:hAnsi="Verdana"/>
          <w:sz w:val="16"/>
          <w:szCs w:val="16"/>
        </w:rPr>
        <w:br/>
      </w:r>
      <w:r w:rsidRPr="000A6485">
        <w:rPr>
          <w:rFonts w:ascii="Verdana" w:hAnsi="Verdana"/>
          <w:sz w:val="16"/>
          <w:szCs w:val="16"/>
        </w:rPr>
        <w:lastRenderedPageBreak/>
        <w:t xml:space="preserve">w art. 242-243 ustawy o finansach publicznych (reguła dopuszczalnego poziomu wydatków bieżących i reguła indywidualnego limitu obsługi długu). W wykazie przedsięwzięć wieloletnich ujęte </w:t>
      </w:r>
      <w:r w:rsidRPr="00576682">
        <w:rPr>
          <w:rFonts w:ascii="Verdana" w:hAnsi="Verdana"/>
          <w:sz w:val="16"/>
          <w:szCs w:val="16"/>
        </w:rPr>
        <w:t xml:space="preserve">zostały przedsięwzięcia dotyczące programów, projektów lub zadań realizowanych z udziałem środków unijnych oraz związane </w:t>
      </w:r>
      <w:r>
        <w:rPr>
          <w:rFonts w:ascii="Verdana" w:hAnsi="Verdana"/>
          <w:sz w:val="16"/>
          <w:szCs w:val="16"/>
        </w:rPr>
        <w:br/>
      </w:r>
      <w:r w:rsidRPr="00576682">
        <w:rPr>
          <w:rFonts w:ascii="Verdana" w:hAnsi="Verdana"/>
          <w:sz w:val="16"/>
          <w:szCs w:val="16"/>
        </w:rPr>
        <w:t>z umowami partnerstwa publiczno-prywatnego</w:t>
      </w:r>
      <w:r>
        <w:rPr>
          <w:rFonts w:ascii="Verdana" w:hAnsi="Verdana"/>
          <w:sz w:val="16"/>
          <w:szCs w:val="16"/>
        </w:rPr>
        <w:t>.</w:t>
      </w:r>
    </w:p>
    <w:p w:rsidR="007F07DD" w:rsidRPr="000A6485"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Wartości przyjęte w WPF powinny być zgodne z budżetem co najmniej w zakresie wyniku budżetu </w:t>
      </w:r>
      <w:r w:rsidRPr="000A6485">
        <w:rPr>
          <w:rFonts w:ascii="Verdana" w:hAnsi="Verdana"/>
          <w:sz w:val="16"/>
          <w:szCs w:val="16"/>
        </w:rPr>
        <w:br/>
        <w:t xml:space="preserve">i związanych z nim kwot przychodów i rozchodów oraz długu. W WPF </w:t>
      </w:r>
      <w:r w:rsidRPr="0090283F">
        <w:rPr>
          <w:rFonts w:ascii="Verdana" w:eastAsiaTheme="minorEastAsia" w:hAnsi="Verdana" w:cs="Verdana"/>
          <w:color w:val="000000"/>
          <w:sz w:val="16"/>
          <w:szCs w:val="16"/>
        </w:rPr>
        <w:t>2022</w:t>
      </w:r>
      <w:r w:rsidRPr="000A6485">
        <w:rPr>
          <w:rFonts w:ascii="Verdana" w:hAnsi="Verdana"/>
          <w:sz w:val="16"/>
          <w:szCs w:val="16"/>
        </w:rPr>
        <w:t>-2050 zapewniona została pełna zgodność z</w:t>
      </w:r>
      <w:r>
        <w:rPr>
          <w:rFonts w:ascii="Verdana" w:hAnsi="Verdana"/>
          <w:sz w:val="16"/>
          <w:szCs w:val="16"/>
        </w:rPr>
        <w:t xml:space="preserve"> </w:t>
      </w:r>
      <w:r w:rsidRPr="000A6485">
        <w:rPr>
          <w:rFonts w:ascii="Verdana" w:hAnsi="Verdana"/>
          <w:sz w:val="16"/>
          <w:szCs w:val="16"/>
        </w:rPr>
        <w:t>budżet</w:t>
      </w:r>
      <w:r>
        <w:rPr>
          <w:rFonts w:ascii="Verdana" w:hAnsi="Verdana"/>
          <w:sz w:val="16"/>
          <w:szCs w:val="16"/>
        </w:rPr>
        <w:t>em</w:t>
      </w:r>
      <w:r w:rsidRPr="000A6485">
        <w:rPr>
          <w:rFonts w:ascii="Verdana" w:hAnsi="Verdana"/>
          <w:sz w:val="16"/>
          <w:szCs w:val="16"/>
        </w:rPr>
        <w:t xml:space="preserve"> </w:t>
      </w:r>
      <w:r>
        <w:rPr>
          <w:rFonts w:ascii="Verdana" w:hAnsi="Verdana"/>
          <w:sz w:val="16"/>
          <w:szCs w:val="16"/>
        </w:rPr>
        <w:t xml:space="preserve">m.st. Warszawy na </w:t>
      </w:r>
      <w:r w:rsidRPr="0090283F">
        <w:rPr>
          <w:rFonts w:ascii="Verdana" w:eastAsiaTheme="minorEastAsia" w:hAnsi="Verdana" w:cs="Verdana"/>
          <w:color w:val="000000"/>
          <w:sz w:val="16"/>
          <w:szCs w:val="16"/>
        </w:rPr>
        <w:t>2022</w:t>
      </w:r>
      <w:r w:rsidRPr="000A6485">
        <w:rPr>
          <w:rFonts w:ascii="Verdana" w:hAnsi="Verdana"/>
          <w:sz w:val="16"/>
          <w:szCs w:val="16"/>
        </w:rPr>
        <w:t xml:space="preserve"> r.</w:t>
      </w:r>
    </w:p>
    <w:p w:rsidR="007F07DD" w:rsidRPr="000A6485"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Projekt uchwały w sprawie WPF wraz z projektem uchwały budżetowej Prezydent Miasta przedstawia </w:t>
      </w:r>
      <w:r w:rsidRPr="000A6485">
        <w:rPr>
          <w:rFonts w:ascii="Verdana" w:hAnsi="Verdana"/>
          <w:sz w:val="16"/>
          <w:szCs w:val="16"/>
        </w:rPr>
        <w:br/>
        <w:t>w terminie do 15 listopada Radzie Miasta oraz Regionalnej Izbie Obrachunkowej celem zaopiniowania.</w:t>
      </w:r>
    </w:p>
    <w:p w:rsidR="007F07DD" w:rsidRPr="000A6485" w:rsidRDefault="007F07DD" w:rsidP="007F07DD">
      <w:pPr>
        <w:spacing w:before="60" w:after="60"/>
        <w:ind w:firstLine="540"/>
        <w:jc w:val="both"/>
        <w:rPr>
          <w:rFonts w:ascii="Verdana" w:hAnsi="Verdana"/>
          <w:b/>
          <w:bCs/>
          <w:sz w:val="16"/>
          <w:szCs w:val="16"/>
        </w:rPr>
      </w:pPr>
      <w:r w:rsidRPr="000A6485">
        <w:rPr>
          <w:rFonts w:ascii="Verdana" w:hAnsi="Verdana"/>
          <w:sz w:val="16"/>
          <w:szCs w:val="16"/>
        </w:rPr>
        <w:t>Rada Miasta uchwala WPF przed uchwaleniem budżetu, w terminie do 31 grudnia roku, w szczególnych przypadkach nie później niż do 31 stycznia roku budżetowego.</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3.4 Spełnienie zasady jawności i przejrzystości finansów publicznych</w:t>
      </w:r>
    </w:p>
    <w:p w:rsidR="007F07DD" w:rsidRPr="000A6485" w:rsidRDefault="007F07DD" w:rsidP="007F07DD">
      <w:pPr>
        <w:spacing w:before="60" w:after="60"/>
        <w:ind w:firstLine="539"/>
        <w:jc w:val="both"/>
        <w:rPr>
          <w:rFonts w:ascii="Verdana" w:hAnsi="Verdana" w:cs="Arial"/>
          <w:iCs/>
          <w:sz w:val="16"/>
          <w:szCs w:val="16"/>
        </w:rPr>
      </w:pPr>
      <w:r w:rsidRPr="000A6485">
        <w:rPr>
          <w:rFonts w:ascii="Verdana" w:hAnsi="Verdana"/>
          <w:sz w:val="16"/>
          <w:szCs w:val="16"/>
        </w:rPr>
        <w:t xml:space="preserve">Zgodnie z art. 33 ustawy </w:t>
      </w:r>
      <w:r w:rsidRPr="000A6485">
        <w:rPr>
          <w:rFonts w:ascii="Verdana" w:hAnsi="Verdana" w:cs="Arial"/>
          <w:iCs/>
          <w:sz w:val="16"/>
          <w:szCs w:val="16"/>
        </w:rPr>
        <w:t xml:space="preserve">o finansach publicznych gospodarka środkami publicznymi jest jawna. </w:t>
      </w:r>
      <w:r w:rsidRPr="000A6485">
        <w:rPr>
          <w:rFonts w:ascii="Verdana" w:hAnsi="Verdana" w:cs="Arial"/>
          <w:iCs/>
          <w:sz w:val="16"/>
          <w:szCs w:val="16"/>
        </w:rPr>
        <w:br/>
        <w:t>W praktyce oznacza to dostęp mieszkańców do informacji o działalności finansowej jednostki samorządu terytorialnego.</w:t>
      </w:r>
    </w:p>
    <w:p w:rsidR="007F07DD" w:rsidRPr="000A6485" w:rsidRDefault="007F07DD" w:rsidP="007F07DD">
      <w:pPr>
        <w:spacing w:before="60" w:after="60"/>
        <w:ind w:firstLine="539"/>
        <w:jc w:val="both"/>
        <w:rPr>
          <w:rFonts w:ascii="Verdana" w:hAnsi="Verdana" w:cs="Arial"/>
          <w:iCs/>
          <w:sz w:val="16"/>
          <w:szCs w:val="16"/>
        </w:rPr>
      </w:pPr>
      <w:r w:rsidRPr="000A6485">
        <w:rPr>
          <w:rFonts w:ascii="Verdana" w:hAnsi="Verdana" w:cs="Arial"/>
          <w:iCs/>
          <w:sz w:val="16"/>
          <w:szCs w:val="16"/>
        </w:rPr>
        <w:t xml:space="preserve">Jasne i przejrzyste zasady zarządzania finansami mają istotne znaczenie m.in. dla pozyskiwania zewnętrznego finansowania działalności m.st. Warszawy. Przejrzyste finanse wzmacniają wiarygodność kredytową Miasta i wpływają pozytywnie na oceny ratingowe.  </w:t>
      </w:r>
    </w:p>
    <w:p w:rsidR="007F07DD" w:rsidRPr="000A6485" w:rsidRDefault="007F07DD" w:rsidP="007F07DD">
      <w:pPr>
        <w:spacing w:before="60" w:after="60"/>
        <w:ind w:firstLine="539"/>
        <w:jc w:val="both"/>
        <w:rPr>
          <w:rFonts w:ascii="Verdana" w:hAnsi="Verdana" w:cs="Arial"/>
          <w:iCs/>
          <w:sz w:val="16"/>
          <w:szCs w:val="16"/>
        </w:rPr>
      </w:pPr>
      <w:r w:rsidRPr="000A6485">
        <w:rPr>
          <w:rFonts w:ascii="Verdana" w:hAnsi="Verdana" w:cs="Arial"/>
          <w:iCs/>
          <w:sz w:val="16"/>
          <w:szCs w:val="16"/>
        </w:rPr>
        <w:t xml:space="preserve">Zarówno zakres, jak i forma prezentacji </w:t>
      </w:r>
      <w:r w:rsidRPr="000A6485">
        <w:rPr>
          <w:rFonts w:ascii="Verdana" w:hAnsi="Verdana"/>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sz w:val="16"/>
          <w:szCs w:val="16"/>
        </w:rPr>
        <w:t xml:space="preserve">-2050 </w:t>
      </w:r>
      <w:r w:rsidRPr="000A6485">
        <w:rPr>
          <w:rFonts w:ascii="Verdana" w:hAnsi="Verdana" w:cs="Arial"/>
          <w:iCs/>
          <w:sz w:val="16"/>
          <w:szCs w:val="16"/>
        </w:rPr>
        <w:t xml:space="preserve">wypełniają standardy w obszarze jawności </w:t>
      </w:r>
      <w:r>
        <w:rPr>
          <w:rFonts w:ascii="Verdana" w:hAnsi="Verdana" w:cs="Arial"/>
          <w:iCs/>
          <w:sz w:val="16"/>
          <w:szCs w:val="16"/>
        </w:rPr>
        <w:br/>
      </w:r>
      <w:r w:rsidRPr="000A6485">
        <w:rPr>
          <w:rFonts w:ascii="Verdana" w:hAnsi="Verdana" w:cs="Arial"/>
          <w:iCs/>
          <w:sz w:val="16"/>
          <w:szCs w:val="16"/>
        </w:rPr>
        <w:t>i przejrzystości finansów m.st. Warszawy, zwłaszcza poprzez nakreślenie szczegółowej pespektywy finansowej Miasta w horyzoncie przekraczającym rok budżetowy.</w:t>
      </w:r>
    </w:p>
    <w:p w:rsidR="007F07DD" w:rsidRDefault="007F07DD" w:rsidP="007F07DD">
      <w:pPr>
        <w:spacing w:before="120" w:after="120"/>
        <w:jc w:val="both"/>
        <w:rPr>
          <w:rFonts w:ascii="Verdana" w:hAnsi="Verdana"/>
          <w:b/>
          <w:bCs/>
          <w:sz w:val="22"/>
          <w:szCs w:val="22"/>
        </w:rPr>
      </w:pPr>
    </w:p>
    <w:p w:rsidR="007F07DD" w:rsidRPr="000A6485" w:rsidRDefault="007F07DD" w:rsidP="007F07DD">
      <w:pPr>
        <w:spacing w:before="160" w:after="160" w:line="240" w:lineRule="auto"/>
        <w:ind w:left="284" w:hanging="284"/>
        <w:rPr>
          <w:rFonts w:ascii="Verdana" w:hAnsi="Verdana"/>
          <w:b/>
          <w:bCs/>
          <w:sz w:val="22"/>
          <w:szCs w:val="22"/>
        </w:rPr>
      </w:pPr>
      <w:r w:rsidRPr="000A6485">
        <w:rPr>
          <w:rFonts w:ascii="Verdana" w:hAnsi="Verdana"/>
          <w:b/>
          <w:bCs/>
          <w:sz w:val="22"/>
          <w:szCs w:val="22"/>
        </w:rPr>
        <w:t xml:space="preserve">4. Uwarunkowania prawno-budżetowe Wieloletniej Prognozy Finansowej  </w:t>
      </w:r>
      <w:r w:rsidRPr="000A6485">
        <w:rPr>
          <w:rFonts w:ascii="Verdana" w:hAnsi="Verdana"/>
          <w:b/>
          <w:bCs/>
          <w:sz w:val="22"/>
          <w:szCs w:val="22"/>
        </w:rPr>
        <w:br/>
        <w:t xml:space="preserve"> m.st. Warszawy</w:t>
      </w:r>
    </w:p>
    <w:p w:rsidR="007F07DD" w:rsidRPr="000A6485" w:rsidRDefault="007F07DD" w:rsidP="007F07DD">
      <w:pPr>
        <w:spacing w:before="240" w:after="240" w:line="240" w:lineRule="auto"/>
        <w:ind w:left="567" w:hanging="567"/>
        <w:rPr>
          <w:rFonts w:ascii="Verdana" w:hAnsi="Verdana"/>
          <w:b/>
          <w:bCs/>
          <w:sz w:val="20"/>
          <w:szCs w:val="20"/>
        </w:rPr>
      </w:pPr>
      <w:r w:rsidRPr="000A6485">
        <w:rPr>
          <w:rFonts w:ascii="Verdana" w:hAnsi="Verdana"/>
          <w:b/>
          <w:bCs/>
          <w:sz w:val="20"/>
          <w:szCs w:val="20"/>
        </w:rPr>
        <w:t>4.1 Unormowania ustawy o finansach publicznych</w:t>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t>4.1.1 Reguła wydatkowa w zakresie wydatków bieżących</w:t>
      </w:r>
    </w:p>
    <w:p w:rsidR="007F07DD" w:rsidRPr="0085401F" w:rsidRDefault="007F07DD" w:rsidP="007F07DD">
      <w:pPr>
        <w:pStyle w:val="Akapitzlist"/>
        <w:numPr>
          <w:ilvl w:val="0"/>
          <w:numId w:val="60"/>
        </w:numPr>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Kluczowe założenia reguły</w:t>
      </w:r>
    </w:p>
    <w:p w:rsidR="007F07DD" w:rsidRPr="000A6485" w:rsidRDefault="007F07DD" w:rsidP="007F07DD">
      <w:pPr>
        <w:spacing w:before="120" w:after="120"/>
        <w:ind w:firstLine="540"/>
        <w:jc w:val="both"/>
        <w:rPr>
          <w:rFonts w:ascii="Verdana" w:hAnsi="Verdana"/>
          <w:sz w:val="16"/>
          <w:szCs w:val="16"/>
        </w:rPr>
      </w:pPr>
      <w:r w:rsidRPr="000A6485">
        <w:rPr>
          <w:rFonts w:ascii="Verdana" w:hAnsi="Verdana" w:cs="Arial"/>
          <w:sz w:val="16"/>
          <w:szCs w:val="16"/>
        </w:rPr>
        <w:t>U</w:t>
      </w:r>
      <w:r w:rsidRPr="000A6485">
        <w:rPr>
          <w:rFonts w:ascii="Verdana" w:hAnsi="Verdana"/>
          <w:sz w:val="16"/>
          <w:szCs w:val="16"/>
        </w:rPr>
        <w:t xml:space="preserve">stawa o finansach publicznych w art. 242 ustanawia rygor finansowy polegający na tym, że </w:t>
      </w:r>
      <w:r w:rsidRPr="000A6485">
        <w:rPr>
          <w:rFonts w:ascii="Verdana" w:hAnsi="Verdana"/>
          <w:b/>
          <w:sz w:val="16"/>
          <w:szCs w:val="16"/>
        </w:rPr>
        <w:t>w danym roku budżetowym jednostka samorządu terytorialnego nie może planować większych wydatków bieżących niż dochody bieżące</w:t>
      </w:r>
      <w:r w:rsidRPr="000A6485">
        <w:rPr>
          <w:rFonts w:ascii="Verdana" w:hAnsi="Verdana"/>
          <w:sz w:val="16"/>
          <w:szCs w:val="16"/>
        </w:rPr>
        <w:t xml:space="preserve"> powiększone o</w:t>
      </w:r>
      <w:r>
        <w:rPr>
          <w:rFonts w:ascii="Verdana" w:hAnsi="Verdana"/>
          <w:sz w:val="16"/>
          <w:szCs w:val="16"/>
        </w:rPr>
        <w:t xml:space="preserve"> </w:t>
      </w:r>
      <w:r w:rsidRPr="000A6485">
        <w:rPr>
          <w:rFonts w:ascii="Verdana" w:hAnsi="Verdana"/>
          <w:b/>
          <w:sz w:val="16"/>
          <w:szCs w:val="16"/>
        </w:rPr>
        <w:t>nadwyżki budżetu z lat ubiegłych</w:t>
      </w:r>
      <w:r w:rsidRPr="000A6485">
        <w:rPr>
          <w:rFonts w:ascii="Verdana" w:hAnsi="Verdana"/>
          <w:sz w:val="16"/>
          <w:szCs w:val="16"/>
        </w:rPr>
        <w:t xml:space="preserve">, w tym niewykorzystane środki pieniężne na rachunku bieżącym budżetu, wynikające z rozliczenia dochodów i wydatków nimi finansowanych związanych ze szczególnymi zasadami wykonywania budżetu określonymi w odrębnych ustawach </w:t>
      </w:r>
      <w:r w:rsidRPr="000A6485">
        <w:rPr>
          <w:rFonts w:ascii="Verdana" w:hAnsi="Verdana"/>
          <w:sz w:val="16"/>
          <w:szCs w:val="16"/>
        </w:rPr>
        <w:br/>
        <w:t xml:space="preserve">i wynikające z rozliczenia środków unijnych oraz </w:t>
      </w:r>
      <w:r w:rsidRPr="000A6485">
        <w:rPr>
          <w:rFonts w:ascii="Verdana" w:hAnsi="Verdana"/>
          <w:b/>
          <w:sz w:val="16"/>
          <w:szCs w:val="16"/>
        </w:rPr>
        <w:t>spłaty udzielonych pożyczek w latach ubiegłych</w:t>
      </w:r>
      <w:r w:rsidRPr="000A6485">
        <w:rPr>
          <w:rFonts w:ascii="Verdana" w:hAnsi="Verdana"/>
          <w:sz w:val="16"/>
          <w:szCs w:val="16"/>
        </w:rPr>
        <w:t>.</w:t>
      </w:r>
    </w:p>
    <w:p w:rsidR="007F07DD" w:rsidRPr="0085401F" w:rsidRDefault="007F07DD" w:rsidP="007F07DD">
      <w:pPr>
        <w:pStyle w:val="Akapitzlist"/>
        <w:numPr>
          <w:ilvl w:val="0"/>
          <w:numId w:val="60"/>
        </w:numPr>
        <w:autoSpaceDE w:val="0"/>
        <w:autoSpaceDN w:val="0"/>
        <w:adjustRightInd w:val="0"/>
        <w:spacing w:before="240" w:after="60"/>
        <w:ind w:left="426" w:hanging="284"/>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2021</w:t>
      </w:r>
      <w:r w:rsidRPr="0085401F">
        <w:rPr>
          <w:rFonts w:ascii="Verdana" w:hAnsi="Verdana" w:cs="Verdana"/>
          <w:b/>
          <w:color w:val="000000"/>
          <w:sz w:val="16"/>
          <w:szCs w:val="16"/>
        </w:rPr>
        <w:t xml:space="preserve"> r. w związku z </w:t>
      </w:r>
      <w:r>
        <w:rPr>
          <w:rFonts w:ascii="Verdana" w:hAnsi="Verdana" w:cs="Verdana"/>
          <w:b/>
          <w:color w:val="000000"/>
          <w:sz w:val="16"/>
          <w:szCs w:val="16"/>
        </w:rPr>
        <w:t>pakietem rozwiązań legislacyjnych wchodzących w skład rządowego tzw. Programu Polski Ład</w:t>
      </w:r>
    </w:p>
    <w:p w:rsidR="007F07DD" w:rsidRDefault="007F07DD" w:rsidP="007F07DD">
      <w:pPr>
        <w:spacing w:before="120" w:after="120"/>
        <w:jc w:val="both"/>
        <w:rPr>
          <w:rFonts w:ascii="Verdana" w:hAnsi="Verdana"/>
          <w:iCs/>
          <w:sz w:val="16"/>
          <w:szCs w:val="16"/>
        </w:rPr>
      </w:pPr>
      <w:r>
        <w:rPr>
          <w:rFonts w:ascii="Verdana" w:hAnsi="Verdana" w:cs="Arial"/>
          <w:sz w:val="16"/>
          <w:szCs w:val="16"/>
        </w:rPr>
        <w:t>W myśl art. 9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(Dz.U. </w:t>
      </w:r>
      <w:r w:rsidRPr="00E7313D">
        <w:rPr>
          <w:rFonts w:ascii="Verdana" w:hAnsi="Verdana" w:cs="Arial"/>
          <w:sz w:val="16"/>
          <w:szCs w:val="16"/>
        </w:rPr>
        <w:t>poz. 1927)</w:t>
      </w:r>
      <w:r>
        <w:rPr>
          <w:rFonts w:ascii="Verdana" w:hAnsi="Verdana" w:cs="Arial"/>
          <w:sz w:val="16"/>
          <w:szCs w:val="16"/>
        </w:rPr>
        <w:t xml:space="preserve"> </w:t>
      </w:r>
      <w:r w:rsidRPr="00016858">
        <w:rPr>
          <w:rFonts w:ascii="Verdana" w:hAnsi="Verdana" w:cs="Arial"/>
          <w:b/>
          <w:sz w:val="16"/>
          <w:szCs w:val="16"/>
        </w:rPr>
        <w:t>l</w:t>
      </w:r>
      <w:r w:rsidRPr="00016858">
        <w:rPr>
          <w:rFonts w:ascii="Verdana" w:hAnsi="Verdana"/>
          <w:b/>
          <w:iCs/>
          <w:sz w:val="16"/>
          <w:szCs w:val="16"/>
        </w:rPr>
        <w:t>imit wydatków bieżących w 2022 r., co do zasady wyznaczany poziomem dochodów bieżących, zostaje podwyższony o kwotę tzw. wolnych środków</w:t>
      </w:r>
      <w:r>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016858">
        <w:rPr>
          <w:rFonts w:ascii="Verdana" w:hAnsi="Verdana"/>
          <w:b/>
          <w:iCs/>
          <w:sz w:val="16"/>
          <w:szCs w:val="16"/>
        </w:rPr>
        <w:t xml:space="preserve">badanie spełnienia reguły będzie prowadzone </w:t>
      </w:r>
      <w:r w:rsidRPr="00016858">
        <w:rPr>
          <w:rFonts w:ascii="Verdana" w:hAnsi="Verdana"/>
          <w:b/>
          <w:iCs/>
          <w:sz w:val="16"/>
          <w:szCs w:val="16"/>
        </w:rPr>
        <w:lastRenderedPageBreak/>
        <w:t>łącznie dla lat 2022-2025</w:t>
      </w:r>
      <w:r>
        <w:rPr>
          <w:rFonts w:ascii="Verdana" w:hAnsi="Verdana"/>
          <w:iCs/>
          <w:sz w:val="16"/>
          <w:szCs w:val="16"/>
        </w:rPr>
        <w:t>, co oznacza że niespełnienie reguły w danym roku lub latach musi zostać co najmniej skompensowane nadwyżkami wygenerowanymi w pozostałym okresie rozliczeniowym obejmującym lata 2022-2025.</w:t>
      </w:r>
    </w:p>
    <w:p w:rsidR="007F07DD" w:rsidRPr="0085401F" w:rsidRDefault="007F07DD" w:rsidP="007F07DD">
      <w:pPr>
        <w:pStyle w:val="Akapitzlist"/>
        <w:numPr>
          <w:ilvl w:val="0"/>
          <w:numId w:val="60"/>
        </w:numPr>
        <w:spacing w:before="240" w:after="12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Zapis matematyczny reguły</w:t>
      </w:r>
    </w:p>
    <w:p w:rsidR="007F07DD" w:rsidRPr="000A6485" w:rsidRDefault="007F07DD" w:rsidP="007F07DD">
      <w:pPr>
        <w:spacing w:before="120" w:after="120"/>
        <w:jc w:val="both"/>
        <w:rPr>
          <w:rFonts w:ascii="Verdana" w:hAnsi="Verdana" w:cs="Arial"/>
          <w:bCs/>
          <w:sz w:val="16"/>
          <w:szCs w:val="16"/>
        </w:rPr>
      </w:pPr>
      <w:r w:rsidRPr="000A6485">
        <w:rPr>
          <w:rFonts w:ascii="Verdana" w:hAnsi="Verdana" w:cs="Arial"/>
          <w:bCs/>
          <w:sz w:val="16"/>
          <w:szCs w:val="16"/>
        </w:rPr>
        <w:t>Ustawową regułę limitu wydatków bieżących prezentują poniższe wzory: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7F07DD" w:rsidRPr="000A6485" w:rsidTr="006A6052">
        <w:tc>
          <w:tcPr>
            <w:tcW w:w="4678" w:type="dxa"/>
          </w:tcPr>
          <w:p w:rsidR="007F07DD" w:rsidRPr="000A6485" w:rsidRDefault="007F07DD" w:rsidP="006A6052">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Pr>
                <w:rFonts w:ascii="Verdana" w:hAnsi="Verdana" w:cs="Arial"/>
                <w:b/>
                <w:sz w:val="16"/>
                <w:szCs w:val="16"/>
              </w:rPr>
              <w:t>w latach 2022-2025 łącznie</w:t>
            </w:r>
          </w:p>
          <w:p w:rsidR="007F07DD" w:rsidRPr="000A6485" w:rsidRDefault="007F07DD" w:rsidP="006A6052">
            <w:pPr>
              <w:spacing w:before="120" w:after="120"/>
              <w:jc w:val="both"/>
              <w:rPr>
                <w:rFonts w:ascii="Verdana" w:hAnsi="Verdana" w:cs="Arial"/>
                <w:b/>
                <w:sz w:val="20"/>
                <w:szCs w:val="20"/>
              </w:rPr>
            </w:pPr>
            <m:oMathPara>
              <m:oMath>
                <m:r>
                  <m:rPr>
                    <m:sty m:val="b"/>
                  </m:rPr>
                  <w:rPr>
                    <w:rFonts w:ascii="Cambria Math" w:hAnsi="Cambria Math" w:cs="Arial"/>
                    <w:sz w:val="20"/>
                    <w:szCs w:val="20"/>
                  </w:rPr>
                  <m:t>WB≤DB+NB+SP+</m:t>
                </m:r>
                <m:sSub>
                  <m:sSubPr>
                    <m:ctrlPr>
                      <w:rPr>
                        <w:rFonts w:ascii="Cambria Math" w:hAnsi="Cambria Math" w:cs="Arial"/>
                        <w:b/>
                        <w:sz w:val="20"/>
                        <w:szCs w:val="20"/>
                      </w:rPr>
                    </m:ctrlPr>
                  </m:sSubPr>
                  <m:e>
                    <m:r>
                      <m:rPr>
                        <m:sty m:val="b"/>
                      </m:rPr>
                      <w:rPr>
                        <w:rFonts w:ascii="Cambria Math" w:hAnsi="Cambria Math" w:cs="Arial"/>
                        <w:sz w:val="20"/>
                        <w:szCs w:val="20"/>
                      </w:rPr>
                      <m:t>WŚ</m:t>
                    </m:r>
                  </m:e>
                  <m:sub>
                    <m:r>
                      <m:rPr>
                        <m:sty m:val="bi"/>
                      </m:rPr>
                      <w:rPr>
                        <w:rFonts w:ascii="Cambria Math" w:hAnsi="Cambria Math" w:cs="Arial"/>
                        <w:sz w:val="20"/>
                        <w:szCs w:val="20"/>
                      </w:rPr>
                      <m:t>2022</m:t>
                    </m:r>
                  </m:sub>
                </m:sSub>
              </m:oMath>
            </m:oMathPara>
          </w:p>
        </w:tc>
        <w:tc>
          <w:tcPr>
            <w:tcW w:w="4383" w:type="dxa"/>
          </w:tcPr>
          <w:p w:rsidR="007F07DD" w:rsidRPr="000A6485" w:rsidRDefault="007F07DD" w:rsidP="006A6052">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sidRPr="000A6485">
              <w:rPr>
                <w:rFonts w:ascii="Verdana" w:hAnsi="Verdana" w:cs="Arial"/>
                <w:b/>
                <w:sz w:val="16"/>
                <w:szCs w:val="16"/>
              </w:rPr>
              <w:t>od roku 202</w:t>
            </w:r>
            <w:r>
              <w:rPr>
                <w:rFonts w:ascii="Verdana" w:hAnsi="Verdana" w:cs="Arial"/>
                <w:b/>
                <w:sz w:val="16"/>
                <w:szCs w:val="16"/>
              </w:rPr>
              <w:t>6</w:t>
            </w:r>
          </w:p>
          <w:p w:rsidR="007F07DD" w:rsidRPr="000A6485" w:rsidRDefault="007F07DD" w:rsidP="006A6052">
            <w:pPr>
              <w:spacing w:before="120" w:after="120"/>
              <w:jc w:val="both"/>
              <w:rPr>
                <w:rFonts w:ascii="Verdana" w:hAnsi="Verdana" w:cs="Arial"/>
                <w:b/>
                <w:sz w:val="18"/>
                <w:szCs w:val="18"/>
              </w:rPr>
            </w:pPr>
            <m:oMathPara>
              <m:oMath>
                <m:r>
                  <m:rPr>
                    <m:sty m:val="b"/>
                  </m:rPr>
                  <w:rPr>
                    <w:rFonts w:ascii="Cambria Math" w:hAnsi="Cambria Math" w:cs="Arial"/>
                    <w:sz w:val="20"/>
                    <w:szCs w:val="18"/>
                  </w:rPr>
                  <m:t>WB≤DB+NB+SP</m:t>
                </m:r>
              </m:oMath>
            </m:oMathPara>
          </w:p>
        </w:tc>
      </w:tr>
    </w:tbl>
    <w:p w:rsidR="007F07DD" w:rsidRPr="000A6485" w:rsidRDefault="007F07DD" w:rsidP="007F07DD">
      <w:pPr>
        <w:spacing w:before="120" w:after="120"/>
        <w:jc w:val="both"/>
        <w:rPr>
          <w:rFonts w:ascii="Verdana" w:hAnsi="Verdana"/>
          <w:sz w:val="16"/>
          <w:szCs w:val="16"/>
        </w:rPr>
      </w:pPr>
    </w:p>
    <w:p w:rsidR="007F07DD" w:rsidRPr="000A6485" w:rsidRDefault="007F07DD" w:rsidP="007F07DD">
      <w:pPr>
        <w:tabs>
          <w:tab w:val="left" w:pos="0"/>
        </w:tabs>
        <w:spacing w:before="120" w:after="120"/>
        <w:rPr>
          <w:rFonts w:ascii="Verdana" w:hAnsi="Verdana"/>
          <w:bCs/>
          <w:sz w:val="16"/>
          <w:szCs w:val="16"/>
        </w:rPr>
      </w:pPr>
      <w:r w:rsidRPr="000A6485">
        <w:rPr>
          <w:rFonts w:ascii="Verdana" w:hAnsi="Verdana"/>
          <w:sz w:val="16"/>
          <w:szCs w:val="16"/>
        </w:rPr>
        <w:t>gdzie:</w:t>
      </w:r>
      <w:r w:rsidRPr="000A6485">
        <w:rPr>
          <w:rFonts w:ascii="Verdana" w:hAnsi="Verdana"/>
          <w:b/>
          <w:sz w:val="14"/>
          <w:szCs w:val="14"/>
        </w:rPr>
        <w:t xml:space="preserve"> </w:t>
      </w:r>
      <w:r w:rsidRPr="000A6485">
        <w:rPr>
          <w:rFonts w:ascii="Verdana" w:hAnsi="Verdana"/>
          <w:b/>
          <w:sz w:val="14"/>
          <w:szCs w:val="14"/>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7"/>
      </w:tblGrid>
      <w:tr w:rsidR="007F07DD" w:rsidRPr="000A6485" w:rsidTr="006A6052">
        <w:tc>
          <w:tcPr>
            <w:tcW w:w="1134"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b/>
                <w:sz w:val="16"/>
                <w:szCs w:val="16"/>
              </w:rPr>
              <w:t>WB -</w:t>
            </w:r>
          </w:p>
        </w:tc>
        <w:tc>
          <w:tcPr>
            <w:tcW w:w="7937"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wydatki bieżące</w:t>
            </w:r>
          </w:p>
        </w:tc>
      </w:tr>
      <w:tr w:rsidR="007F07DD" w:rsidRPr="000A6485" w:rsidTr="006A6052">
        <w:tc>
          <w:tcPr>
            <w:tcW w:w="1134"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b/>
                <w:sz w:val="16"/>
                <w:szCs w:val="16"/>
              </w:rPr>
              <w:t>DB -</w:t>
            </w:r>
          </w:p>
        </w:tc>
        <w:tc>
          <w:tcPr>
            <w:tcW w:w="7937"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sz w:val="16"/>
                <w:szCs w:val="16"/>
              </w:rPr>
              <w:t>dochody bieżące</w:t>
            </w:r>
          </w:p>
        </w:tc>
      </w:tr>
      <w:tr w:rsidR="007F07DD" w:rsidRPr="000A6485" w:rsidTr="006A6052">
        <w:tc>
          <w:tcPr>
            <w:tcW w:w="1134"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b/>
                <w:sz w:val="16"/>
                <w:szCs w:val="16"/>
              </w:rPr>
              <w:t>NB  -</w:t>
            </w:r>
          </w:p>
        </w:tc>
        <w:tc>
          <w:tcPr>
            <w:tcW w:w="7937"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sz w:val="16"/>
                <w:szCs w:val="16"/>
              </w:rPr>
              <w:t>nadwyżki budżetu z lat ubiegłych, w tym niewykorzystane środki pieniężne na rachunku bieżącym budżetu, wynikające z rozliczenia dochodów i wydatków nimi finansowanych związanych ze szczególnymi zasadami wykonywania budżetu określonymi w odrębnych ustawach i wynikające z rozliczenia środków unijnych</w:t>
            </w:r>
          </w:p>
        </w:tc>
      </w:tr>
      <w:tr w:rsidR="007F07DD" w:rsidRPr="000A6485" w:rsidTr="006A6052">
        <w:tc>
          <w:tcPr>
            <w:tcW w:w="1134"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b/>
                <w:sz w:val="16"/>
                <w:szCs w:val="16"/>
              </w:rPr>
              <w:t>SP  -</w:t>
            </w:r>
          </w:p>
        </w:tc>
        <w:tc>
          <w:tcPr>
            <w:tcW w:w="7937"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sz w:val="16"/>
                <w:szCs w:val="16"/>
              </w:rPr>
              <w:t>spłaty udzielonych pożyczek w latach ubiegłych</w:t>
            </w:r>
          </w:p>
        </w:tc>
      </w:tr>
      <w:tr w:rsidR="007F07DD" w:rsidRPr="000A6485" w:rsidTr="006A6052">
        <w:tc>
          <w:tcPr>
            <w:tcW w:w="1134"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b/>
                <w:sz w:val="16"/>
                <w:szCs w:val="16"/>
              </w:rPr>
              <w:t>WŚ</w:t>
            </w:r>
            <w:r w:rsidRPr="00741CCC">
              <w:rPr>
                <w:rFonts w:ascii="Verdana" w:hAnsi="Verdana"/>
                <w:b/>
                <w:sz w:val="16"/>
                <w:szCs w:val="16"/>
                <w:vertAlign w:val="subscript"/>
              </w:rPr>
              <w:t>2022</w:t>
            </w:r>
            <w:r w:rsidRPr="000A6485">
              <w:rPr>
                <w:rFonts w:ascii="Verdana" w:hAnsi="Verdana"/>
                <w:b/>
                <w:sz w:val="16"/>
                <w:szCs w:val="16"/>
              </w:rPr>
              <w:t xml:space="preserve">  -</w:t>
            </w:r>
          </w:p>
        </w:tc>
        <w:tc>
          <w:tcPr>
            <w:tcW w:w="7937"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wolne środki na rachunku bieżącym </w:t>
            </w:r>
            <w:r w:rsidRPr="000A6485">
              <w:rPr>
                <w:rFonts w:ascii="Verdana" w:hAnsi="Verdana" w:cs="Arial"/>
                <w:iCs/>
                <w:sz w:val="16"/>
                <w:szCs w:val="16"/>
              </w:rPr>
              <w:t>wynikające z rozliczeń wyemitowanych papierów wartościowych, kredytów i pożyczek z lat ubiegłych</w:t>
            </w:r>
            <w:r w:rsidRPr="000A6485">
              <w:rPr>
                <w:rFonts w:ascii="Verdana" w:hAnsi="Verdana"/>
                <w:sz w:val="16"/>
                <w:szCs w:val="16"/>
              </w:rPr>
              <w:t xml:space="preserve"> </w:t>
            </w:r>
            <w:r>
              <w:rPr>
                <w:rFonts w:ascii="Verdana" w:hAnsi="Verdana"/>
                <w:bCs/>
                <w:sz w:val="16"/>
                <w:szCs w:val="16"/>
              </w:rPr>
              <w:t>w roku 2022</w:t>
            </w:r>
          </w:p>
        </w:tc>
      </w:tr>
    </w:tbl>
    <w:p w:rsidR="007F07DD" w:rsidRPr="000A6485" w:rsidRDefault="007F07DD" w:rsidP="007F07DD">
      <w:pPr>
        <w:spacing w:before="120" w:after="120"/>
        <w:jc w:val="both"/>
        <w:rPr>
          <w:rFonts w:ascii="Verdana" w:hAnsi="Verdana"/>
          <w:b/>
          <w:bCs/>
          <w:sz w:val="20"/>
          <w:szCs w:val="20"/>
        </w:rPr>
      </w:pPr>
    </w:p>
    <w:p w:rsidR="007F07DD" w:rsidRPr="000A6485" w:rsidRDefault="007F07DD" w:rsidP="007F07DD">
      <w:pPr>
        <w:spacing w:before="120" w:after="120"/>
        <w:rPr>
          <w:rFonts w:ascii="Verdana" w:hAnsi="Verdana"/>
          <w:b/>
          <w:bCs/>
          <w:sz w:val="18"/>
          <w:szCs w:val="18"/>
        </w:rPr>
      </w:pPr>
      <w:r w:rsidRPr="000A6485">
        <w:rPr>
          <w:rFonts w:ascii="Verdana" w:hAnsi="Verdana"/>
          <w:b/>
          <w:bCs/>
          <w:sz w:val="18"/>
          <w:szCs w:val="18"/>
        </w:rPr>
        <w:t>4.1.2 Reguła indywidualnego limitu obsługi długu</w:t>
      </w:r>
    </w:p>
    <w:p w:rsidR="007F07DD" w:rsidRPr="0085401F" w:rsidRDefault="007F07DD" w:rsidP="007F07DD">
      <w:pPr>
        <w:pStyle w:val="Akapitzlist"/>
        <w:numPr>
          <w:ilvl w:val="0"/>
          <w:numId w:val="60"/>
        </w:numPr>
        <w:spacing w:before="240" w:after="60"/>
        <w:ind w:left="426" w:hanging="284"/>
        <w:jc w:val="both"/>
        <w:rPr>
          <w:rFonts w:ascii="Verdana" w:hAnsi="Verdana" w:cs="Verdana"/>
          <w:b/>
          <w:color w:val="000000"/>
          <w:sz w:val="16"/>
          <w:szCs w:val="16"/>
        </w:rPr>
      </w:pPr>
      <w:r>
        <w:rPr>
          <w:rFonts w:ascii="Verdana" w:hAnsi="Verdana" w:cs="Verdana"/>
          <w:b/>
          <w:color w:val="000000"/>
          <w:sz w:val="16"/>
          <w:szCs w:val="16"/>
        </w:rPr>
        <w:t>Kluczowe założenia reguły</w:t>
      </w:r>
    </w:p>
    <w:p w:rsidR="007F07DD" w:rsidRPr="000A6485" w:rsidRDefault="007F07DD" w:rsidP="007F07DD">
      <w:pPr>
        <w:spacing w:before="60" w:after="60"/>
        <w:ind w:firstLine="539"/>
        <w:jc w:val="both"/>
        <w:rPr>
          <w:rFonts w:ascii="Verdana" w:hAnsi="Verdana"/>
          <w:iCs/>
          <w:sz w:val="16"/>
          <w:szCs w:val="16"/>
        </w:rPr>
      </w:pPr>
      <w:r w:rsidRPr="000A6485">
        <w:rPr>
          <w:rFonts w:ascii="Verdana" w:hAnsi="Verdana" w:cs="Verdana"/>
          <w:color w:val="000000"/>
          <w:sz w:val="16"/>
          <w:szCs w:val="16"/>
        </w:rPr>
        <w:t xml:space="preserve">Reguła, o której mowa w art. 243 ustawy o finansach publicznych, uwzględnia potencjał finansowy jednostki i wynikającą z niego indywidualną zdolność jednostki do spłaty zobowiązań dłużnych. Formuła ta ściśle uzależnia wielkość obciążeń budżetów jednostek samorządowych z tytułu zaciągniętych zobowiązań dłużnych </w:t>
      </w:r>
      <w:r w:rsidRPr="000A6485">
        <w:rPr>
          <w:rFonts w:ascii="Verdana" w:hAnsi="Verdana" w:cs="Verdana"/>
          <w:color w:val="000000"/>
          <w:sz w:val="16"/>
          <w:szCs w:val="16"/>
        </w:rPr>
        <w:br/>
        <w:t>od wysokości nadwyżki operacyjnej rozumianej jako nadwyżka dochodów bieżących nad wydatkami bieżącymi.</w:t>
      </w:r>
      <w:r w:rsidRPr="000A6485">
        <w:rPr>
          <w:rFonts w:ascii="Verdana" w:hAnsi="Verdana"/>
          <w:sz w:val="16"/>
          <w:szCs w:val="16"/>
        </w:rPr>
        <w:t xml:space="preserve"> </w:t>
      </w:r>
    </w:p>
    <w:p w:rsidR="007F07DD" w:rsidRPr="000A6485" w:rsidRDefault="007F07DD" w:rsidP="007F07DD">
      <w:pPr>
        <w:spacing w:before="60" w:after="60"/>
        <w:ind w:firstLine="539"/>
        <w:jc w:val="both"/>
        <w:rPr>
          <w:rFonts w:ascii="Verdana" w:hAnsi="Verdana"/>
          <w:b/>
          <w:iCs/>
          <w:sz w:val="16"/>
          <w:szCs w:val="16"/>
        </w:rPr>
      </w:pPr>
      <w:r w:rsidRPr="000A6485">
        <w:rPr>
          <w:rFonts w:ascii="Verdana" w:hAnsi="Verdana"/>
          <w:b/>
          <w:iCs/>
          <w:sz w:val="16"/>
          <w:szCs w:val="16"/>
        </w:rPr>
        <w:t xml:space="preserve">Konstrukcja normy co do zasady zakłada, że w danym roku budżetowym wysokość obciążeń budżetu związanych z obsługą zadłużenia (kapitał i odsetki) i udzielonymi poręczeniami </w:t>
      </w:r>
      <w:r w:rsidRPr="000A6485">
        <w:rPr>
          <w:rFonts w:ascii="Verdana" w:hAnsi="Verdana"/>
          <w:b/>
          <w:iCs/>
          <w:sz w:val="16"/>
          <w:szCs w:val="16"/>
        </w:rPr>
        <w:br/>
        <w:t>i gwarancjami w relacji do dochodów bieżących jest zdeterminowana historycznie ukształtowanym średnim poziomem relacji nadwyżki dochodów bieżących nad wydatkami bieżącymi do dochodów bieżących.</w:t>
      </w:r>
    </w:p>
    <w:p w:rsidR="007F07DD" w:rsidRPr="000A6485" w:rsidRDefault="007F07DD" w:rsidP="007F07DD">
      <w:pPr>
        <w:spacing w:before="60" w:after="60"/>
        <w:jc w:val="both"/>
        <w:rPr>
          <w:rFonts w:ascii="Verdana" w:hAnsi="Verdana"/>
          <w:iCs/>
          <w:sz w:val="16"/>
          <w:szCs w:val="16"/>
        </w:rPr>
      </w:pPr>
      <w:r w:rsidRPr="000A6485">
        <w:rPr>
          <w:rFonts w:ascii="Verdana" w:hAnsi="Verdana"/>
          <w:iCs/>
          <w:sz w:val="16"/>
          <w:szCs w:val="16"/>
        </w:rPr>
        <w:t xml:space="preserve">Dla </w:t>
      </w:r>
      <w:r>
        <w:rPr>
          <w:rFonts w:ascii="Verdana" w:hAnsi="Verdana"/>
          <w:b/>
          <w:iCs/>
          <w:sz w:val="16"/>
          <w:szCs w:val="16"/>
        </w:rPr>
        <w:t>lat 2022</w:t>
      </w:r>
      <w:r w:rsidRPr="000A6485">
        <w:rPr>
          <w:rFonts w:ascii="Verdana" w:hAnsi="Verdana"/>
          <w:b/>
          <w:iCs/>
          <w:sz w:val="16"/>
          <w:szCs w:val="16"/>
        </w:rPr>
        <w:t>-2025</w:t>
      </w:r>
      <w:r w:rsidRPr="000A6485">
        <w:rPr>
          <w:rFonts w:ascii="Verdana" w:hAnsi="Verdana"/>
          <w:iCs/>
          <w:sz w:val="16"/>
          <w:szCs w:val="16"/>
        </w:rPr>
        <w:t xml:space="preserve"> okres, na podstawie którego obliczany jest przeciętny poziom relacji nadwyżki dochodów bieżących nad wydatkami bieżącymi do dochodów bieżących (limit obsługi długu – prawa strona wzoru), obejmuje </w:t>
      </w:r>
      <w:r w:rsidRPr="000A6485">
        <w:rPr>
          <w:rFonts w:ascii="Verdana" w:hAnsi="Verdana"/>
          <w:b/>
          <w:iCs/>
          <w:sz w:val="16"/>
          <w:szCs w:val="16"/>
        </w:rPr>
        <w:t>trzy lata</w:t>
      </w:r>
      <w:r w:rsidRPr="000A6485">
        <w:rPr>
          <w:rFonts w:ascii="Verdana" w:hAnsi="Verdana"/>
          <w:iCs/>
          <w:sz w:val="16"/>
          <w:szCs w:val="16"/>
        </w:rPr>
        <w:t xml:space="preserve"> poprzedzające rok, dla którego badany jest dopuszczalny poziom obciążeń budżetu związanych </w:t>
      </w:r>
      <w:r w:rsidRPr="000A6485">
        <w:rPr>
          <w:rFonts w:ascii="Verdana" w:hAnsi="Verdana"/>
          <w:iCs/>
          <w:sz w:val="16"/>
          <w:szCs w:val="16"/>
        </w:rPr>
        <w:br/>
        <w:t xml:space="preserve">z obsługą długu w relacji do dochodów bieżących (wskaźnik obsługi długu – lewa strona wzoru) - na przykład dla </w:t>
      </w:r>
      <w:r>
        <w:rPr>
          <w:rFonts w:ascii="Verdana" w:hAnsi="Verdana"/>
          <w:iCs/>
          <w:sz w:val="16"/>
          <w:szCs w:val="16"/>
        </w:rPr>
        <w:t>roku 2022</w:t>
      </w:r>
      <w:r w:rsidRPr="000A6485">
        <w:rPr>
          <w:rFonts w:ascii="Verdana" w:hAnsi="Verdana"/>
          <w:iCs/>
          <w:sz w:val="16"/>
          <w:szCs w:val="16"/>
        </w:rPr>
        <w:t xml:space="preserve"> br</w:t>
      </w:r>
      <w:r>
        <w:rPr>
          <w:rFonts w:ascii="Verdana" w:hAnsi="Verdana"/>
          <w:iCs/>
          <w:sz w:val="16"/>
          <w:szCs w:val="16"/>
        </w:rPr>
        <w:t>ane są pod uwagę dane z lat 2019-2021</w:t>
      </w:r>
      <w:r w:rsidRPr="000A6485">
        <w:rPr>
          <w:rFonts w:ascii="Verdana" w:hAnsi="Verdana"/>
          <w:iCs/>
          <w:sz w:val="16"/>
          <w:szCs w:val="16"/>
        </w:rPr>
        <w:t xml:space="preserve">. Natomiast począwszy od </w:t>
      </w:r>
      <w:r w:rsidRPr="000A6485">
        <w:rPr>
          <w:rFonts w:ascii="Verdana" w:hAnsi="Verdana"/>
          <w:b/>
          <w:iCs/>
          <w:sz w:val="16"/>
          <w:szCs w:val="16"/>
        </w:rPr>
        <w:t>2026 roku</w:t>
      </w:r>
      <w:r w:rsidRPr="000A6485">
        <w:rPr>
          <w:rFonts w:ascii="Verdana" w:hAnsi="Verdana"/>
          <w:iCs/>
          <w:sz w:val="16"/>
          <w:szCs w:val="16"/>
        </w:rPr>
        <w:t xml:space="preserve"> okres ten obejmuje </w:t>
      </w:r>
      <w:r w:rsidRPr="000A6485">
        <w:rPr>
          <w:rFonts w:ascii="Verdana" w:hAnsi="Verdana"/>
          <w:b/>
          <w:iCs/>
          <w:sz w:val="16"/>
          <w:szCs w:val="16"/>
        </w:rPr>
        <w:t>siedem lat</w:t>
      </w:r>
      <w:r w:rsidRPr="000A6485">
        <w:rPr>
          <w:rFonts w:ascii="Verdana" w:hAnsi="Verdana"/>
          <w:iCs/>
          <w:sz w:val="16"/>
          <w:szCs w:val="16"/>
        </w:rPr>
        <w:t xml:space="preserve"> poprzedzających rok, dla którego ustalany jest limit obciążeń budżetu związanych z obsługą długu </w:t>
      </w:r>
      <w:r w:rsidRPr="000A6485">
        <w:rPr>
          <w:rFonts w:ascii="Verdana" w:hAnsi="Verdana"/>
          <w:iCs/>
          <w:sz w:val="16"/>
          <w:szCs w:val="16"/>
        </w:rPr>
        <w:br/>
        <w:t>- przykładowo dla roku 2026 brane są pod uwagę dane z lat 2019-2025.</w:t>
      </w:r>
    </w:p>
    <w:p w:rsidR="007F07DD" w:rsidRDefault="007F07DD" w:rsidP="007F07DD">
      <w:pPr>
        <w:spacing w:before="60" w:after="60"/>
        <w:jc w:val="both"/>
        <w:rPr>
          <w:rFonts w:ascii="Verdana" w:hAnsi="Verdana"/>
          <w:iCs/>
          <w:sz w:val="16"/>
          <w:szCs w:val="16"/>
        </w:rPr>
      </w:pPr>
      <w:r w:rsidRPr="000A6485">
        <w:rPr>
          <w:rFonts w:ascii="Verdana" w:hAnsi="Verdana"/>
          <w:iCs/>
          <w:sz w:val="16"/>
          <w:szCs w:val="16"/>
        </w:rPr>
        <w:t xml:space="preserve">Przy kalkulacji limitu obciążeń budżetu związanych z obsługą długu wyznaczanego dla </w:t>
      </w:r>
      <w:r w:rsidRPr="000A6485">
        <w:rPr>
          <w:rFonts w:ascii="Verdana" w:hAnsi="Verdana"/>
          <w:b/>
          <w:iCs/>
          <w:sz w:val="16"/>
          <w:szCs w:val="16"/>
        </w:rPr>
        <w:t>lat 202</w:t>
      </w:r>
      <w:r>
        <w:rPr>
          <w:rFonts w:ascii="Verdana" w:hAnsi="Verdana"/>
          <w:b/>
          <w:iCs/>
          <w:sz w:val="16"/>
          <w:szCs w:val="16"/>
        </w:rPr>
        <w:t>2</w:t>
      </w:r>
      <w:r w:rsidRPr="000A6485">
        <w:rPr>
          <w:rFonts w:ascii="Verdana" w:hAnsi="Verdana"/>
          <w:b/>
          <w:iCs/>
          <w:sz w:val="16"/>
          <w:szCs w:val="16"/>
        </w:rPr>
        <w:t>-2025</w:t>
      </w:r>
      <w:r w:rsidRPr="000A6485">
        <w:rPr>
          <w:rFonts w:ascii="Verdana" w:hAnsi="Verdana"/>
          <w:iCs/>
          <w:sz w:val="16"/>
          <w:szCs w:val="16"/>
        </w:rPr>
        <w:t xml:space="preserve">, poziom nadwyżki dochodów bieżących nad wydatkami bieżącymi </w:t>
      </w:r>
      <w:r w:rsidRPr="000A6485">
        <w:rPr>
          <w:rFonts w:ascii="Verdana" w:hAnsi="Verdana"/>
          <w:b/>
          <w:iCs/>
          <w:sz w:val="16"/>
          <w:szCs w:val="16"/>
        </w:rPr>
        <w:t>powiększany jest o dochody ze sprzedaży majątku</w:t>
      </w:r>
      <w:r w:rsidRPr="000A6485">
        <w:rPr>
          <w:rFonts w:ascii="Verdana" w:hAnsi="Verdana"/>
          <w:iCs/>
          <w:sz w:val="16"/>
          <w:szCs w:val="16"/>
        </w:rPr>
        <w:t xml:space="preserve">. </w:t>
      </w:r>
      <w:r>
        <w:rPr>
          <w:rFonts w:ascii="Verdana" w:hAnsi="Verdana"/>
          <w:iCs/>
          <w:sz w:val="16"/>
          <w:szCs w:val="16"/>
        </w:rPr>
        <w:br w:type="page"/>
      </w:r>
    </w:p>
    <w:p w:rsidR="007F07DD" w:rsidRPr="000A6485" w:rsidRDefault="007F07DD" w:rsidP="007F07DD">
      <w:pPr>
        <w:tabs>
          <w:tab w:val="left" w:pos="0"/>
        </w:tabs>
        <w:spacing w:before="60" w:after="60"/>
        <w:jc w:val="both"/>
        <w:rPr>
          <w:rFonts w:ascii="Verdana" w:hAnsi="Verdana" w:cs="Arial"/>
          <w:sz w:val="16"/>
          <w:szCs w:val="16"/>
        </w:rPr>
      </w:pPr>
      <w:r w:rsidRPr="000A6485">
        <w:rPr>
          <w:rFonts w:ascii="Verdana" w:hAnsi="Verdana" w:cs="Arial"/>
          <w:sz w:val="16"/>
          <w:szCs w:val="16"/>
        </w:rPr>
        <w:lastRenderedPageBreak/>
        <w:t xml:space="preserve">Przy obliczaniu powyższej relacji uwzględnia się wyłączenia, o których mowa: </w:t>
      </w:r>
    </w:p>
    <w:p w:rsidR="007F07DD" w:rsidRPr="000A6485" w:rsidRDefault="007F07DD" w:rsidP="007F07DD">
      <w:pPr>
        <w:pStyle w:val="Akapitzlist"/>
        <w:numPr>
          <w:ilvl w:val="0"/>
          <w:numId w:val="32"/>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ustawy o finansach publicznych</w:t>
      </w:r>
      <w:r w:rsidRPr="000A6485">
        <w:rPr>
          <w:rFonts w:ascii="Verdana" w:hAnsi="Verdana" w:cs="Arial"/>
          <w:sz w:val="16"/>
          <w:szCs w:val="16"/>
          <w:vertAlign w:val="superscript"/>
        </w:rPr>
        <w:t xml:space="preserve"> </w:t>
      </w:r>
      <w:r w:rsidRPr="000A6485">
        <w:rPr>
          <w:rFonts w:ascii="Verdana" w:hAnsi="Verdana" w:cs="Arial"/>
          <w:sz w:val="16"/>
          <w:szCs w:val="16"/>
        </w:rPr>
        <w:t xml:space="preserve">- wyłącza się kwoty z tytułu wykupu papierów wartościowych wraz z należnymi odsetkami i dyskontem oraz spłaty kredytów i pożyczek wraz z należnymi odsetkami odpowiednio wyemitowanych lub zaciągniętych w związku z umową zawartą na realizację programu, projektu lub zadania finansowanego z udziałem środków unijnych oraz poręczenia i gwarancje udzielone samorządowym osobom prawnym realizującym zadania jednostki samorządu terytorialnego w ramach programów finansowanych z udziałem środków unijnych, w terminie nie dłuższym niż 90 dni </w:t>
      </w:r>
      <w:r w:rsidRPr="000A6485">
        <w:rPr>
          <w:rFonts w:ascii="Verdana" w:hAnsi="Verdana" w:cs="Arial"/>
          <w:sz w:val="16"/>
          <w:szCs w:val="16"/>
        </w:rPr>
        <w:br/>
        <w:t>po zakończeniu programu, projektu lub zadania i otrzymaniu refundacji z tych środków; termin ten nie ma zastosowania do odsetek i dyskonta od zobowiązań zaciągniętych na wkład krajowy;</w:t>
      </w:r>
    </w:p>
    <w:p w:rsidR="007F07DD" w:rsidRPr="000A6485" w:rsidRDefault="007F07DD" w:rsidP="007F07DD">
      <w:pPr>
        <w:pStyle w:val="Akapitzlist"/>
        <w:numPr>
          <w:ilvl w:val="0"/>
          <w:numId w:val="32"/>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 3a ustawy o finansach publicznych - wyłącza się wykup papierów wartościowych, spłaty rat kredytów i pożyczek wraz z należnymi odsetkami i dyskontem, odpowiednio emitowanych lub zaciągniętych w związku z umową zawartą na realizację programu, projektu lub zadania finansowanego w co najmniej 60% ze środków unijnych, w części odpowiadającej wydatkom na wkład krajowy finansowanych tymi zobowiązaniami; w przypadku programu, projektu lub zadania przynoszącego dochód, poziom finansowania ze środków unijnych, ustala się po odliczeniu zdyskontowanego dochodu obliczanego zgodnie z przepisami Unii Europejskiej dotyczącymi takiego programu, projektu lub zadania, a kwotę wydatków na wkład krajowy ustala się w wysokości jaka wynikałaby, gdyby poziom finansowania ze środków unijnych, obliczony został bez uwzględnienia zdyskontowanego dochodu;</w:t>
      </w:r>
    </w:p>
    <w:p w:rsidR="007F07DD" w:rsidRPr="000A6485" w:rsidRDefault="007F07DD" w:rsidP="007F07DD">
      <w:pPr>
        <w:pStyle w:val="Akapitzlist"/>
        <w:numPr>
          <w:ilvl w:val="0"/>
          <w:numId w:val="32"/>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 3b ustawy o finansach publicznych - wyłącza się, następującą wyłącznie w roku budżetowym, na który uchwalono budżet, wcześniejszą spłatę zobowiązań, która przypadałyby po roku budżetowym, na który uchwalono budżet, finansową:</w:t>
      </w:r>
    </w:p>
    <w:p w:rsidR="007F07DD" w:rsidRPr="000A6485" w:rsidRDefault="007F07DD" w:rsidP="007F07DD">
      <w:pPr>
        <w:pStyle w:val="Akapitzlist"/>
        <w:numPr>
          <w:ilvl w:val="0"/>
          <w:numId w:val="33"/>
        </w:numPr>
        <w:autoSpaceDE w:val="0"/>
        <w:autoSpaceDN w:val="0"/>
        <w:adjustRightInd w:val="0"/>
        <w:spacing w:before="60" w:after="60"/>
        <w:ind w:left="1418" w:hanging="284"/>
        <w:contextualSpacing w:val="0"/>
        <w:jc w:val="both"/>
        <w:rPr>
          <w:rFonts w:ascii="Verdana" w:hAnsi="Verdana" w:cs="Arial"/>
          <w:sz w:val="16"/>
          <w:szCs w:val="16"/>
        </w:rPr>
      </w:pPr>
      <w:r w:rsidRPr="000A6485">
        <w:rPr>
          <w:rFonts w:ascii="Verdana" w:hAnsi="Verdana" w:cs="Arial"/>
          <w:sz w:val="16"/>
          <w:szCs w:val="16"/>
        </w:rPr>
        <w:t xml:space="preserve">środkami pochodzącymi z nowego zobowiązania, jeżeli obniża to łączny koszt obsługi długu </w:t>
      </w:r>
      <w:r w:rsidRPr="000A6485">
        <w:rPr>
          <w:rFonts w:ascii="Verdana" w:hAnsi="Verdana" w:cs="Arial"/>
          <w:sz w:val="16"/>
          <w:szCs w:val="16"/>
        </w:rPr>
        <w:br/>
        <w:t>w całym okresie spłaty,</w:t>
      </w:r>
    </w:p>
    <w:p w:rsidR="007F07DD" w:rsidRPr="000A6485" w:rsidRDefault="007F07DD" w:rsidP="007F07DD">
      <w:pPr>
        <w:pStyle w:val="Akapitzlist"/>
        <w:numPr>
          <w:ilvl w:val="0"/>
          <w:numId w:val="33"/>
        </w:numPr>
        <w:tabs>
          <w:tab w:val="left" w:pos="1134"/>
        </w:tabs>
        <w:spacing w:before="60" w:after="60"/>
        <w:ind w:left="1418" w:hanging="284"/>
        <w:contextualSpacing w:val="0"/>
        <w:jc w:val="both"/>
        <w:rPr>
          <w:rFonts w:ascii="Verdana" w:hAnsi="Verdana" w:cs="Arial"/>
          <w:sz w:val="16"/>
          <w:szCs w:val="16"/>
        </w:rPr>
      </w:pPr>
      <w:r w:rsidRPr="000A6485">
        <w:rPr>
          <w:rFonts w:ascii="Verdana" w:hAnsi="Verdana" w:cs="Arial"/>
          <w:sz w:val="16"/>
          <w:szCs w:val="16"/>
        </w:rPr>
        <w:t>wolnymi środkami na rachunku bieżącym wynikającymi z rozliczeń wyemitowanych papierów wartościowych, kredytów i pożyczek z lat ubiegłych,</w:t>
      </w:r>
    </w:p>
    <w:p w:rsidR="007F07DD" w:rsidRPr="000A6485" w:rsidRDefault="007F07DD" w:rsidP="007F07DD">
      <w:pPr>
        <w:pStyle w:val="Akapitzlist"/>
        <w:numPr>
          <w:ilvl w:val="0"/>
          <w:numId w:val="33"/>
        </w:numPr>
        <w:autoSpaceDE w:val="0"/>
        <w:autoSpaceDN w:val="0"/>
        <w:adjustRightInd w:val="0"/>
        <w:spacing w:before="60" w:after="60"/>
        <w:ind w:left="1418" w:hanging="284"/>
        <w:contextualSpacing w:val="0"/>
        <w:jc w:val="both"/>
        <w:rPr>
          <w:rFonts w:ascii="Verdana" w:hAnsi="Verdana" w:cs="Arial"/>
          <w:sz w:val="16"/>
          <w:szCs w:val="16"/>
        </w:rPr>
      </w:pPr>
      <w:r w:rsidRPr="000A6485">
        <w:rPr>
          <w:rFonts w:ascii="Verdana" w:hAnsi="Verdana" w:cs="Arial"/>
          <w:sz w:val="16"/>
          <w:szCs w:val="16"/>
        </w:rPr>
        <w:t>innymi środ</w:t>
      </w:r>
      <w:r>
        <w:rPr>
          <w:rFonts w:ascii="Verdana" w:hAnsi="Verdana" w:cs="Arial"/>
          <w:sz w:val="16"/>
          <w:szCs w:val="16"/>
        </w:rPr>
        <w:t>k</w:t>
      </w:r>
      <w:r w:rsidRPr="000A6485">
        <w:rPr>
          <w:rFonts w:ascii="Verdana" w:hAnsi="Verdana" w:cs="Arial"/>
          <w:sz w:val="16"/>
          <w:szCs w:val="16"/>
        </w:rPr>
        <w:t xml:space="preserve">ami, w szczególności przychodami z prywatyzacji i </w:t>
      </w:r>
      <w:r w:rsidRPr="000A6485">
        <w:rPr>
          <w:rFonts w:ascii="Verdana" w:hAnsi="Verdana"/>
          <w:sz w:val="16"/>
          <w:szCs w:val="16"/>
        </w:rPr>
        <w:t xml:space="preserve">spłat udzielonych pożyczek </w:t>
      </w:r>
      <w:r w:rsidRPr="000A6485">
        <w:rPr>
          <w:rFonts w:ascii="Verdana" w:hAnsi="Verdana"/>
          <w:sz w:val="16"/>
          <w:szCs w:val="16"/>
        </w:rPr>
        <w:br/>
        <w:t>w latach ubiegłych, jeżeli jednostka nie zaciąga zobowiązań dłużnych na finansowanie planowanego deficytu budżetu;</w:t>
      </w:r>
    </w:p>
    <w:p w:rsidR="007F07DD" w:rsidRPr="00CA5841" w:rsidRDefault="007F07DD" w:rsidP="007F07DD">
      <w:pPr>
        <w:pStyle w:val="Akapitzlist"/>
        <w:numPr>
          <w:ilvl w:val="0"/>
          <w:numId w:val="61"/>
        </w:numPr>
        <w:spacing w:before="60" w:after="60"/>
        <w:contextualSpacing w:val="0"/>
        <w:jc w:val="both"/>
        <w:rPr>
          <w:rFonts w:ascii="Verdana" w:hAnsi="Verdana" w:cs="Arial"/>
          <w:sz w:val="16"/>
          <w:szCs w:val="16"/>
        </w:rPr>
      </w:pPr>
      <w:r w:rsidRPr="00CA5841">
        <w:rPr>
          <w:rFonts w:ascii="Verdana" w:hAnsi="Verdana"/>
          <w:sz w:val="16"/>
          <w:szCs w:val="16"/>
        </w:rPr>
        <w:t xml:space="preserve">w art. 121a ustawy z 27 sierpnia 2009 r. - </w:t>
      </w:r>
      <w:r w:rsidRPr="00CA5841">
        <w:rPr>
          <w:rFonts w:ascii="Verdana" w:hAnsi="Verdana"/>
          <w:i/>
          <w:sz w:val="16"/>
          <w:szCs w:val="16"/>
        </w:rPr>
        <w:t>Przepisy wprowadzające ustawę o finansach publicznych</w:t>
      </w:r>
      <w:r w:rsidRPr="00CA5841">
        <w:rPr>
          <w:rFonts w:ascii="Verdana" w:hAnsi="Verdana"/>
          <w:sz w:val="16"/>
          <w:szCs w:val="16"/>
        </w:rPr>
        <w:t xml:space="preserve"> </w:t>
      </w:r>
      <w:r w:rsidRPr="00CA5841">
        <w:rPr>
          <w:rFonts w:ascii="Verdana" w:hAnsi="Verdana"/>
          <w:sz w:val="16"/>
          <w:szCs w:val="16"/>
        </w:rPr>
        <w:br/>
        <w:t xml:space="preserve">(Dz. U. z 2009 r. Nr 157 poz. 1241, z </w:t>
      </w:r>
      <w:proofErr w:type="spellStart"/>
      <w:r w:rsidRPr="00CA5841">
        <w:rPr>
          <w:rFonts w:ascii="Verdana" w:hAnsi="Verdana"/>
          <w:sz w:val="16"/>
          <w:szCs w:val="16"/>
        </w:rPr>
        <w:t>późn</w:t>
      </w:r>
      <w:proofErr w:type="spellEnd"/>
      <w:r w:rsidRPr="00CA5841">
        <w:rPr>
          <w:rFonts w:ascii="Verdana" w:hAnsi="Verdana"/>
          <w:sz w:val="16"/>
          <w:szCs w:val="16"/>
        </w:rPr>
        <w:t>. zm.</w:t>
      </w:r>
      <w:r w:rsidRPr="007E44FF">
        <w:rPr>
          <w:rStyle w:val="Odwoanieprzypisudolnego"/>
          <w:rFonts w:ascii="Verdana" w:hAnsi="Verdana"/>
          <w:sz w:val="16"/>
          <w:szCs w:val="16"/>
        </w:rPr>
        <w:t xml:space="preserve"> </w:t>
      </w:r>
      <w:r w:rsidRPr="000A6485">
        <w:rPr>
          <w:rStyle w:val="Odwoanieprzypisudolnego"/>
          <w:rFonts w:ascii="Verdana" w:hAnsi="Verdana"/>
          <w:sz w:val="16"/>
          <w:szCs w:val="16"/>
        </w:rPr>
        <w:footnoteReference w:id="2"/>
      </w:r>
      <w:r w:rsidRPr="00CA5841">
        <w:rPr>
          <w:rFonts w:ascii="Verdana" w:hAnsi="Verdana"/>
          <w:sz w:val="16"/>
          <w:szCs w:val="16"/>
        </w:rPr>
        <w:t xml:space="preserve">) - wyłącza się </w:t>
      </w:r>
      <w:r w:rsidRPr="00CA5841">
        <w:rPr>
          <w:rFonts w:ascii="Verdana" w:hAnsi="Verdana" w:cs="Arial"/>
          <w:sz w:val="16"/>
          <w:szCs w:val="16"/>
        </w:rPr>
        <w:t xml:space="preserve">kwoty z tytułu wykupu wyemitowanych przed wejściem w życie ustawy </w:t>
      </w:r>
      <w:r w:rsidRPr="00CA5841">
        <w:rPr>
          <w:rFonts w:ascii="Verdana" w:hAnsi="Verdana"/>
          <w:bCs/>
          <w:iCs/>
          <w:sz w:val="16"/>
          <w:szCs w:val="16"/>
        </w:rPr>
        <w:t xml:space="preserve">o finansach publicznych, obligacji nominowanych w walutach obcych </w:t>
      </w:r>
      <w:r w:rsidRPr="00CA5841">
        <w:rPr>
          <w:rFonts w:ascii="Verdana" w:hAnsi="Verdana"/>
          <w:bCs/>
          <w:iCs/>
          <w:sz w:val="16"/>
          <w:szCs w:val="16"/>
        </w:rPr>
        <w:br/>
        <w:t>na zagranicznych rynkach kapitałowych, z wyłączeniem odsetek od tych obligacji</w:t>
      </w:r>
      <w:r w:rsidRPr="00CA5841">
        <w:rPr>
          <w:rFonts w:ascii="Verdana" w:hAnsi="Verdana"/>
          <w:sz w:val="16"/>
          <w:szCs w:val="16"/>
        </w:rPr>
        <w:t>.</w:t>
      </w:r>
    </w:p>
    <w:p w:rsidR="007F07DD" w:rsidRPr="0085401F" w:rsidRDefault="007F07DD" w:rsidP="007F07DD">
      <w:pPr>
        <w:pStyle w:val="Akapitzlist"/>
        <w:numPr>
          <w:ilvl w:val="0"/>
          <w:numId w:val="60"/>
        </w:numPr>
        <w:autoSpaceDE w:val="0"/>
        <w:autoSpaceDN w:val="0"/>
        <w:adjustRightInd w:val="0"/>
        <w:spacing w:before="240" w:after="60"/>
        <w:ind w:left="426" w:hanging="284"/>
        <w:contextualSpacing w:val="0"/>
        <w:jc w:val="both"/>
        <w:rPr>
          <w:rFonts w:ascii="Verdana" w:hAnsi="Verdana" w:cs="Verdana"/>
          <w:b/>
          <w:color w:val="000000"/>
          <w:sz w:val="16"/>
          <w:szCs w:val="16"/>
        </w:rPr>
      </w:pPr>
      <w:r w:rsidRPr="0085401F">
        <w:rPr>
          <w:rFonts w:ascii="Verdana" w:hAnsi="Verdana" w:cs="Verdana"/>
          <w:b/>
          <w:color w:val="000000"/>
          <w:sz w:val="16"/>
          <w:szCs w:val="16"/>
        </w:rPr>
        <w:t xml:space="preserve">Zmiany w regule wprowadzone w 2020 r. w związku z pandemią </w:t>
      </w:r>
      <w:proofErr w:type="spellStart"/>
      <w:r w:rsidRPr="0085401F">
        <w:rPr>
          <w:rFonts w:ascii="Verdana" w:hAnsi="Verdana" w:cs="Verdana"/>
          <w:b/>
          <w:color w:val="000000"/>
          <w:sz w:val="16"/>
          <w:szCs w:val="16"/>
        </w:rPr>
        <w:t>koronawirusa</w:t>
      </w:r>
      <w:proofErr w:type="spellEnd"/>
      <w:r w:rsidRPr="0085401F">
        <w:rPr>
          <w:rFonts w:ascii="Verdana" w:hAnsi="Verdana" w:cs="Verdana"/>
          <w:b/>
          <w:color w:val="000000"/>
          <w:sz w:val="16"/>
          <w:szCs w:val="16"/>
        </w:rPr>
        <w:t xml:space="preserve"> SARS-CoV-2 wywołującego chorobę COVID-19</w:t>
      </w:r>
      <w:r>
        <w:rPr>
          <w:rFonts w:ascii="Verdana" w:hAnsi="Verdana" w:cs="Verdana"/>
          <w:b/>
          <w:color w:val="000000"/>
          <w:sz w:val="16"/>
          <w:szCs w:val="16"/>
        </w:rPr>
        <w:t xml:space="preserve"> mające zastosowanie w </w:t>
      </w:r>
      <w:r w:rsidRPr="0090283F">
        <w:rPr>
          <w:rFonts w:ascii="Verdana" w:eastAsiaTheme="minorEastAsia" w:hAnsi="Verdana" w:cs="Verdana"/>
          <w:b/>
          <w:color w:val="000000"/>
          <w:sz w:val="16"/>
          <w:szCs w:val="16"/>
        </w:rPr>
        <w:t>2022</w:t>
      </w:r>
      <w:r>
        <w:rPr>
          <w:rFonts w:ascii="Verdana" w:hAnsi="Verdana" w:cs="Verdana"/>
          <w:b/>
          <w:color w:val="000000"/>
          <w:sz w:val="16"/>
          <w:szCs w:val="16"/>
        </w:rPr>
        <w:t xml:space="preserve"> r. i latach następnych</w:t>
      </w:r>
    </w:p>
    <w:p w:rsidR="007F07DD" w:rsidRDefault="007F07DD" w:rsidP="007F07DD">
      <w:pPr>
        <w:pStyle w:val="Akapitzlist"/>
        <w:numPr>
          <w:ilvl w:val="0"/>
          <w:numId w:val="62"/>
        </w:numPr>
        <w:autoSpaceDE w:val="0"/>
        <w:autoSpaceDN w:val="0"/>
        <w:adjustRightInd w:val="0"/>
        <w:spacing w:before="120" w:after="60"/>
        <w:ind w:left="851" w:hanging="284"/>
        <w:contextualSpacing w:val="0"/>
        <w:jc w:val="both"/>
        <w:rPr>
          <w:rFonts w:ascii="Verdana" w:hAnsi="Verdana" w:cs="Arial"/>
          <w:sz w:val="16"/>
          <w:szCs w:val="16"/>
        </w:rPr>
      </w:pPr>
      <w:r w:rsidRPr="003527FB">
        <w:rPr>
          <w:rFonts w:ascii="Verdana" w:hAnsi="Verdana" w:cs="Arial"/>
          <w:sz w:val="16"/>
          <w:szCs w:val="16"/>
        </w:rPr>
        <w:t xml:space="preserve">w myśl art. 15zob </w:t>
      </w:r>
      <w:r>
        <w:rPr>
          <w:rFonts w:ascii="Verdana" w:hAnsi="Verdana"/>
          <w:sz w:val="16"/>
          <w:szCs w:val="16"/>
        </w:rPr>
        <w:t xml:space="preserve">ustawy z </w:t>
      </w:r>
      <w:r w:rsidRPr="003527FB">
        <w:rPr>
          <w:rFonts w:ascii="Verdana" w:hAnsi="Verdana"/>
          <w:sz w:val="16"/>
          <w:szCs w:val="16"/>
        </w:rPr>
        <w:t xml:space="preserve">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i dyskontem odpowiednio emitowanych lub </w:t>
      </w:r>
      <w:r>
        <w:rPr>
          <w:rFonts w:ascii="Verdana" w:hAnsi="Verdana"/>
          <w:b/>
          <w:sz w:val="16"/>
          <w:szCs w:val="16"/>
        </w:rPr>
        <w:t>zaciągniętych</w:t>
      </w:r>
      <w:r w:rsidRPr="00C46B2F">
        <w:rPr>
          <w:rFonts w:ascii="Verdana" w:hAnsi="Verdana"/>
          <w:b/>
          <w:sz w:val="16"/>
          <w:szCs w:val="16"/>
        </w:rPr>
        <w:t xml:space="preserve"> w 2020 r. do równowartości kwoty ubytku w dochodach podatkowych będącego skutkiem wystąpienia </w:t>
      </w:r>
      <w:r w:rsidRPr="00C46B2F">
        <w:rPr>
          <w:rFonts w:ascii="Verdana" w:hAnsi="Verdana"/>
          <w:b/>
          <w:sz w:val="16"/>
          <w:szCs w:val="16"/>
        </w:rPr>
        <w:lastRenderedPageBreak/>
        <w:t xml:space="preserve">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podatkowych obliczone jako różnica między rzeczywistymi dochodami </w:t>
      </w:r>
      <w:r w:rsidR="006A6052">
        <w:rPr>
          <w:rFonts w:ascii="Verdana" w:hAnsi="Verdana" w:cs="Arial"/>
          <w:sz w:val="16"/>
          <w:szCs w:val="16"/>
        </w:rPr>
        <w:br/>
      </w:r>
      <w:r w:rsidRPr="003527FB">
        <w:rPr>
          <w:rFonts w:ascii="Verdana" w:hAnsi="Verdana" w:cs="Arial"/>
          <w:sz w:val="16"/>
          <w:szCs w:val="16"/>
        </w:rPr>
        <w:t xml:space="preserve">w 2020 r. a planowanymi dochodami wykazanymi w sprawozdaniu budżetowym za pierwszy kwartał 2020 r. Ponadto </w:t>
      </w:r>
      <w:r w:rsidRPr="00C46B2F">
        <w:rPr>
          <w:rFonts w:ascii="Verdana" w:hAnsi="Verdana" w:cs="Arial"/>
          <w:b/>
          <w:sz w:val="16"/>
          <w:szCs w:val="16"/>
        </w:rPr>
        <w:t xml:space="preserve">ustalając limit obsługi długu określony w art. 243 ustawy o finansach publicznych na rok 2021 i lata kolejne wydatki budżetu podlegają pomniejszeniu o wydatki bieżące poniesione w 2020 r. w celu realizacji zadań związanych z przeciwdziałaniem COVID-19 z pominięciem wydatków sfinansowanych otrzymanymi na ten cel dotacjami </w:t>
      </w:r>
      <w:r w:rsidR="006A6052">
        <w:rPr>
          <w:rFonts w:ascii="Verdana" w:hAnsi="Verdana" w:cs="Arial"/>
          <w:b/>
          <w:sz w:val="16"/>
          <w:szCs w:val="16"/>
        </w:rPr>
        <w:br/>
      </w:r>
      <w:r w:rsidRPr="00C46B2F">
        <w:rPr>
          <w:rFonts w:ascii="Verdana" w:hAnsi="Verdana" w:cs="Arial"/>
          <w:b/>
          <w:sz w:val="16"/>
          <w:szCs w:val="16"/>
        </w:rPr>
        <w:t>i środkami bieżącymi</w:t>
      </w:r>
      <w:r>
        <w:rPr>
          <w:rFonts w:ascii="Verdana" w:hAnsi="Verdana" w:cs="Arial"/>
          <w:sz w:val="16"/>
          <w:szCs w:val="16"/>
        </w:rPr>
        <w:t>;</w:t>
      </w:r>
    </w:p>
    <w:p w:rsidR="007F07DD" w:rsidRDefault="007F07DD" w:rsidP="007F07DD">
      <w:pPr>
        <w:pStyle w:val="Akapitzlist"/>
        <w:numPr>
          <w:ilvl w:val="0"/>
          <w:numId w:val="62"/>
        </w:numPr>
        <w:autoSpaceDE w:val="0"/>
        <w:autoSpaceDN w:val="0"/>
        <w:adjustRightInd w:val="0"/>
        <w:spacing w:before="60" w:after="60"/>
        <w:ind w:left="851" w:hanging="284"/>
        <w:contextualSpacing w:val="0"/>
        <w:jc w:val="both"/>
        <w:rPr>
          <w:rFonts w:ascii="Verdana" w:hAnsi="Verdana" w:cs="Arial"/>
          <w:sz w:val="16"/>
          <w:szCs w:val="16"/>
        </w:rPr>
      </w:pPr>
      <w:r w:rsidRPr="003527FB">
        <w:rPr>
          <w:rFonts w:ascii="Verdana" w:hAnsi="Verdana" w:cs="Arial"/>
          <w:sz w:val="16"/>
          <w:szCs w:val="16"/>
        </w:rPr>
        <w:t xml:space="preserve">w myśl art. 79 </w:t>
      </w:r>
      <w:r w:rsidRPr="003527FB">
        <w:rPr>
          <w:rFonts w:ascii="Verdana" w:hAnsi="Verdana"/>
          <w:sz w:val="16"/>
          <w:szCs w:val="16"/>
        </w:rPr>
        <w:t xml:space="preserve">ustawy z 19 listopada 2020 r. </w:t>
      </w:r>
      <w:r w:rsidRPr="003527FB">
        <w:rPr>
          <w:rFonts w:ascii="Verdana" w:hAnsi="Verdana"/>
          <w:i/>
          <w:sz w:val="16"/>
          <w:szCs w:val="16"/>
        </w:rPr>
        <w:t xml:space="preserve">o szczególnych rozwiązaniach służących realizacji ustawy budżetowej na rok 2021 </w:t>
      </w:r>
      <w:r>
        <w:rPr>
          <w:rFonts w:ascii="Verdana" w:hAnsi="Verdana"/>
          <w:sz w:val="16"/>
          <w:szCs w:val="16"/>
        </w:rPr>
        <w:t>(Dz.U. z 2020 r. poz. 2400 oraz</w:t>
      </w:r>
      <w:r w:rsidRPr="003527FB">
        <w:rPr>
          <w:rFonts w:ascii="Verdana" w:hAnsi="Verdana"/>
          <w:sz w:val="16"/>
          <w:szCs w:val="16"/>
        </w:rPr>
        <w:t xml:space="preserve"> z 2021 r. poz. 1104</w:t>
      </w:r>
      <w:r>
        <w:rPr>
          <w:rFonts w:ascii="Verdana" w:hAnsi="Verdana"/>
          <w:sz w:val="16"/>
          <w:szCs w:val="16"/>
        </w:rPr>
        <w:t xml:space="preserve"> i 1901</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w:t>
      </w:r>
      <w:r>
        <w:rPr>
          <w:rFonts w:ascii="Verdana" w:hAnsi="Verdana"/>
          <w:b/>
          <w:sz w:val="16"/>
          <w:szCs w:val="16"/>
        </w:rPr>
        <w:br/>
      </w:r>
      <w:r w:rsidRPr="00C46B2F">
        <w:rPr>
          <w:rFonts w:ascii="Verdana" w:hAnsi="Verdana"/>
          <w:b/>
          <w:sz w:val="16"/>
          <w:szCs w:val="16"/>
        </w:rPr>
        <w:t xml:space="preserve">i dyskontem odpowiednio emitowanych lub </w:t>
      </w:r>
      <w:r>
        <w:rPr>
          <w:rFonts w:ascii="Verdana" w:hAnsi="Verdana"/>
          <w:b/>
          <w:sz w:val="16"/>
          <w:szCs w:val="16"/>
        </w:rPr>
        <w:t>zaciągniętych</w:t>
      </w:r>
      <w:r w:rsidRPr="00C46B2F">
        <w:rPr>
          <w:rFonts w:ascii="Verdana" w:hAnsi="Verdana"/>
          <w:b/>
          <w:sz w:val="16"/>
          <w:szCs w:val="16"/>
        </w:rPr>
        <w:t xml:space="preserve"> w 2021 r. do równowartości kwoty ubytku w dochodach będącego skutkiem wystąpienia 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obliczone jako różnica między dochodami jednostki w 2021 r. a prognozami dochodów na rok 2021 wykazanymi przez jednostkę w wieloletniej prognozie finansowej obowiązującej na dzień 31 marca 2020 r., z tym że przez dochody rozumiane są dochody bieżące pomniejszone o dochody z tytułu subwencji ogólnej oraz dotacji i środków przeznaczonych na cele bieżące. Ponadto </w:t>
      </w:r>
      <w:r w:rsidRPr="00C46B2F">
        <w:rPr>
          <w:rFonts w:ascii="Verdana" w:hAnsi="Verdana" w:cs="Arial"/>
          <w:b/>
          <w:sz w:val="16"/>
          <w:szCs w:val="16"/>
        </w:rPr>
        <w:t xml:space="preserve">ustalając limit obsługi długu określony </w:t>
      </w:r>
      <w:r>
        <w:rPr>
          <w:rFonts w:ascii="Verdana" w:hAnsi="Verdana" w:cs="Arial"/>
          <w:b/>
          <w:sz w:val="16"/>
          <w:szCs w:val="16"/>
        </w:rPr>
        <w:br/>
      </w:r>
      <w:r w:rsidRPr="00C46B2F">
        <w:rPr>
          <w:rFonts w:ascii="Verdana" w:hAnsi="Verdana" w:cs="Arial"/>
          <w:b/>
          <w:sz w:val="16"/>
          <w:szCs w:val="16"/>
        </w:rPr>
        <w:t>w art. 243 ustawy o finansach publicznych na rok 2022 i lata kolejne wydatki budżetu podlegają pomniejszeniu o wydatki bieżące poniesione w 2021 r. w celu realizacji zadań związanych z przeciwdziałaniem COVID-19 z pominięciem wydatków sfinansowanych otrzymanymi na ten cel dotacjami i środkami bieżącymi</w:t>
      </w:r>
      <w:r w:rsidRPr="00F6162B">
        <w:rPr>
          <w:rFonts w:ascii="Verdana" w:hAnsi="Verdana" w:cs="Arial"/>
          <w:sz w:val="16"/>
          <w:szCs w:val="16"/>
        </w:rPr>
        <w:t>.</w:t>
      </w:r>
    </w:p>
    <w:p w:rsidR="007F07DD" w:rsidRPr="00F6162B" w:rsidRDefault="007F07DD" w:rsidP="007F07DD">
      <w:pPr>
        <w:pStyle w:val="Akapitzlist"/>
        <w:numPr>
          <w:ilvl w:val="0"/>
          <w:numId w:val="62"/>
        </w:numPr>
        <w:autoSpaceDE w:val="0"/>
        <w:autoSpaceDN w:val="0"/>
        <w:adjustRightInd w:val="0"/>
        <w:spacing w:before="60" w:after="60"/>
        <w:ind w:left="851" w:hanging="284"/>
        <w:contextualSpacing w:val="0"/>
        <w:jc w:val="both"/>
        <w:rPr>
          <w:rFonts w:ascii="Verdana" w:hAnsi="Verdana" w:cs="Arial"/>
          <w:sz w:val="16"/>
          <w:szCs w:val="16"/>
        </w:rPr>
      </w:pPr>
      <w:r>
        <w:rPr>
          <w:rFonts w:ascii="Verdana" w:hAnsi="Verdana" w:cs="Arial"/>
          <w:sz w:val="16"/>
          <w:szCs w:val="16"/>
        </w:rPr>
        <w:t xml:space="preserve">w myśl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 xml:space="preserve">) </w:t>
      </w:r>
      <w:r w:rsidRPr="00C46B2F">
        <w:rPr>
          <w:rFonts w:ascii="Verdana" w:hAnsi="Verdana"/>
          <w:b/>
          <w:sz w:val="16"/>
          <w:szCs w:val="16"/>
        </w:rPr>
        <w:t xml:space="preserve">przy ustalaniu limitu obsługi długu dla lat 2020-2025 określonego w art. 243 ustawy </w:t>
      </w:r>
      <w:r>
        <w:rPr>
          <w:rFonts w:ascii="Verdana" w:hAnsi="Verdana"/>
          <w:b/>
          <w:sz w:val="16"/>
          <w:szCs w:val="16"/>
        </w:rPr>
        <w:br/>
      </w:r>
      <w:r w:rsidRPr="00C46B2F">
        <w:rPr>
          <w:rFonts w:ascii="Verdana" w:hAnsi="Verdana"/>
          <w:b/>
          <w:sz w:val="16"/>
          <w:szCs w:val="16"/>
        </w:rPr>
        <w:t>o finansach publicznych, podobnie jak dla lat począwszy od roku 2026, wydatki bieżące budżetu podlegają pomniejszeniu o wydatki na obsługę długu (odsetki)</w:t>
      </w:r>
      <w:r>
        <w:rPr>
          <w:rFonts w:ascii="Verdana" w:hAnsi="Verdana"/>
          <w:sz w:val="16"/>
          <w:szCs w:val="16"/>
        </w:rPr>
        <w:t>.</w:t>
      </w:r>
    </w:p>
    <w:p w:rsidR="007F07DD" w:rsidRPr="0085401F" w:rsidRDefault="007F07DD" w:rsidP="007F07DD">
      <w:pPr>
        <w:pStyle w:val="Akapitzlist"/>
        <w:numPr>
          <w:ilvl w:val="0"/>
          <w:numId w:val="60"/>
        </w:numPr>
        <w:autoSpaceDE w:val="0"/>
        <w:autoSpaceDN w:val="0"/>
        <w:adjustRightInd w:val="0"/>
        <w:spacing w:before="240" w:after="60"/>
        <w:ind w:left="426" w:hanging="284"/>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2021</w:t>
      </w:r>
      <w:r w:rsidRPr="0085401F">
        <w:rPr>
          <w:rFonts w:ascii="Verdana" w:hAnsi="Verdana" w:cs="Verdana"/>
          <w:b/>
          <w:color w:val="000000"/>
          <w:sz w:val="16"/>
          <w:szCs w:val="16"/>
        </w:rPr>
        <w:t xml:space="preserve"> r. w związku z </w:t>
      </w:r>
      <w:r>
        <w:rPr>
          <w:rFonts w:ascii="Verdana" w:hAnsi="Verdana" w:cs="Verdana"/>
          <w:b/>
          <w:color w:val="000000"/>
          <w:sz w:val="16"/>
          <w:szCs w:val="16"/>
        </w:rPr>
        <w:t>pakietem rozwiązań legislacyjnych wchodzących w skład rządowego tzw. Programu Polski Ład mające zastosowanie w latach 2022-2025</w:t>
      </w:r>
    </w:p>
    <w:p w:rsidR="007F07DD" w:rsidRDefault="007F07DD" w:rsidP="007F07DD">
      <w:pPr>
        <w:spacing w:before="80" w:after="80"/>
        <w:jc w:val="both"/>
        <w:rPr>
          <w:rFonts w:ascii="Verdana" w:hAnsi="Verdana"/>
          <w:iCs/>
          <w:sz w:val="16"/>
          <w:szCs w:val="16"/>
        </w:rPr>
      </w:pPr>
      <w:r>
        <w:rPr>
          <w:rFonts w:ascii="Verdana" w:hAnsi="Verdana" w:cs="Arial"/>
          <w:sz w:val="16"/>
          <w:szCs w:val="16"/>
        </w:rPr>
        <w:t>Przepis art. 7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(Dz.U. </w:t>
      </w:r>
      <w:r w:rsidRPr="00E7313D">
        <w:rPr>
          <w:rFonts w:ascii="Verdana" w:hAnsi="Verdana" w:cs="Arial"/>
          <w:sz w:val="16"/>
          <w:szCs w:val="16"/>
        </w:rPr>
        <w:t>poz. 1927)</w:t>
      </w:r>
      <w:r>
        <w:rPr>
          <w:rFonts w:ascii="Verdana" w:hAnsi="Verdana" w:cs="Arial"/>
          <w:sz w:val="16"/>
          <w:szCs w:val="16"/>
        </w:rPr>
        <w:t xml:space="preserve"> dopuszcza</w:t>
      </w:r>
      <w:r w:rsidRPr="00006222">
        <w:rPr>
          <w:rFonts w:ascii="Verdana" w:hAnsi="Verdana" w:cs="Arial"/>
          <w:sz w:val="16"/>
          <w:szCs w:val="16"/>
        </w:rPr>
        <w:t xml:space="preserve"> </w:t>
      </w:r>
      <w:r>
        <w:rPr>
          <w:rFonts w:ascii="Verdana" w:hAnsi="Verdana" w:cs="Arial"/>
          <w:sz w:val="16"/>
          <w:szCs w:val="16"/>
        </w:rPr>
        <w:t xml:space="preserve">możliwość </w:t>
      </w:r>
      <w:r w:rsidRPr="00D75B39">
        <w:rPr>
          <w:rFonts w:ascii="Verdana" w:hAnsi="Verdana" w:cs="Arial"/>
          <w:b/>
          <w:sz w:val="16"/>
          <w:szCs w:val="16"/>
        </w:rPr>
        <w:t xml:space="preserve">wyznaczania indywidualnego limitu obsługi długu na lata 2022-2025 na podstawie </w:t>
      </w:r>
      <w:r w:rsidRPr="00F8491E">
        <w:rPr>
          <w:rFonts w:ascii="Verdana" w:hAnsi="Verdana" w:cs="Arial"/>
          <w:b/>
          <w:sz w:val="16"/>
          <w:szCs w:val="16"/>
        </w:rPr>
        <w:t>siedmiu</w:t>
      </w:r>
      <w:r>
        <w:rPr>
          <w:rFonts w:ascii="Verdana" w:hAnsi="Verdana" w:cs="Arial"/>
          <w:sz w:val="16"/>
          <w:szCs w:val="16"/>
        </w:rPr>
        <w:t xml:space="preserve"> </w:t>
      </w:r>
      <w:r w:rsidRPr="00D75B39">
        <w:rPr>
          <w:rFonts w:ascii="Verdana" w:hAnsi="Verdana" w:cs="Arial"/>
          <w:b/>
          <w:sz w:val="16"/>
          <w:szCs w:val="16"/>
        </w:rPr>
        <w:t>poprzednich lat</w:t>
      </w:r>
      <w:r>
        <w:rPr>
          <w:rFonts w:ascii="Verdana" w:hAnsi="Verdana" w:cs="Arial"/>
          <w:sz w:val="16"/>
          <w:szCs w:val="16"/>
        </w:rPr>
        <w:t xml:space="preserve"> (</w:t>
      </w:r>
      <w:r>
        <w:rPr>
          <w:rFonts w:ascii="Verdana" w:hAnsi="Verdana"/>
          <w:iCs/>
          <w:sz w:val="16"/>
          <w:szCs w:val="16"/>
        </w:rPr>
        <w:t xml:space="preserve">dla roku </w:t>
      </w:r>
      <w:r w:rsidRPr="0090283F">
        <w:rPr>
          <w:rFonts w:ascii="Verdana" w:eastAsiaTheme="minorEastAsia" w:hAnsi="Verdana" w:cs="Verdana"/>
          <w:color w:val="000000"/>
          <w:sz w:val="16"/>
          <w:szCs w:val="16"/>
        </w:rPr>
        <w:t>2022</w:t>
      </w:r>
      <w:r w:rsidRPr="00011AAA">
        <w:rPr>
          <w:rFonts w:ascii="Verdana" w:hAnsi="Verdana"/>
          <w:iCs/>
          <w:sz w:val="16"/>
          <w:szCs w:val="16"/>
        </w:rPr>
        <w:t xml:space="preserve"> br</w:t>
      </w:r>
      <w:r>
        <w:rPr>
          <w:rFonts w:ascii="Verdana" w:hAnsi="Verdana"/>
          <w:iCs/>
          <w:sz w:val="16"/>
          <w:szCs w:val="16"/>
        </w:rPr>
        <w:t>ane są pod uwagę dane z lat 2015-2021)</w:t>
      </w:r>
      <w:r>
        <w:rPr>
          <w:rFonts w:ascii="Verdana" w:hAnsi="Verdana" w:cs="Arial"/>
          <w:sz w:val="16"/>
          <w:szCs w:val="16"/>
        </w:rPr>
        <w:t xml:space="preserve"> </w:t>
      </w:r>
      <w:r w:rsidRPr="00D75B39">
        <w:rPr>
          <w:rFonts w:ascii="Verdana" w:hAnsi="Verdana" w:cs="Arial"/>
          <w:b/>
          <w:sz w:val="16"/>
          <w:szCs w:val="16"/>
        </w:rPr>
        <w:t>w miejsce poprzednio obowiązującego okresu trzyletniego</w:t>
      </w:r>
      <w:r>
        <w:rPr>
          <w:rFonts w:ascii="Verdana" w:hAnsi="Verdana" w:cs="Arial"/>
          <w:sz w:val="16"/>
          <w:szCs w:val="16"/>
        </w:rPr>
        <w:t xml:space="preserve">. </w:t>
      </w:r>
      <w:r w:rsidRPr="00006222">
        <w:rPr>
          <w:rFonts w:ascii="Verdana" w:hAnsi="Verdana" w:cs="Arial"/>
          <w:sz w:val="16"/>
          <w:szCs w:val="16"/>
        </w:rPr>
        <w:t xml:space="preserve">Zgodnie </w:t>
      </w:r>
      <w:r>
        <w:rPr>
          <w:rFonts w:ascii="Verdana" w:hAnsi="Verdana" w:cs="Arial"/>
          <w:sz w:val="16"/>
          <w:szCs w:val="16"/>
        </w:rPr>
        <w:br/>
      </w:r>
      <w:r w:rsidRPr="00006222">
        <w:rPr>
          <w:rFonts w:ascii="Verdana" w:hAnsi="Verdana" w:cs="Arial"/>
          <w:sz w:val="16"/>
          <w:szCs w:val="16"/>
        </w:rPr>
        <w:t xml:space="preserve">z </w:t>
      </w:r>
      <w:r>
        <w:rPr>
          <w:rFonts w:ascii="Verdana" w:hAnsi="Verdana" w:cs="Arial"/>
          <w:sz w:val="16"/>
          <w:szCs w:val="16"/>
        </w:rPr>
        <w:t xml:space="preserve">uchwalonym </w:t>
      </w:r>
      <w:r w:rsidRPr="00006222">
        <w:rPr>
          <w:rFonts w:ascii="Verdana" w:hAnsi="Verdana" w:cs="Arial"/>
          <w:sz w:val="16"/>
          <w:szCs w:val="16"/>
        </w:rPr>
        <w:t xml:space="preserve">przepisem okres, na podstawie którego wyznaczany jest indywidualny limit obsługi długu dla danego roku, dla lat 2022-2025 może obejmować tak jak </w:t>
      </w:r>
      <w:r>
        <w:rPr>
          <w:rFonts w:ascii="Verdana" w:hAnsi="Verdana" w:cs="Arial"/>
          <w:sz w:val="16"/>
          <w:szCs w:val="16"/>
        </w:rPr>
        <w:t>przed zmianą przepisów</w:t>
      </w:r>
      <w:r w:rsidRPr="00006222">
        <w:rPr>
          <w:rFonts w:ascii="Verdana" w:hAnsi="Verdana" w:cs="Arial"/>
          <w:sz w:val="16"/>
          <w:szCs w:val="16"/>
        </w:rPr>
        <w:t xml:space="preserve"> </w:t>
      </w:r>
      <w:r w:rsidRPr="00F8491E">
        <w:rPr>
          <w:rFonts w:ascii="Verdana" w:hAnsi="Verdana" w:cs="Arial"/>
          <w:b/>
          <w:sz w:val="16"/>
          <w:szCs w:val="16"/>
        </w:rPr>
        <w:t>trzy wcześniejsze lata lub może zostać rozciągnięty na siedem poprzedzających lat</w:t>
      </w:r>
      <w:r>
        <w:rPr>
          <w:rFonts w:ascii="Verdana" w:hAnsi="Verdana" w:cs="Arial"/>
          <w:sz w:val="16"/>
          <w:szCs w:val="16"/>
        </w:rPr>
        <w:t xml:space="preserve">. Powyższy przepis </w:t>
      </w:r>
      <w:r>
        <w:rPr>
          <w:rFonts w:ascii="Verdana" w:hAnsi="Verdana" w:cs="Arial"/>
          <w:b/>
          <w:sz w:val="16"/>
          <w:szCs w:val="16"/>
        </w:rPr>
        <w:t>zobowiązał</w:t>
      </w:r>
      <w:r w:rsidRPr="00AC1B12">
        <w:rPr>
          <w:rFonts w:ascii="Verdana" w:hAnsi="Verdana" w:cs="Arial"/>
          <w:b/>
          <w:sz w:val="16"/>
          <w:szCs w:val="16"/>
        </w:rPr>
        <w:t xml:space="preserve"> organ wykonawczy jednostki samorządu terytorialnego do dokonania </w:t>
      </w:r>
      <w:r>
        <w:rPr>
          <w:rFonts w:ascii="Verdana" w:hAnsi="Verdana" w:cs="Arial"/>
          <w:b/>
          <w:sz w:val="16"/>
          <w:szCs w:val="16"/>
        </w:rPr>
        <w:t xml:space="preserve">w terminie do 31 grudnia 2021 r. </w:t>
      </w:r>
      <w:r w:rsidRPr="00AC1B12">
        <w:rPr>
          <w:rFonts w:ascii="Verdana" w:hAnsi="Verdana" w:cs="Arial"/>
          <w:b/>
          <w:sz w:val="16"/>
          <w:szCs w:val="16"/>
        </w:rPr>
        <w:t>wyboru dla lat 2022-2025 długości okresu stosowanego w badaniu spełnienia reguły indywidualnego limitu obsługi długu JST</w:t>
      </w:r>
      <w:r w:rsidRPr="00006222">
        <w:rPr>
          <w:rFonts w:ascii="Verdana" w:hAnsi="Verdana" w:cs="Arial"/>
          <w:sz w:val="16"/>
          <w:szCs w:val="16"/>
        </w:rPr>
        <w:t xml:space="preserve">, </w:t>
      </w:r>
      <w:r>
        <w:rPr>
          <w:rFonts w:ascii="Verdana" w:hAnsi="Verdana" w:cs="Arial"/>
          <w:sz w:val="16"/>
          <w:szCs w:val="16"/>
        </w:rPr>
        <w:t>i następnie przekazania informacji</w:t>
      </w:r>
      <w:r w:rsidRPr="00006222">
        <w:rPr>
          <w:rFonts w:ascii="Verdana" w:hAnsi="Verdana" w:cs="Arial"/>
          <w:sz w:val="16"/>
          <w:szCs w:val="16"/>
        </w:rPr>
        <w:t xml:space="preserve"> w tym </w:t>
      </w:r>
      <w:r>
        <w:rPr>
          <w:rFonts w:ascii="Verdana" w:hAnsi="Verdana" w:cs="Arial"/>
          <w:sz w:val="16"/>
          <w:szCs w:val="16"/>
        </w:rPr>
        <w:t>względzie</w:t>
      </w:r>
      <w:r w:rsidRPr="00006222">
        <w:rPr>
          <w:rFonts w:ascii="Verdana" w:hAnsi="Verdana" w:cs="Arial"/>
          <w:sz w:val="16"/>
          <w:szCs w:val="16"/>
        </w:rPr>
        <w:t xml:space="preserve"> właściwej regionalnej izbie obrachunkowej oraz organowi stanowiącemu. </w:t>
      </w:r>
      <w:r w:rsidRPr="00E339B7">
        <w:rPr>
          <w:rFonts w:ascii="Verdana" w:hAnsi="Verdana" w:cs="Arial"/>
          <w:b/>
          <w:sz w:val="16"/>
          <w:szCs w:val="16"/>
        </w:rPr>
        <w:t xml:space="preserve">Prezydent m.st. Warszawy jako organ wykonawczy dokonał dla lat 2022-2025 wyboru 7-letniego okresu stosowanego do wyliczenia relacji, o której mowa </w:t>
      </w:r>
      <w:r>
        <w:rPr>
          <w:rFonts w:ascii="Verdana" w:hAnsi="Verdana" w:cs="Arial"/>
          <w:b/>
          <w:sz w:val="16"/>
          <w:szCs w:val="16"/>
        </w:rPr>
        <w:br/>
      </w:r>
      <w:r w:rsidRPr="00E339B7">
        <w:rPr>
          <w:rFonts w:ascii="Verdana" w:hAnsi="Verdana" w:cs="Arial"/>
          <w:b/>
          <w:sz w:val="16"/>
          <w:szCs w:val="16"/>
        </w:rPr>
        <w:lastRenderedPageBreak/>
        <w:t>w art. 243 ustawy o finansach publicznych</w:t>
      </w:r>
      <w:r w:rsidRPr="00011AAA">
        <w:rPr>
          <w:rStyle w:val="Odwoanieprzypisudolnego"/>
          <w:rFonts w:ascii="Verdana" w:hAnsi="Verdana"/>
          <w:bCs/>
          <w:iCs/>
          <w:color w:val="000000"/>
          <w:sz w:val="16"/>
          <w:szCs w:val="16"/>
        </w:rPr>
        <w:footnoteReference w:id="3"/>
      </w:r>
      <w:r>
        <w:rPr>
          <w:rFonts w:ascii="Verdana" w:hAnsi="Verdana" w:cs="Arial"/>
          <w:b/>
          <w:sz w:val="16"/>
          <w:szCs w:val="16"/>
        </w:rPr>
        <w:t xml:space="preserve"> oraz poinformował o wyborze Regionalną Izbę Obrachunkową w Warszawie w piśmie z 26 listopada 2021 r. nr GP-OR.0050.1795.2021 i Radę </w:t>
      </w:r>
      <w:r>
        <w:rPr>
          <w:rFonts w:ascii="Verdana" w:hAnsi="Verdana" w:cs="Arial"/>
          <w:b/>
          <w:sz w:val="16"/>
          <w:szCs w:val="16"/>
        </w:rPr>
        <w:br/>
        <w:t>m.st. Warszawy w piśmie z 26 listopada 2021 r. nr DR-7-OW.3150.6.2021.KPI</w:t>
      </w:r>
      <w:r w:rsidRPr="00E339B7">
        <w:rPr>
          <w:rFonts w:ascii="Verdana" w:hAnsi="Verdana" w:cs="Arial"/>
          <w:b/>
          <w:sz w:val="16"/>
          <w:szCs w:val="16"/>
        </w:rPr>
        <w:t>.</w:t>
      </w:r>
      <w:r>
        <w:rPr>
          <w:rFonts w:ascii="Verdana" w:hAnsi="Verdana"/>
          <w:iCs/>
          <w:sz w:val="16"/>
          <w:szCs w:val="16"/>
        </w:rPr>
        <w:t xml:space="preserve"> </w:t>
      </w:r>
    </w:p>
    <w:p w:rsidR="007F07DD" w:rsidRPr="0085401F" w:rsidRDefault="007F07DD" w:rsidP="007F07DD">
      <w:pPr>
        <w:pStyle w:val="Akapitzlist"/>
        <w:numPr>
          <w:ilvl w:val="0"/>
          <w:numId w:val="60"/>
        </w:numPr>
        <w:spacing w:before="240" w:after="120"/>
        <w:ind w:left="426" w:hanging="284"/>
        <w:jc w:val="both"/>
        <w:rPr>
          <w:rFonts w:ascii="Verdana" w:hAnsi="Verdana" w:cs="Verdana"/>
          <w:b/>
          <w:color w:val="000000"/>
          <w:sz w:val="16"/>
          <w:szCs w:val="16"/>
        </w:rPr>
      </w:pPr>
      <w:r>
        <w:rPr>
          <w:rFonts w:ascii="Verdana" w:hAnsi="Verdana" w:cs="Verdana"/>
          <w:b/>
          <w:color w:val="000000"/>
          <w:sz w:val="16"/>
          <w:szCs w:val="16"/>
        </w:rPr>
        <w:t>Zapis matematyczny reguły</w:t>
      </w:r>
    </w:p>
    <w:p w:rsidR="007F07DD" w:rsidRPr="000A6485" w:rsidRDefault="007F07DD" w:rsidP="007F07DD">
      <w:pPr>
        <w:spacing w:before="80" w:after="80"/>
        <w:jc w:val="both"/>
        <w:rPr>
          <w:rFonts w:ascii="Verdana" w:hAnsi="Verdana" w:cs="Arial"/>
          <w:bCs/>
          <w:sz w:val="16"/>
          <w:szCs w:val="16"/>
        </w:rPr>
      </w:pPr>
      <w:r w:rsidRPr="000A6485">
        <w:rPr>
          <w:rFonts w:ascii="Verdana" w:hAnsi="Verdana" w:cs="Arial"/>
          <w:bCs/>
          <w:sz w:val="16"/>
          <w:szCs w:val="16"/>
        </w:rPr>
        <w:t>Ustawową regułę limitu obciążeń budżetu związanych z obsługą długu prezentują poniższe wzory:</w:t>
      </w:r>
    </w:p>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7F07DD" w:rsidRPr="000A6485" w:rsidTr="006A6052">
        <w:tc>
          <w:tcPr>
            <w:tcW w:w="4820" w:type="dxa"/>
          </w:tcPr>
          <w:p w:rsidR="007F07DD" w:rsidRPr="00890174" w:rsidRDefault="007F07DD" w:rsidP="006A6052">
            <w:pPr>
              <w:spacing w:before="120" w:after="120"/>
              <w:jc w:val="center"/>
              <w:rPr>
                <w:rFonts w:ascii="Verdana" w:hAnsi="Verdana" w:cs="Arial"/>
                <w:b/>
                <w:sz w:val="16"/>
                <w:szCs w:val="16"/>
              </w:rPr>
            </w:pPr>
            <w:r w:rsidRPr="000A6485">
              <w:rPr>
                <w:rFonts w:ascii="Verdana" w:hAnsi="Verdana" w:cs="Arial"/>
                <w:sz w:val="16"/>
                <w:szCs w:val="16"/>
              </w:rPr>
              <w:t xml:space="preserve">Formuła obowiązująca </w:t>
            </w:r>
            <w:r>
              <w:rPr>
                <w:rFonts w:ascii="Verdana" w:hAnsi="Verdana" w:cs="Arial"/>
                <w:b/>
                <w:sz w:val="16"/>
                <w:szCs w:val="16"/>
              </w:rPr>
              <w:t>w latach 2022</w:t>
            </w:r>
            <w:r w:rsidRPr="000A6485">
              <w:rPr>
                <w:rFonts w:ascii="Verdana" w:hAnsi="Verdana" w:cs="Arial"/>
                <w:b/>
                <w:sz w:val="16"/>
                <w:szCs w:val="16"/>
              </w:rPr>
              <w:t>-2025</w:t>
            </w:r>
            <w:r w:rsidRPr="00890174">
              <w:rPr>
                <w:rFonts w:ascii="Verdana" w:hAnsi="Verdana" w:cs="Arial"/>
                <w:sz w:val="16"/>
                <w:szCs w:val="16"/>
              </w:rPr>
              <w:t xml:space="preserve"> </w:t>
            </w:r>
          </w:p>
          <w:p w:rsidR="007F07DD" w:rsidRPr="000A6485" w:rsidRDefault="002A522A" w:rsidP="006A6052">
            <w:pPr>
              <w:spacing w:before="120" w:after="120"/>
              <w:jc w:val="both"/>
              <w:rPr>
                <w:rFonts w:ascii="Verdana" w:hAnsi="Verdana" w:cs="Arial"/>
                <w:b/>
                <w:sz w:val="20"/>
                <w:szCs w:val="20"/>
              </w:rPr>
            </w:pPr>
            <m:oMathPara>
              <m:oMath>
                <m:f>
                  <m:fPr>
                    <m:ctrlPr>
                      <w:rPr>
                        <w:rFonts w:ascii="Cambria Math" w:hAnsi="Cambria Math" w:cs="Arial"/>
                        <w:b/>
                        <w:sz w:val="20"/>
                        <w:szCs w:val="20"/>
                      </w:rPr>
                    </m:ctrlPr>
                  </m:fPr>
                  <m:num>
                    <m:r>
                      <m:rPr>
                        <m:sty m:val="b"/>
                      </m:rPr>
                      <w:rPr>
                        <w:rFonts w:ascii="Cambria Math" w:hAnsi="Cambria Math" w:cs="Arial"/>
                        <w:sz w:val="20"/>
                        <w:szCs w:val="20"/>
                      </w:rPr>
                      <m:t>R+O</m:t>
                    </m:r>
                  </m:num>
                  <m:den>
                    <m:r>
                      <m:rPr>
                        <m:sty m:val="b"/>
                      </m:rPr>
                      <w:rPr>
                        <w:rFonts w:ascii="Cambria Math" w:hAnsi="Cambria Math" w:cs="Arial"/>
                        <w:sz w:val="20"/>
                        <w:szCs w:val="20"/>
                      </w:rPr>
                      <m:t>Db</m:t>
                    </m:r>
                  </m:den>
                </m:f>
                <m:r>
                  <m:rPr>
                    <m:sty m:val="b"/>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3˅7</m:t>
                    </m:r>
                  </m:den>
                </m:f>
                <m:r>
                  <m:rPr>
                    <m:sty m:val="b"/>
                  </m:rPr>
                  <w:rPr>
                    <w:rFonts w:ascii="Cambria Math" w:hAnsi="Cambria Math" w:cs="Arial"/>
                    <w:sz w:val="20"/>
                    <w:szCs w:val="20"/>
                  </w:rPr>
                  <m:t xml:space="preserve"> x </m:t>
                </m:r>
                <m:nary>
                  <m:naryPr>
                    <m:chr m:val="∑"/>
                    <m:limLoc m:val="subSup"/>
                    <m:ctrlPr>
                      <w:rPr>
                        <w:rFonts w:ascii="Cambria Math" w:hAnsi="Cambria Math" w:cs="Arial"/>
                        <w:b/>
                        <w:sz w:val="20"/>
                        <w:szCs w:val="20"/>
                      </w:rPr>
                    </m:ctrlPr>
                  </m:naryPr>
                  <m:sub>
                    <m:r>
                      <m:rPr>
                        <m:sty m:val="b"/>
                      </m:rPr>
                      <w:rPr>
                        <w:rFonts w:ascii="Cambria Math" w:hAnsi="Cambria Math" w:cs="Arial"/>
                        <w:sz w:val="20"/>
                        <w:szCs w:val="20"/>
                      </w:rPr>
                      <m:t>i=1</m:t>
                    </m:r>
                  </m:sub>
                  <m:sup>
                    <m:r>
                      <m:rPr>
                        <m:sty m:val="bi"/>
                      </m:rPr>
                      <w:rPr>
                        <w:rFonts w:ascii="Cambria Math" w:hAnsi="Cambria Math" w:cs="Arial"/>
                        <w:sz w:val="20"/>
                        <w:szCs w:val="20"/>
                      </w:rPr>
                      <m:t>3˅7</m:t>
                    </m:r>
                  </m:sup>
                  <m:e>
                    <m:f>
                      <m:fPr>
                        <m:ctrlPr>
                          <w:rPr>
                            <w:rFonts w:ascii="Cambria Math" w:hAnsi="Cambria Math" w:cs="Arial"/>
                            <w:b/>
                            <w:sz w:val="20"/>
                            <w:szCs w:val="20"/>
                          </w:rPr>
                        </m:ctrlPr>
                      </m:fPr>
                      <m:num>
                        <m:r>
                          <m:rPr>
                            <m:sty m:val="b"/>
                          </m:rPr>
                          <w:rPr>
                            <w:rFonts w:ascii="Cambria Math" w:hAnsi="Cambria Math" w:cs="Arial"/>
                            <w:sz w:val="20"/>
                            <w:szCs w:val="20"/>
                          </w:rPr>
                          <m:t>Dbei-(Wbei-Oi)+ Dsmi</m:t>
                        </m:r>
                      </m:num>
                      <m:den>
                        <m:r>
                          <m:rPr>
                            <m:sty m:val="b"/>
                          </m:rPr>
                          <w:rPr>
                            <w:rFonts w:ascii="Cambria Math" w:hAnsi="Cambria Math" w:cs="Arial"/>
                            <w:sz w:val="20"/>
                            <w:szCs w:val="20"/>
                          </w:rPr>
                          <m:t>Dbi</m:t>
                        </m:r>
                      </m:den>
                    </m:f>
                  </m:e>
                </m:nary>
              </m:oMath>
            </m:oMathPara>
          </w:p>
        </w:tc>
        <w:tc>
          <w:tcPr>
            <w:tcW w:w="4252" w:type="dxa"/>
          </w:tcPr>
          <w:p w:rsidR="007F07DD" w:rsidRPr="000A6485" w:rsidRDefault="007F07DD" w:rsidP="006A6052">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sidRPr="000A6485">
              <w:rPr>
                <w:rFonts w:ascii="Verdana" w:hAnsi="Verdana" w:cs="Arial"/>
                <w:b/>
                <w:sz w:val="16"/>
                <w:szCs w:val="16"/>
              </w:rPr>
              <w:t>od roku 2026</w:t>
            </w:r>
          </w:p>
          <w:p w:rsidR="007F07DD" w:rsidRPr="000A6485" w:rsidRDefault="002A522A" w:rsidP="006A6052">
            <w:pPr>
              <w:spacing w:before="120" w:after="120"/>
              <w:jc w:val="both"/>
              <w:rPr>
                <w:rFonts w:ascii="Verdana" w:hAnsi="Verdana" w:cs="Arial"/>
                <w:b/>
                <w:sz w:val="20"/>
                <w:szCs w:val="20"/>
              </w:rPr>
            </w:pPr>
            <m:oMathPara>
              <m:oMath>
                <m:f>
                  <m:fPr>
                    <m:ctrlPr>
                      <w:rPr>
                        <w:rFonts w:ascii="Cambria Math" w:hAnsi="Cambria Math" w:cs="Arial"/>
                        <w:b/>
                        <w:sz w:val="20"/>
                        <w:szCs w:val="20"/>
                      </w:rPr>
                    </m:ctrlPr>
                  </m:fPr>
                  <m:num>
                    <m:r>
                      <m:rPr>
                        <m:sty m:val="b"/>
                      </m:rPr>
                      <w:rPr>
                        <w:rFonts w:ascii="Cambria Math" w:hAnsi="Cambria Math" w:cs="Arial"/>
                        <w:sz w:val="20"/>
                        <w:szCs w:val="20"/>
                      </w:rPr>
                      <m:t>R+O</m:t>
                    </m:r>
                  </m:num>
                  <m:den>
                    <m:r>
                      <m:rPr>
                        <m:sty m:val="b"/>
                      </m:rPr>
                      <w:rPr>
                        <w:rFonts w:ascii="Cambria Math" w:hAnsi="Cambria Math" w:cs="Arial"/>
                        <w:sz w:val="20"/>
                        <w:szCs w:val="20"/>
                      </w:rPr>
                      <m:t>Db</m:t>
                    </m:r>
                  </m:den>
                </m:f>
                <m:r>
                  <m:rPr>
                    <m:sty m:val="b"/>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7</m:t>
                    </m:r>
                  </m:den>
                </m:f>
                <m:r>
                  <m:rPr>
                    <m:sty m:val="b"/>
                  </m:rPr>
                  <w:rPr>
                    <w:rFonts w:ascii="Cambria Math" w:hAnsi="Cambria Math" w:cs="Arial"/>
                    <w:sz w:val="20"/>
                    <w:szCs w:val="20"/>
                  </w:rPr>
                  <m:t xml:space="preserve"> x </m:t>
                </m:r>
                <m:nary>
                  <m:naryPr>
                    <m:chr m:val="∑"/>
                    <m:limLoc m:val="subSup"/>
                    <m:ctrlPr>
                      <w:rPr>
                        <w:rFonts w:ascii="Cambria Math" w:hAnsi="Cambria Math" w:cs="Arial"/>
                        <w:b/>
                        <w:sz w:val="20"/>
                        <w:szCs w:val="20"/>
                      </w:rPr>
                    </m:ctrlPr>
                  </m:naryPr>
                  <m:sub>
                    <m:r>
                      <m:rPr>
                        <m:sty m:val="b"/>
                      </m:rPr>
                      <w:rPr>
                        <w:rFonts w:ascii="Cambria Math" w:hAnsi="Cambria Math" w:cs="Arial"/>
                        <w:sz w:val="20"/>
                        <w:szCs w:val="20"/>
                      </w:rPr>
                      <m:t>i=1</m:t>
                    </m:r>
                  </m:sub>
                  <m:sup>
                    <m:r>
                      <m:rPr>
                        <m:sty m:val="b"/>
                      </m:rPr>
                      <w:rPr>
                        <w:rFonts w:ascii="Cambria Math" w:hAnsi="Cambria Math" w:cs="Arial"/>
                        <w:sz w:val="20"/>
                        <w:szCs w:val="20"/>
                      </w:rPr>
                      <m:t>7</m:t>
                    </m:r>
                  </m:sup>
                  <m:e>
                    <m:f>
                      <m:fPr>
                        <m:ctrlPr>
                          <w:rPr>
                            <w:rFonts w:ascii="Cambria Math" w:hAnsi="Cambria Math" w:cs="Arial"/>
                            <w:b/>
                            <w:sz w:val="20"/>
                            <w:szCs w:val="20"/>
                          </w:rPr>
                        </m:ctrlPr>
                      </m:fPr>
                      <m:num>
                        <m:r>
                          <m:rPr>
                            <m:sty m:val="b"/>
                          </m:rPr>
                          <w:rPr>
                            <w:rFonts w:ascii="Cambria Math" w:hAnsi="Cambria Math" w:cs="Arial"/>
                            <w:sz w:val="20"/>
                            <w:szCs w:val="20"/>
                          </w:rPr>
                          <m:t>Dbei-(Wbei-Oi)</m:t>
                        </m:r>
                      </m:num>
                      <m:den>
                        <m:r>
                          <m:rPr>
                            <m:sty m:val="b"/>
                          </m:rPr>
                          <w:rPr>
                            <w:rFonts w:ascii="Cambria Math" w:hAnsi="Cambria Math" w:cs="Arial"/>
                            <w:sz w:val="20"/>
                            <w:szCs w:val="20"/>
                          </w:rPr>
                          <m:t>Dbi</m:t>
                        </m:r>
                      </m:den>
                    </m:f>
                  </m:e>
                </m:nary>
              </m:oMath>
            </m:oMathPara>
          </w:p>
        </w:tc>
      </w:tr>
    </w:tbl>
    <w:p w:rsidR="007F07DD" w:rsidRPr="000A6485" w:rsidRDefault="007F07DD" w:rsidP="007F07DD">
      <w:pPr>
        <w:spacing w:before="240" w:after="120"/>
        <w:ind w:left="709" w:hanging="709"/>
        <w:rPr>
          <w:rFonts w:ascii="Verdana" w:hAnsi="Verdana"/>
          <w:sz w:val="16"/>
          <w:szCs w:val="16"/>
        </w:rPr>
      </w:pPr>
      <w:r w:rsidRPr="000A6485">
        <w:rPr>
          <w:rFonts w:ascii="Verdana" w:hAnsi="Verdana"/>
          <w:sz w:val="16"/>
          <w:szCs w:val="16"/>
        </w:rPr>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R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planowane na rok, na który ustalana jest relacja, spłaty rat kredytów i pożyczek oraz wykup papierów wartościowych z wyłączeniem zobowiązań zaciągniętych na pokrycie występującego </w:t>
            </w:r>
            <w:r w:rsidRPr="000A6485">
              <w:rPr>
                <w:rFonts w:ascii="Verdana" w:hAnsi="Verdana" w:cs="Arial"/>
                <w:sz w:val="16"/>
                <w:szCs w:val="16"/>
              </w:rPr>
              <w:br/>
              <w:t>w ciągu roku przejściowego deficytu budżetu oraz zobowiązań krótkoterminowych, jeżeli podlegają spłacie w roku zaciągnięcia</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b/>
                <w:sz w:val="16"/>
                <w:szCs w:val="16"/>
              </w:rPr>
              <w:t>O -</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planowane na rok, na który ustalana jest relacja, wydatki bieżące na obsługę długu, w tym odsetki od kredytów i pożyczek i papierów wartościowych oraz dyskonto od papierów wartościowych oraz spłaty kwot wynikających z udzielonych poręczeń i gwarancji</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proofErr w:type="spellStart"/>
            <w:r w:rsidRPr="000A6485">
              <w:rPr>
                <w:rFonts w:ascii="Verdana" w:hAnsi="Verdana"/>
                <w:b/>
                <w:sz w:val="16"/>
                <w:szCs w:val="16"/>
              </w:rPr>
              <w:t>Oi</w:t>
            </w:r>
            <w:proofErr w:type="spellEnd"/>
            <w:r w:rsidRPr="000A6485">
              <w:rPr>
                <w:rFonts w:ascii="Verdana" w:hAnsi="Verdana"/>
                <w:b/>
                <w:sz w:val="16"/>
                <w:szCs w:val="16"/>
              </w:rPr>
              <w:t xml:space="preserve">  -</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wydatki bieżące związane ze spłatą i obsługą długu, w tym odsetki od kredytów i pożyczek </w:t>
            </w:r>
            <w:r w:rsidRPr="000A6485">
              <w:rPr>
                <w:rFonts w:ascii="Verdana" w:hAnsi="Verdana" w:cs="Arial"/>
                <w:sz w:val="16"/>
                <w:szCs w:val="16"/>
              </w:rPr>
              <w:br/>
              <w:t xml:space="preserve">i papierów wartościowych oraz dyskonto od papierów wartościowych w roku poprzedzającym </w:t>
            </w:r>
            <w:r w:rsidRPr="000A6485">
              <w:rPr>
                <w:rFonts w:ascii="Verdana" w:hAnsi="Verdana" w:cs="Arial"/>
                <w:sz w:val="16"/>
                <w:szCs w:val="16"/>
              </w:rPr>
              <w:br/>
              <w:t>o i-lat rok, na który ustalana jest relacja</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Db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planowane na rok, na który ustalana jest relacja, dochody bieżące pomniejszone o dotacje i środki przeznaczone na cele bieżące</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proofErr w:type="spellStart"/>
            <w:r w:rsidRPr="000A6485">
              <w:rPr>
                <w:rFonts w:ascii="Verdana" w:hAnsi="Verdana" w:cs="Arial"/>
                <w:b/>
                <w:sz w:val="16"/>
                <w:szCs w:val="16"/>
              </w:rPr>
              <w:t>Dbei</w:t>
            </w:r>
            <w:proofErr w:type="spellEnd"/>
            <w:r w:rsidRPr="000A6485">
              <w:rPr>
                <w:rFonts w:ascii="Verdana" w:hAnsi="Verdana" w:cs="Arial"/>
                <w:b/>
                <w:sz w:val="16"/>
                <w:szCs w:val="16"/>
              </w:rPr>
              <w:t xml:space="preserve">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dochody bieżące w roku poprzedzającym o i-lat rok, na który ustalana jest relacja, pomniejszone </w:t>
            </w:r>
            <w:r w:rsidRPr="000A6485">
              <w:rPr>
                <w:rFonts w:ascii="Verdana" w:hAnsi="Verdana" w:cs="Arial"/>
                <w:sz w:val="16"/>
                <w:szCs w:val="16"/>
              </w:rPr>
              <w:br/>
              <w:t>o dotacje i środki o charakterze bieżącym na realizację projektów unijnych</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bCs/>
                <w:sz w:val="16"/>
                <w:szCs w:val="16"/>
              </w:rPr>
            </w:pPr>
            <w:proofErr w:type="spellStart"/>
            <w:r w:rsidRPr="000A6485">
              <w:rPr>
                <w:rFonts w:ascii="Verdana" w:hAnsi="Verdana" w:cs="Arial"/>
                <w:b/>
                <w:sz w:val="16"/>
                <w:szCs w:val="16"/>
              </w:rPr>
              <w:t>Wbei</w:t>
            </w:r>
            <w:proofErr w:type="spellEnd"/>
            <w:r w:rsidRPr="000A6485">
              <w:rPr>
                <w:rFonts w:ascii="Verdana" w:hAnsi="Verdana" w:cs="Arial"/>
                <w:b/>
                <w:sz w:val="16"/>
                <w:szCs w:val="16"/>
              </w:rPr>
              <w:t xml:space="preserve">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wydatki bieżące w roku poprzedzającym o i-lat rok, na który ustalana jest relacja, pomniejszone </w:t>
            </w:r>
            <w:r w:rsidRPr="000A6485">
              <w:rPr>
                <w:rFonts w:ascii="Verdana" w:hAnsi="Verdana" w:cs="Arial"/>
                <w:sz w:val="16"/>
                <w:szCs w:val="16"/>
              </w:rPr>
              <w:br/>
              <w:t>o wydatki bieżące na realizację projektów unijnych</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sz w:val="16"/>
                <w:szCs w:val="16"/>
              </w:rPr>
            </w:pPr>
            <w:proofErr w:type="spellStart"/>
            <w:r w:rsidRPr="000A6485">
              <w:rPr>
                <w:rFonts w:ascii="Verdana" w:hAnsi="Verdana" w:cs="Arial"/>
                <w:b/>
                <w:sz w:val="16"/>
                <w:szCs w:val="16"/>
              </w:rPr>
              <w:t>Dsmi</w:t>
            </w:r>
            <w:proofErr w:type="spellEnd"/>
            <w:r w:rsidRPr="000A6485">
              <w:rPr>
                <w:rFonts w:ascii="Verdana" w:hAnsi="Verdana" w:cs="Arial"/>
                <w:b/>
                <w:sz w:val="16"/>
                <w:szCs w:val="16"/>
              </w:rPr>
              <w:t xml:space="preserve">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sz w:val="16"/>
                <w:szCs w:val="16"/>
              </w:rPr>
            </w:pPr>
            <w:r w:rsidRPr="000A6485">
              <w:rPr>
                <w:rFonts w:ascii="Verdana" w:hAnsi="Verdana" w:cs="Arial"/>
                <w:sz w:val="16"/>
                <w:szCs w:val="16"/>
              </w:rPr>
              <w:t>dochody ze sprzedaży majątku w roku poprzedzającym o i-lat rok, na który ustalana jest relacja</w:t>
            </w:r>
          </w:p>
        </w:tc>
      </w:tr>
      <w:tr w:rsidR="007F07DD" w:rsidRPr="000A6485" w:rsidTr="006A6052">
        <w:tc>
          <w:tcPr>
            <w:tcW w:w="846" w:type="dxa"/>
          </w:tcPr>
          <w:p w:rsidR="007F07DD" w:rsidRPr="000A6485" w:rsidRDefault="007F07DD" w:rsidP="006A6052">
            <w:pPr>
              <w:tabs>
                <w:tab w:val="left" w:pos="0"/>
              </w:tabs>
              <w:spacing w:before="120" w:after="120" w:line="240" w:lineRule="auto"/>
              <w:rPr>
                <w:rFonts w:ascii="Verdana" w:hAnsi="Verdana"/>
                <w:b/>
                <w:sz w:val="16"/>
                <w:szCs w:val="16"/>
              </w:rPr>
            </w:pPr>
            <w:proofErr w:type="spellStart"/>
            <w:r w:rsidRPr="000A6485">
              <w:rPr>
                <w:rFonts w:ascii="Verdana" w:hAnsi="Verdana" w:cs="Arial"/>
                <w:b/>
                <w:sz w:val="16"/>
                <w:szCs w:val="16"/>
              </w:rPr>
              <w:t>Dbi</w:t>
            </w:r>
            <w:proofErr w:type="spellEnd"/>
            <w:r w:rsidRPr="000A6485">
              <w:rPr>
                <w:rFonts w:ascii="Verdana" w:hAnsi="Verdana" w:cs="Arial"/>
                <w:b/>
                <w:sz w:val="16"/>
                <w:szCs w:val="16"/>
              </w:rPr>
              <w:t xml:space="preserve"> </w:t>
            </w:r>
            <w:r w:rsidRPr="000A6485">
              <w:rPr>
                <w:rFonts w:ascii="Verdana" w:hAnsi="Verdana"/>
                <w:b/>
                <w:sz w:val="16"/>
                <w:szCs w:val="16"/>
              </w:rPr>
              <w:t>–</w:t>
            </w:r>
          </w:p>
        </w:tc>
        <w:tc>
          <w:tcPr>
            <w:tcW w:w="8215" w:type="dxa"/>
            <w:vAlign w:val="center"/>
          </w:tcPr>
          <w:p w:rsidR="007F07DD" w:rsidRPr="000A6485" w:rsidRDefault="007F07DD" w:rsidP="006A6052">
            <w:pPr>
              <w:tabs>
                <w:tab w:val="left" w:pos="0"/>
              </w:tabs>
              <w:spacing w:before="120" w:after="120" w:line="240" w:lineRule="auto"/>
              <w:rPr>
                <w:rFonts w:ascii="Verdana" w:hAnsi="Verdana"/>
                <w:sz w:val="16"/>
                <w:szCs w:val="16"/>
              </w:rPr>
            </w:pPr>
            <w:r w:rsidRPr="000A6485">
              <w:rPr>
                <w:rFonts w:ascii="Verdana" w:hAnsi="Verdana" w:cs="Arial"/>
                <w:sz w:val="16"/>
                <w:szCs w:val="16"/>
              </w:rPr>
              <w:t xml:space="preserve">dochody bieżące w roku poprzedzającym o i-lat rok, na który ustalana jest relacja, pomniejszone </w:t>
            </w:r>
            <w:r w:rsidRPr="000A6485">
              <w:rPr>
                <w:rFonts w:ascii="Verdana" w:hAnsi="Verdana" w:cs="Arial"/>
                <w:sz w:val="16"/>
                <w:szCs w:val="16"/>
              </w:rPr>
              <w:br/>
              <w:t>o dotacje i środki przeznaczone na cele bieżące</w:t>
            </w:r>
          </w:p>
        </w:tc>
      </w:tr>
    </w:tbl>
    <w:p w:rsidR="007F07DD" w:rsidRPr="000A6485" w:rsidRDefault="007F07DD" w:rsidP="007F07DD">
      <w:pPr>
        <w:autoSpaceDE w:val="0"/>
        <w:autoSpaceDN w:val="0"/>
        <w:adjustRightInd w:val="0"/>
        <w:spacing w:before="240" w:after="240"/>
        <w:jc w:val="both"/>
        <w:rPr>
          <w:rFonts w:ascii="Verdana" w:hAnsi="Verdana"/>
          <w:b/>
          <w:bCs/>
          <w:sz w:val="20"/>
          <w:szCs w:val="20"/>
        </w:rPr>
      </w:pPr>
      <w:r>
        <w:rPr>
          <w:rFonts w:ascii="Verdana" w:hAnsi="Verdana"/>
          <w:sz w:val="16"/>
          <w:szCs w:val="16"/>
        </w:rPr>
        <w:t xml:space="preserve"> </w:t>
      </w:r>
      <w:r w:rsidRPr="000A6485">
        <w:rPr>
          <w:rFonts w:ascii="Verdana" w:hAnsi="Verdana"/>
          <w:b/>
          <w:bCs/>
          <w:sz w:val="20"/>
          <w:szCs w:val="20"/>
        </w:rPr>
        <w:t xml:space="preserve">4.2  </w:t>
      </w:r>
      <w:r>
        <w:rPr>
          <w:rFonts w:ascii="Verdana" w:hAnsi="Verdana"/>
          <w:b/>
          <w:bCs/>
          <w:sz w:val="20"/>
          <w:szCs w:val="20"/>
        </w:rPr>
        <w:t>Uwarunkowania makroekonomiczne</w:t>
      </w:r>
    </w:p>
    <w:p w:rsidR="007F07DD" w:rsidRDefault="007F07DD" w:rsidP="007F07DD">
      <w:pPr>
        <w:tabs>
          <w:tab w:val="left" w:pos="360"/>
        </w:tabs>
        <w:spacing w:before="60" w:after="60"/>
        <w:ind w:firstLine="539"/>
        <w:jc w:val="both"/>
        <w:rPr>
          <w:rFonts w:ascii="Verdana" w:hAnsi="Verdana"/>
          <w:sz w:val="16"/>
          <w:szCs w:val="16"/>
        </w:rPr>
      </w:pPr>
      <w:r w:rsidRPr="00011AAA">
        <w:rPr>
          <w:rFonts w:ascii="Verdana" w:hAnsi="Verdana"/>
          <w:sz w:val="16"/>
          <w:szCs w:val="16"/>
        </w:rPr>
        <w:t xml:space="preserve">Prognozę makroekonomiczną przyjętą na potrzeby opracowania </w:t>
      </w:r>
      <w:r w:rsidRPr="000A6485">
        <w:rPr>
          <w:rFonts w:ascii="Verdana" w:hAnsi="Verdana"/>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sz w:val="16"/>
          <w:szCs w:val="16"/>
        </w:rPr>
        <w:t>-2050</w:t>
      </w:r>
      <w:r w:rsidRPr="00011AAA">
        <w:rPr>
          <w:rFonts w:ascii="Verdana" w:hAnsi="Verdana"/>
          <w:sz w:val="16"/>
          <w:szCs w:val="16"/>
        </w:rPr>
        <w:t xml:space="preserve"> stanowiły </w:t>
      </w:r>
      <w:r>
        <w:rPr>
          <w:rFonts w:ascii="Verdana" w:hAnsi="Verdana"/>
          <w:sz w:val="16"/>
          <w:szCs w:val="16"/>
        </w:rPr>
        <w:t>założenia określone w dokumentach Ministerstwa</w:t>
      </w:r>
      <w:r w:rsidRPr="00011AAA">
        <w:rPr>
          <w:rFonts w:ascii="Verdana" w:hAnsi="Verdana"/>
          <w:sz w:val="16"/>
          <w:szCs w:val="16"/>
        </w:rPr>
        <w:t xml:space="preserve"> Finansów</w:t>
      </w:r>
      <w:r>
        <w:rPr>
          <w:rFonts w:ascii="Verdana" w:hAnsi="Verdana"/>
          <w:sz w:val="16"/>
          <w:szCs w:val="16"/>
        </w:rPr>
        <w:t>:</w:t>
      </w:r>
    </w:p>
    <w:p w:rsidR="007F07DD" w:rsidRPr="00C86707" w:rsidRDefault="007F07DD" w:rsidP="007F07DD">
      <w:pPr>
        <w:pStyle w:val="Akapitzlist"/>
        <w:numPr>
          <w:ilvl w:val="0"/>
          <w:numId w:val="46"/>
        </w:numPr>
        <w:tabs>
          <w:tab w:val="left" w:pos="360"/>
        </w:tabs>
        <w:spacing w:before="60" w:after="60"/>
        <w:contextualSpacing w:val="0"/>
        <w:jc w:val="both"/>
        <w:rPr>
          <w:rFonts w:ascii="Verdana" w:hAnsi="Verdana"/>
          <w:iCs/>
          <w:sz w:val="16"/>
          <w:szCs w:val="16"/>
        </w:rPr>
      </w:pPr>
      <w:r w:rsidRPr="003F7795">
        <w:rPr>
          <w:rFonts w:ascii="Verdana" w:hAnsi="Verdana"/>
          <w:i/>
          <w:sz w:val="16"/>
          <w:szCs w:val="16"/>
        </w:rPr>
        <w:t>Założenia proj</w:t>
      </w:r>
      <w:r>
        <w:rPr>
          <w:rFonts w:ascii="Verdana" w:hAnsi="Verdana"/>
          <w:i/>
          <w:sz w:val="16"/>
          <w:szCs w:val="16"/>
        </w:rPr>
        <w:t xml:space="preserve">ektu budżetu państwa na rok 2022 </w:t>
      </w:r>
      <w:r>
        <w:rPr>
          <w:rFonts w:ascii="Verdana" w:hAnsi="Verdana"/>
          <w:sz w:val="16"/>
          <w:szCs w:val="16"/>
        </w:rPr>
        <w:t>– publikacja 8 czerwca 2021 r</w:t>
      </w:r>
      <w:r w:rsidRPr="003F7795">
        <w:rPr>
          <w:rFonts w:ascii="Verdana" w:hAnsi="Verdana"/>
          <w:sz w:val="16"/>
          <w:szCs w:val="16"/>
        </w:rPr>
        <w:t>.</w:t>
      </w:r>
      <w:r>
        <w:rPr>
          <w:rFonts w:ascii="Verdana" w:hAnsi="Verdana"/>
          <w:sz w:val="16"/>
          <w:szCs w:val="16"/>
        </w:rPr>
        <w:t>,</w:t>
      </w:r>
    </w:p>
    <w:p w:rsidR="007F07DD" w:rsidRPr="00DA27EF" w:rsidRDefault="007F07DD" w:rsidP="007F07DD">
      <w:pPr>
        <w:pStyle w:val="Akapitzlist"/>
        <w:numPr>
          <w:ilvl w:val="0"/>
          <w:numId w:val="46"/>
        </w:numPr>
        <w:tabs>
          <w:tab w:val="left" w:pos="360"/>
        </w:tabs>
        <w:spacing w:before="60" w:after="60"/>
        <w:contextualSpacing w:val="0"/>
        <w:jc w:val="both"/>
        <w:rPr>
          <w:rFonts w:ascii="Verdana" w:hAnsi="Verdana"/>
          <w:iCs/>
          <w:sz w:val="16"/>
          <w:szCs w:val="16"/>
        </w:rPr>
      </w:pPr>
      <w:r w:rsidRPr="00C86707">
        <w:rPr>
          <w:rFonts w:ascii="Verdana" w:hAnsi="Verdana"/>
          <w:i/>
          <w:sz w:val="16"/>
          <w:szCs w:val="16"/>
        </w:rPr>
        <w:t>Wytyczne dotyczące stosowania jednolitych wskaźników makroekonomicznych będących podstawą oszacowania skutków finansowych projektowanych ustaw – aktualizacja sierpień 2021 r.</w:t>
      </w:r>
      <w:r>
        <w:rPr>
          <w:rFonts w:ascii="Verdana" w:hAnsi="Verdana"/>
          <w:sz w:val="16"/>
          <w:szCs w:val="16"/>
        </w:rPr>
        <w:t xml:space="preserve"> – publikacja </w:t>
      </w:r>
      <w:r>
        <w:rPr>
          <w:rFonts w:ascii="Verdana" w:hAnsi="Verdana"/>
          <w:sz w:val="16"/>
          <w:szCs w:val="16"/>
        </w:rPr>
        <w:br/>
      </w:r>
      <w:r w:rsidRPr="00C86707">
        <w:rPr>
          <w:rFonts w:ascii="Verdana" w:hAnsi="Verdana"/>
          <w:sz w:val="16"/>
          <w:szCs w:val="16"/>
        </w:rPr>
        <w:t xml:space="preserve"> 31 sierpnia 2021 r.</w:t>
      </w:r>
      <w:r>
        <w:rPr>
          <w:rFonts w:ascii="Verdana" w:hAnsi="Verdana"/>
          <w:sz w:val="16"/>
          <w:szCs w:val="16"/>
        </w:rPr>
        <w:t>,</w:t>
      </w:r>
    </w:p>
    <w:p w:rsidR="007F07DD" w:rsidRDefault="007F07DD" w:rsidP="007F07DD">
      <w:pPr>
        <w:pStyle w:val="Akapitzlist"/>
        <w:numPr>
          <w:ilvl w:val="0"/>
          <w:numId w:val="46"/>
        </w:numPr>
        <w:tabs>
          <w:tab w:val="left" w:pos="360"/>
        </w:tabs>
        <w:spacing w:before="60" w:after="60"/>
        <w:contextualSpacing w:val="0"/>
        <w:jc w:val="both"/>
        <w:rPr>
          <w:rFonts w:ascii="Verdana" w:hAnsi="Verdana"/>
          <w:iCs/>
          <w:sz w:val="16"/>
          <w:szCs w:val="16"/>
        </w:rPr>
      </w:pPr>
      <w:r>
        <w:rPr>
          <w:rFonts w:ascii="Verdana" w:hAnsi="Verdana"/>
          <w:i/>
          <w:sz w:val="16"/>
          <w:szCs w:val="16"/>
        </w:rPr>
        <w:t>Projekt ustawy budżetowej na rok 2022</w:t>
      </w:r>
      <w:r>
        <w:rPr>
          <w:rFonts w:ascii="Verdana" w:hAnsi="Verdana"/>
          <w:iCs/>
          <w:sz w:val="16"/>
          <w:szCs w:val="16"/>
        </w:rPr>
        <w:t xml:space="preserve"> – publikacja 28 września 2021 r.</w:t>
      </w:r>
      <w:r>
        <w:rPr>
          <w:rFonts w:ascii="Verdana" w:hAnsi="Verdana"/>
          <w:iCs/>
          <w:sz w:val="16"/>
          <w:szCs w:val="16"/>
        </w:rPr>
        <w:br w:type="page"/>
      </w:r>
    </w:p>
    <w:p w:rsidR="007F07DD" w:rsidRDefault="007F07DD" w:rsidP="007F07DD">
      <w:pPr>
        <w:spacing w:before="60" w:after="60"/>
        <w:ind w:firstLine="425"/>
        <w:jc w:val="both"/>
        <w:rPr>
          <w:rFonts w:ascii="Verdana" w:hAnsi="Verdana" w:cs="Arial"/>
          <w:sz w:val="16"/>
          <w:szCs w:val="16"/>
        </w:rPr>
      </w:pPr>
      <w:r w:rsidRPr="00011AAA">
        <w:rPr>
          <w:rFonts w:ascii="Verdana" w:hAnsi="Verdana" w:cs="Arial"/>
          <w:sz w:val="16"/>
          <w:szCs w:val="16"/>
        </w:rPr>
        <w:lastRenderedPageBreak/>
        <w:t xml:space="preserve">Prognoza podstawowych wskaźników makroekonomicznych </w:t>
      </w:r>
      <w:r>
        <w:rPr>
          <w:rFonts w:ascii="Verdana" w:hAnsi="Verdana" w:cs="Arial"/>
          <w:sz w:val="16"/>
          <w:szCs w:val="16"/>
        </w:rPr>
        <w:t xml:space="preserve">w perspektywie 2024 r., opublikowana przez Ministerstwo Finansów 28 września 2021 r., </w:t>
      </w:r>
      <w:r w:rsidRPr="00011AAA">
        <w:rPr>
          <w:rFonts w:ascii="Verdana" w:hAnsi="Verdana" w:cs="Arial"/>
          <w:sz w:val="16"/>
          <w:szCs w:val="16"/>
        </w:rPr>
        <w:t>przedstawia się następująco:</w:t>
      </w:r>
    </w:p>
    <w:p w:rsidR="007F07DD" w:rsidRPr="00492AD1" w:rsidRDefault="007F07DD" w:rsidP="007F07DD">
      <w:pPr>
        <w:spacing w:before="120" w:after="60" w:line="240" w:lineRule="auto"/>
        <w:rPr>
          <w:rFonts w:ascii="Verdana" w:hAnsi="Verdana" w:cs="Arial"/>
          <w:b/>
          <w:bCs/>
          <w:iCs/>
          <w:sz w:val="14"/>
          <w:szCs w:val="14"/>
        </w:rPr>
      </w:pPr>
      <w:r w:rsidRPr="00011AAA">
        <w:rPr>
          <w:rFonts w:ascii="Verdana" w:hAnsi="Verdana"/>
          <w:b/>
          <w:bCs/>
          <w:iCs/>
          <w:sz w:val="14"/>
          <w:szCs w:val="14"/>
        </w:rPr>
        <w:t xml:space="preserve">TAB. </w:t>
      </w:r>
      <w:r w:rsidRPr="00011AAA">
        <w:rPr>
          <w:rFonts w:ascii="Verdana" w:hAnsi="Verdana"/>
          <w:b/>
          <w:bCs/>
          <w:iCs/>
          <w:sz w:val="14"/>
          <w:szCs w:val="14"/>
        </w:rPr>
        <w:fldChar w:fldCharType="begin"/>
      </w:r>
      <w:r w:rsidRPr="00011AAA">
        <w:rPr>
          <w:rFonts w:ascii="Verdana" w:hAnsi="Verdana"/>
          <w:b/>
          <w:bCs/>
          <w:iCs/>
          <w:sz w:val="14"/>
          <w:szCs w:val="14"/>
        </w:rPr>
        <w:instrText xml:space="preserve"> SEQ Tab. \* ARABIC </w:instrText>
      </w:r>
      <w:r w:rsidRPr="00011AAA">
        <w:rPr>
          <w:rFonts w:ascii="Verdana" w:hAnsi="Verdana"/>
          <w:b/>
          <w:bCs/>
          <w:iCs/>
          <w:sz w:val="14"/>
          <w:szCs w:val="14"/>
        </w:rPr>
        <w:fldChar w:fldCharType="separate"/>
      </w:r>
      <w:r>
        <w:rPr>
          <w:rFonts w:ascii="Verdana" w:hAnsi="Verdana"/>
          <w:b/>
          <w:bCs/>
          <w:iCs/>
          <w:noProof/>
          <w:sz w:val="14"/>
          <w:szCs w:val="14"/>
        </w:rPr>
        <w:t>1</w:t>
      </w:r>
      <w:r w:rsidRPr="00011AAA">
        <w:rPr>
          <w:rFonts w:ascii="Verdana" w:hAnsi="Verdana"/>
          <w:b/>
          <w:bCs/>
          <w:iCs/>
          <w:sz w:val="14"/>
          <w:szCs w:val="14"/>
        </w:rPr>
        <w:fldChar w:fldCharType="end"/>
      </w:r>
      <w:r w:rsidRPr="00011AAA">
        <w:rPr>
          <w:rFonts w:ascii="Verdana" w:hAnsi="Verdana"/>
          <w:b/>
          <w:bCs/>
          <w:iCs/>
          <w:sz w:val="14"/>
          <w:szCs w:val="14"/>
        </w:rPr>
        <w:t>.</w:t>
      </w:r>
      <w:r w:rsidRPr="00011AAA">
        <w:rPr>
          <w:b/>
          <w:bCs/>
          <w:iCs/>
          <w:sz w:val="14"/>
          <w:szCs w:val="14"/>
        </w:rPr>
        <w:t xml:space="preserve"> </w:t>
      </w:r>
      <w:r w:rsidRPr="00011AAA">
        <w:rPr>
          <w:rFonts w:ascii="Verdana" w:hAnsi="Verdana" w:cs="Arial"/>
          <w:b/>
          <w:bCs/>
          <w:iCs/>
          <w:sz w:val="14"/>
          <w:szCs w:val="14"/>
        </w:rPr>
        <w:t>GŁÓWNE WSKAŹNIKI MAKROEKONOMICZNE W LATACH</w:t>
      </w:r>
      <w:r>
        <w:rPr>
          <w:rFonts w:ascii="Verdana" w:hAnsi="Verdana" w:cs="Arial"/>
          <w:b/>
          <w:bCs/>
          <w:iCs/>
          <w:sz w:val="14"/>
          <w:szCs w:val="14"/>
        </w:rPr>
        <w:t xml:space="preserve"> </w:t>
      </w:r>
      <w:r w:rsidRPr="0090283F">
        <w:rPr>
          <w:rFonts w:ascii="Verdana" w:hAnsi="Verdana" w:cs="Arial"/>
          <w:b/>
          <w:bCs/>
          <w:iCs/>
          <w:sz w:val="14"/>
          <w:szCs w:val="14"/>
        </w:rPr>
        <w:t>2021</w:t>
      </w:r>
      <w:r w:rsidRPr="00011AAA">
        <w:rPr>
          <w:rFonts w:ascii="Verdana" w:hAnsi="Verdana" w:cs="Arial"/>
          <w:b/>
          <w:bCs/>
          <w:iCs/>
          <w:sz w:val="14"/>
          <w:szCs w:val="14"/>
        </w:rPr>
        <w:t>-202</w:t>
      </w:r>
      <w:r>
        <w:rPr>
          <w:rFonts w:ascii="Verdana" w:hAnsi="Verdana" w:cs="Arial"/>
          <w:b/>
          <w:bCs/>
          <w:iCs/>
          <w:sz w:val="14"/>
          <w:szCs w:val="14"/>
        </w:rPr>
        <w:t xml:space="preserve">4 ZGODNE Z PROGNOZĄ </w:t>
      </w:r>
      <w:r>
        <w:rPr>
          <w:rFonts w:ascii="Verdana" w:hAnsi="Verdana" w:cs="Arial"/>
          <w:b/>
          <w:bCs/>
          <w:iCs/>
          <w:sz w:val="14"/>
          <w:szCs w:val="14"/>
        </w:rPr>
        <w:br/>
        <w:t xml:space="preserve">             MINISTERSTWA FINANSÓW</w:t>
      </w:r>
    </w:p>
    <w:p w:rsidR="007F07DD" w:rsidRPr="00011AAA" w:rsidRDefault="00F33C94" w:rsidP="007F07DD">
      <w:pPr>
        <w:spacing w:before="60" w:after="60" w:line="240" w:lineRule="auto"/>
        <w:jc w:val="both"/>
        <w:rPr>
          <w:rFonts w:ascii="Verdana" w:hAnsi="Verdana" w:cs="Arial"/>
          <w:iCs/>
          <w:sz w:val="20"/>
        </w:rPr>
      </w:pPr>
      <w:r>
        <w:rPr>
          <w:rFonts w:ascii="Verdana" w:hAnsi="Verdana" w:cs="Arial"/>
          <w:i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15pt;height:129.75pt">
            <v:imagedata r:id="rId11" o:title=""/>
          </v:shape>
        </w:pict>
      </w:r>
    </w:p>
    <w:p w:rsidR="007F07DD" w:rsidRPr="00BC1167" w:rsidRDefault="007F07DD" w:rsidP="007F07DD">
      <w:pPr>
        <w:spacing w:before="240" w:after="120"/>
        <w:jc w:val="both"/>
        <w:rPr>
          <w:rFonts w:ascii="Verdana" w:hAnsi="Verdana" w:cs="Arial"/>
          <w:b/>
          <w:sz w:val="18"/>
          <w:szCs w:val="18"/>
        </w:rPr>
      </w:pPr>
      <w:r w:rsidRPr="00BC1167">
        <w:rPr>
          <w:rFonts w:ascii="Verdana" w:hAnsi="Verdana" w:cs="Arial"/>
          <w:b/>
          <w:sz w:val="18"/>
          <w:szCs w:val="18"/>
        </w:rPr>
        <w:t>Produkt Krajowy Brutto</w:t>
      </w:r>
    </w:p>
    <w:p w:rsidR="007F07DD" w:rsidRDefault="007F07DD" w:rsidP="007F07DD">
      <w:pPr>
        <w:spacing w:before="80" w:after="8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w:t>
      </w:r>
      <w:r>
        <w:rPr>
          <w:rFonts w:ascii="Verdana" w:hAnsi="Verdana" w:cs="Arial"/>
          <w:sz w:val="16"/>
          <w:szCs w:val="16"/>
        </w:rPr>
        <w:t>z 28 września 2021 r. (projekt ustawy budżetowej na rok 2022)</w:t>
      </w:r>
      <w:r>
        <w:rPr>
          <w:rFonts w:ascii="Verdana" w:hAnsi="Verdana" w:cs="Arial"/>
          <w:i/>
          <w:sz w:val="16"/>
          <w:szCs w:val="16"/>
        </w:rPr>
        <w:t xml:space="preserve"> </w:t>
      </w:r>
      <w:r w:rsidRPr="00011AAA">
        <w:rPr>
          <w:rFonts w:ascii="Verdana" w:hAnsi="Verdana" w:cs="Arial"/>
          <w:sz w:val="16"/>
          <w:szCs w:val="16"/>
        </w:rPr>
        <w:t>Produkt Krajowy Brutto Polski w ujęciu realnym wzrośnie w</w:t>
      </w:r>
      <w:r>
        <w:rPr>
          <w:rFonts w:ascii="Verdana" w:hAnsi="Verdana" w:cs="Arial"/>
          <w:sz w:val="16"/>
          <w:szCs w:val="16"/>
        </w:rPr>
        <w:t xml:space="preserve"> </w:t>
      </w:r>
      <w:r w:rsidRPr="0090283F">
        <w:rPr>
          <w:rFonts w:ascii="Verdana" w:eastAsiaTheme="minorEastAsia" w:hAnsi="Verdana" w:cs="Verdana"/>
          <w:color w:val="000000"/>
          <w:sz w:val="16"/>
          <w:szCs w:val="16"/>
        </w:rPr>
        <w:t>2022</w:t>
      </w:r>
      <w:r w:rsidRPr="00011AAA">
        <w:rPr>
          <w:rFonts w:ascii="Verdana" w:hAnsi="Verdana" w:cs="Arial"/>
          <w:sz w:val="16"/>
          <w:szCs w:val="16"/>
        </w:rPr>
        <w:t xml:space="preserve"> r. o </w:t>
      </w:r>
      <w:r>
        <w:rPr>
          <w:rFonts w:ascii="Verdana" w:hAnsi="Verdana" w:cs="Arial"/>
          <w:b/>
          <w:sz w:val="16"/>
          <w:szCs w:val="16"/>
        </w:rPr>
        <w:t>4,6</w:t>
      </w:r>
      <w:r w:rsidRPr="00011AAA">
        <w:rPr>
          <w:rFonts w:ascii="Verdana" w:hAnsi="Verdana" w:cs="Arial"/>
          <w:b/>
          <w:sz w:val="16"/>
          <w:szCs w:val="16"/>
        </w:rPr>
        <w:t>%</w:t>
      </w:r>
      <w:r w:rsidRPr="00011AAA">
        <w:rPr>
          <w:rFonts w:ascii="Verdana" w:hAnsi="Verdana" w:cs="Arial"/>
          <w:sz w:val="16"/>
          <w:szCs w:val="16"/>
        </w:rPr>
        <w:t xml:space="preserve">, </w:t>
      </w:r>
      <w:r>
        <w:rPr>
          <w:rFonts w:ascii="Verdana" w:hAnsi="Verdana" w:cs="Arial"/>
          <w:sz w:val="16"/>
          <w:szCs w:val="16"/>
        </w:rPr>
        <w:t xml:space="preserve">po wzroście w </w:t>
      </w:r>
      <w:r w:rsidRPr="0090283F">
        <w:rPr>
          <w:rFonts w:ascii="Verdana" w:eastAsiaTheme="minorEastAsia" w:hAnsi="Verdana" w:cs="Verdana"/>
          <w:color w:val="000000"/>
          <w:sz w:val="16"/>
          <w:szCs w:val="16"/>
        </w:rPr>
        <w:t>2021</w:t>
      </w:r>
      <w:r>
        <w:rPr>
          <w:rFonts w:ascii="Verdana" w:hAnsi="Verdana" w:cs="Arial"/>
          <w:sz w:val="16"/>
          <w:szCs w:val="16"/>
        </w:rPr>
        <w:t xml:space="preserve"> r. o </w:t>
      </w:r>
      <w:r>
        <w:rPr>
          <w:rFonts w:ascii="Verdana" w:hAnsi="Verdana" w:cs="Arial"/>
          <w:b/>
          <w:sz w:val="16"/>
          <w:szCs w:val="16"/>
        </w:rPr>
        <w:t>4,9</w:t>
      </w:r>
      <w:r w:rsidRPr="003F7795">
        <w:rPr>
          <w:rFonts w:ascii="Verdana" w:hAnsi="Verdana" w:cs="Arial"/>
          <w:b/>
          <w:sz w:val="16"/>
          <w:szCs w:val="16"/>
        </w:rPr>
        <w:t>%</w:t>
      </w:r>
      <w:r w:rsidRPr="00011AAA">
        <w:rPr>
          <w:rFonts w:ascii="Verdana" w:hAnsi="Verdana" w:cs="Arial"/>
          <w:sz w:val="16"/>
          <w:szCs w:val="16"/>
        </w:rPr>
        <w:t>.</w:t>
      </w:r>
      <w:r>
        <w:rPr>
          <w:rFonts w:ascii="Verdana" w:hAnsi="Verdana" w:cs="Arial"/>
          <w:sz w:val="16"/>
          <w:szCs w:val="16"/>
        </w:rPr>
        <w:t xml:space="preserve"> Dla lat 2023-2024 prognoza Ministerstwa Finansów zakłada spadek dynamiki wzrostu PKB do kolejno </w:t>
      </w:r>
      <w:r w:rsidRPr="002320AA">
        <w:rPr>
          <w:rFonts w:ascii="Verdana" w:hAnsi="Verdana" w:cs="Arial"/>
          <w:b/>
          <w:sz w:val="16"/>
          <w:szCs w:val="16"/>
        </w:rPr>
        <w:t>3,7%</w:t>
      </w:r>
      <w:r>
        <w:rPr>
          <w:rFonts w:ascii="Verdana" w:hAnsi="Verdana" w:cs="Arial"/>
          <w:sz w:val="16"/>
          <w:szCs w:val="16"/>
        </w:rPr>
        <w:t xml:space="preserve"> i </w:t>
      </w:r>
      <w:r w:rsidRPr="002320AA">
        <w:rPr>
          <w:rFonts w:ascii="Verdana" w:hAnsi="Verdana" w:cs="Arial"/>
          <w:b/>
          <w:sz w:val="16"/>
          <w:szCs w:val="16"/>
        </w:rPr>
        <w:t>3,5%</w:t>
      </w:r>
      <w:r>
        <w:rPr>
          <w:rFonts w:ascii="Verdana" w:hAnsi="Verdana" w:cs="Arial"/>
          <w:sz w:val="16"/>
          <w:szCs w:val="16"/>
        </w:rPr>
        <w:t>.</w:t>
      </w:r>
    </w:p>
    <w:p w:rsidR="007F07DD" w:rsidRPr="00BC1167" w:rsidRDefault="007F07DD" w:rsidP="007F07DD">
      <w:pPr>
        <w:spacing w:before="120" w:after="120"/>
        <w:jc w:val="both"/>
        <w:rPr>
          <w:rFonts w:ascii="Verdana" w:hAnsi="Verdana" w:cs="Arial"/>
          <w:b/>
          <w:sz w:val="18"/>
          <w:szCs w:val="18"/>
        </w:rPr>
      </w:pPr>
      <w:r w:rsidRPr="00BC1167">
        <w:rPr>
          <w:rFonts w:ascii="Verdana" w:hAnsi="Verdana" w:cs="Arial"/>
          <w:b/>
          <w:sz w:val="18"/>
          <w:szCs w:val="18"/>
        </w:rPr>
        <w:t>Wskaźnik cen towarów i usług konsumpcyjnych</w:t>
      </w:r>
    </w:p>
    <w:p w:rsidR="007F07DD" w:rsidRDefault="007F07DD" w:rsidP="007F07DD">
      <w:pPr>
        <w:spacing w:before="80" w:after="8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w:t>
      </w:r>
      <w:r>
        <w:rPr>
          <w:rFonts w:ascii="Verdana" w:hAnsi="Verdana" w:cs="Arial"/>
          <w:sz w:val="16"/>
          <w:szCs w:val="16"/>
        </w:rPr>
        <w:t xml:space="preserve">z 28 września 2021 r. (projekt ustawy budżetowej na rok 2022) </w:t>
      </w:r>
      <w:r w:rsidRPr="00011AAA">
        <w:rPr>
          <w:rFonts w:ascii="Verdana" w:hAnsi="Verdana" w:cs="Arial"/>
          <w:sz w:val="16"/>
          <w:szCs w:val="16"/>
        </w:rPr>
        <w:t>wskaźnik wzrostu cen towarów i usług konsumpcyjnych</w:t>
      </w:r>
      <w:r>
        <w:rPr>
          <w:rFonts w:ascii="Verdana" w:hAnsi="Verdana" w:cs="Arial"/>
          <w:sz w:val="16"/>
          <w:szCs w:val="16"/>
        </w:rPr>
        <w:t xml:space="preserve"> w </w:t>
      </w:r>
      <w:r w:rsidRPr="0090283F">
        <w:rPr>
          <w:rFonts w:ascii="Verdana" w:eastAsiaTheme="minorEastAsia" w:hAnsi="Verdana" w:cs="Verdana"/>
          <w:color w:val="000000"/>
          <w:sz w:val="16"/>
          <w:szCs w:val="16"/>
        </w:rPr>
        <w:t>2022</w:t>
      </w:r>
      <w:r w:rsidRPr="00011AAA">
        <w:rPr>
          <w:rFonts w:ascii="Verdana" w:hAnsi="Verdana" w:cs="Arial"/>
          <w:sz w:val="16"/>
          <w:szCs w:val="16"/>
        </w:rPr>
        <w:t xml:space="preserve"> r. wyniesie </w:t>
      </w:r>
      <w:r>
        <w:rPr>
          <w:rFonts w:ascii="Verdana" w:hAnsi="Verdana" w:cs="Arial"/>
          <w:b/>
          <w:sz w:val="16"/>
          <w:szCs w:val="16"/>
        </w:rPr>
        <w:t>3,3</w:t>
      </w:r>
      <w:r w:rsidRPr="00011AAA">
        <w:rPr>
          <w:rFonts w:ascii="Verdana" w:hAnsi="Verdana" w:cs="Arial"/>
          <w:b/>
          <w:sz w:val="16"/>
          <w:szCs w:val="16"/>
        </w:rPr>
        <w:t>%</w:t>
      </w:r>
      <w:r w:rsidRPr="00011AAA">
        <w:rPr>
          <w:rFonts w:ascii="Verdana" w:hAnsi="Verdana" w:cs="Arial"/>
          <w:sz w:val="16"/>
          <w:szCs w:val="16"/>
        </w:rPr>
        <w:t xml:space="preserve">, </w:t>
      </w:r>
      <w:r>
        <w:rPr>
          <w:rFonts w:ascii="Verdana" w:hAnsi="Verdana" w:cs="Arial"/>
          <w:sz w:val="16"/>
          <w:szCs w:val="16"/>
        </w:rPr>
        <w:t>wobec</w:t>
      </w:r>
      <w:r w:rsidRPr="00011AAA">
        <w:rPr>
          <w:rFonts w:ascii="Verdana" w:hAnsi="Verdana" w:cs="Arial"/>
          <w:sz w:val="16"/>
          <w:szCs w:val="16"/>
        </w:rPr>
        <w:t xml:space="preserve"> poziomu </w:t>
      </w:r>
      <w:r>
        <w:rPr>
          <w:rFonts w:ascii="Verdana" w:hAnsi="Verdana" w:cs="Arial"/>
          <w:b/>
          <w:sz w:val="16"/>
          <w:szCs w:val="16"/>
        </w:rPr>
        <w:t>4,3</w:t>
      </w:r>
      <w:r w:rsidRPr="00011AAA">
        <w:rPr>
          <w:rFonts w:ascii="Verdana" w:hAnsi="Verdana" w:cs="Arial"/>
          <w:b/>
          <w:sz w:val="16"/>
          <w:szCs w:val="16"/>
        </w:rPr>
        <w:t>%</w:t>
      </w:r>
      <w:r>
        <w:rPr>
          <w:rFonts w:ascii="Verdana" w:hAnsi="Verdana" w:cs="Arial"/>
          <w:sz w:val="16"/>
          <w:szCs w:val="16"/>
        </w:rPr>
        <w:t xml:space="preserve"> prognozowanego na </w:t>
      </w:r>
      <w:r w:rsidRPr="0090283F">
        <w:rPr>
          <w:rFonts w:ascii="Verdana" w:eastAsiaTheme="minorEastAsia" w:hAnsi="Verdana" w:cs="Verdana"/>
          <w:color w:val="000000"/>
          <w:sz w:val="16"/>
          <w:szCs w:val="16"/>
        </w:rPr>
        <w:t>2021</w:t>
      </w:r>
      <w:r w:rsidRPr="00011AAA">
        <w:rPr>
          <w:rFonts w:ascii="Verdana" w:hAnsi="Verdana" w:cs="Arial"/>
          <w:sz w:val="16"/>
          <w:szCs w:val="16"/>
        </w:rPr>
        <w:t xml:space="preserve"> r.</w:t>
      </w:r>
      <w:r>
        <w:rPr>
          <w:rFonts w:ascii="Verdana" w:hAnsi="Verdana" w:cs="Arial"/>
          <w:sz w:val="16"/>
          <w:szCs w:val="16"/>
        </w:rPr>
        <w:t xml:space="preserve"> </w:t>
      </w:r>
      <w:r>
        <w:rPr>
          <w:rFonts w:ascii="Verdana" w:hAnsi="Verdana"/>
          <w:sz w:val="16"/>
          <w:szCs w:val="16"/>
        </w:rPr>
        <w:t xml:space="preserve">Bieżący odczyt inflacji za listopad 2021 r. podany przez Główny Urząd Statystyczny 30 listopada 2021 r. wynosi </w:t>
      </w:r>
      <w:r>
        <w:rPr>
          <w:rFonts w:ascii="Verdana" w:hAnsi="Verdana"/>
          <w:b/>
          <w:sz w:val="16"/>
          <w:szCs w:val="16"/>
        </w:rPr>
        <w:t>7</w:t>
      </w:r>
      <w:r w:rsidRPr="00E65FA5">
        <w:rPr>
          <w:rFonts w:ascii="Verdana" w:hAnsi="Verdana"/>
          <w:b/>
          <w:sz w:val="16"/>
          <w:szCs w:val="16"/>
        </w:rPr>
        <w:t>,8%</w:t>
      </w:r>
      <w:r>
        <w:rPr>
          <w:rFonts w:ascii="Verdana" w:hAnsi="Verdana"/>
          <w:sz w:val="16"/>
          <w:szCs w:val="16"/>
        </w:rPr>
        <w:t xml:space="preserve"> (porównanie XI.2021 do XI.2020)</w:t>
      </w:r>
      <w:r w:rsidRPr="00011AAA">
        <w:rPr>
          <w:rStyle w:val="Odwoanieprzypisudolnego"/>
          <w:rFonts w:ascii="Verdana" w:hAnsi="Verdana"/>
          <w:bCs/>
          <w:iCs/>
          <w:color w:val="000000"/>
          <w:sz w:val="16"/>
          <w:szCs w:val="16"/>
        </w:rPr>
        <w:footnoteReference w:id="4"/>
      </w:r>
      <w:r>
        <w:rPr>
          <w:rFonts w:ascii="Verdana" w:hAnsi="Verdana"/>
          <w:sz w:val="16"/>
          <w:szCs w:val="16"/>
        </w:rPr>
        <w:t xml:space="preserve"> i oznacza utrzymywanie się rosnącego trendu inflacyjnego w 2021 r. </w:t>
      </w:r>
      <w:r>
        <w:rPr>
          <w:rFonts w:ascii="Verdana" w:hAnsi="Verdana" w:cs="Arial"/>
          <w:sz w:val="16"/>
          <w:szCs w:val="16"/>
        </w:rPr>
        <w:t>W świetle prognozy Ministerstwa Finansów w perspektywie 2024 r. inflacja ma stopniowo ulegać obniżeniu w kierunku celu inflacyjnego Narodowego Banku Polskiego wynoszącego 2,5%.</w:t>
      </w:r>
    </w:p>
    <w:p w:rsidR="007F07DD" w:rsidRPr="00BC1167" w:rsidRDefault="007F07DD" w:rsidP="007F07DD">
      <w:pPr>
        <w:spacing w:before="120" w:after="120"/>
        <w:jc w:val="both"/>
        <w:rPr>
          <w:rFonts w:ascii="Verdana" w:hAnsi="Verdana" w:cs="Arial"/>
          <w:b/>
          <w:sz w:val="18"/>
          <w:szCs w:val="18"/>
        </w:rPr>
      </w:pPr>
      <w:r w:rsidRPr="00BC1167">
        <w:rPr>
          <w:rFonts w:ascii="Verdana" w:hAnsi="Verdana" w:cs="Arial"/>
          <w:b/>
          <w:sz w:val="18"/>
          <w:szCs w:val="18"/>
        </w:rPr>
        <w:t>Wynagrodzenia</w:t>
      </w:r>
    </w:p>
    <w:p w:rsidR="007F07DD" w:rsidRDefault="007F07DD" w:rsidP="007F07DD">
      <w:pPr>
        <w:spacing w:before="120" w:after="8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w:t>
      </w:r>
      <w:r>
        <w:rPr>
          <w:rFonts w:ascii="Verdana" w:hAnsi="Verdana" w:cs="Arial"/>
          <w:sz w:val="16"/>
          <w:szCs w:val="16"/>
        </w:rPr>
        <w:t xml:space="preserve">z 28 września 2021 r. (projekt ustawy budżetowej na rok 2022) </w:t>
      </w:r>
      <w:r w:rsidRPr="00011AAA">
        <w:rPr>
          <w:rFonts w:ascii="Verdana" w:hAnsi="Verdana"/>
          <w:spacing w:val="2"/>
          <w:sz w:val="16"/>
          <w:szCs w:val="16"/>
        </w:rPr>
        <w:t>p</w:t>
      </w:r>
      <w:r w:rsidRPr="00011AAA">
        <w:rPr>
          <w:rFonts w:ascii="Verdana" w:hAnsi="Verdana" w:cs="Arial"/>
          <w:sz w:val="16"/>
          <w:szCs w:val="16"/>
        </w:rPr>
        <w:t xml:space="preserve">rzeciętne miesięczne wynagrodzenie brutto </w:t>
      </w:r>
      <w:r>
        <w:rPr>
          <w:rFonts w:ascii="Verdana" w:hAnsi="Verdana" w:cs="Arial"/>
          <w:sz w:val="16"/>
          <w:szCs w:val="16"/>
        </w:rPr>
        <w:t xml:space="preserve">w gospodarce narodowej w </w:t>
      </w:r>
      <w:r w:rsidRPr="0090283F">
        <w:rPr>
          <w:rFonts w:ascii="Verdana" w:eastAsiaTheme="minorEastAsia" w:hAnsi="Verdana" w:cs="Verdana"/>
          <w:color w:val="000000"/>
          <w:sz w:val="16"/>
          <w:szCs w:val="16"/>
        </w:rPr>
        <w:t>2022</w:t>
      </w:r>
      <w:r w:rsidRPr="00011AAA">
        <w:rPr>
          <w:rFonts w:ascii="Verdana" w:hAnsi="Verdana" w:cs="Arial"/>
          <w:sz w:val="16"/>
          <w:szCs w:val="16"/>
        </w:rPr>
        <w:t xml:space="preserve"> r. wzrośnie nominalnie o </w:t>
      </w:r>
      <w:r>
        <w:rPr>
          <w:rFonts w:ascii="Verdana" w:hAnsi="Verdana" w:cs="Arial"/>
          <w:b/>
          <w:sz w:val="16"/>
          <w:szCs w:val="16"/>
        </w:rPr>
        <w:t>6,7</w:t>
      </w:r>
      <w:r w:rsidRPr="00011AAA">
        <w:rPr>
          <w:rFonts w:ascii="Verdana" w:hAnsi="Verdana" w:cs="Arial"/>
          <w:b/>
          <w:sz w:val="16"/>
          <w:szCs w:val="16"/>
        </w:rPr>
        <w:t>%</w:t>
      </w:r>
      <w:r>
        <w:rPr>
          <w:rFonts w:ascii="Verdana" w:hAnsi="Verdana" w:cs="Arial"/>
          <w:sz w:val="16"/>
          <w:szCs w:val="16"/>
        </w:rPr>
        <w:t>, tj. na poziomie niższym od wzrostu</w:t>
      </w:r>
      <w:r w:rsidRPr="00011AAA">
        <w:rPr>
          <w:rFonts w:ascii="Verdana" w:hAnsi="Verdana" w:cs="Arial"/>
          <w:sz w:val="16"/>
          <w:szCs w:val="16"/>
        </w:rPr>
        <w:t xml:space="preserve"> oczekiwanego</w:t>
      </w:r>
      <w:r>
        <w:rPr>
          <w:rFonts w:ascii="Verdana" w:hAnsi="Verdana" w:cs="Arial"/>
          <w:sz w:val="16"/>
          <w:szCs w:val="16"/>
        </w:rPr>
        <w:t xml:space="preserve"> w </w:t>
      </w:r>
      <w:r w:rsidRPr="0090283F">
        <w:rPr>
          <w:rFonts w:ascii="Verdana" w:eastAsiaTheme="minorEastAsia" w:hAnsi="Verdana" w:cs="Verdana"/>
          <w:color w:val="000000"/>
          <w:sz w:val="16"/>
          <w:szCs w:val="16"/>
        </w:rPr>
        <w:t>2021</w:t>
      </w:r>
      <w:r>
        <w:rPr>
          <w:rFonts w:ascii="Verdana" w:hAnsi="Verdana" w:cs="Arial"/>
          <w:sz w:val="16"/>
          <w:szCs w:val="16"/>
        </w:rPr>
        <w:t xml:space="preserve"> r. wynoszącego</w:t>
      </w:r>
      <w:r w:rsidRPr="00011AAA">
        <w:rPr>
          <w:rFonts w:ascii="Verdana" w:hAnsi="Verdana" w:cs="Arial"/>
          <w:sz w:val="16"/>
          <w:szCs w:val="16"/>
        </w:rPr>
        <w:t xml:space="preserve"> </w:t>
      </w:r>
      <w:r>
        <w:rPr>
          <w:rFonts w:ascii="Verdana" w:hAnsi="Verdana" w:cs="Arial"/>
          <w:b/>
          <w:sz w:val="16"/>
          <w:szCs w:val="16"/>
        </w:rPr>
        <w:t>7,4</w:t>
      </w:r>
      <w:r w:rsidRPr="00011AAA">
        <w:rPr>
          <w:rFonts w:ascii="Verdana" w:hAnsi="Verdana" w:cs="Arial"/>
          <w:b/>
          <w:sz w:val="16"/>
          <w:szCs w:val="16"/>
        </w:rPr>
        <w:t>%</w:t>
      </w:r>
      <w:r w:rsidRPr="00011AAA">
        <w:rPr>
          <w:rFonts w:ascii="Verdana" w:hAnsi="Verdana" w:cs="Arial"/>
          <w:sz w:val="16"/>
          <w:szCs w:val="16"/>
        </w:rPr>
        <w:t>.</w:t>
      </w:r>
      <w:r>
        <w:rPr>
          <w:rFonts w:ascii="Verdana" w:hAnsi="Verdana" w:cs="Arial"/>
          <w:sz w:val="16"/>
          <w:szCs w:val="16"/>
        </w:rPr>
        <w:t xml:space="preserve"> Ministerstwo Finansów oczekuje dalszego spadku dynamiki wynagrodzeń w kolejnych latach..</w:t>
      </w:r>
    </w:p>
    <w:p w:rsidR="007F07DD" w:rsidRPr="00BC1167" w:rsidRDefault="007F07DD" w:rsidP="007F07DD">
      <w:pPr>
        <w:spacing w:before="120" w:after="120"/>
        <w:jc w:val="both"/>
        <w:rPr>
          <w:rFonts w:ascii="Verdana" w:hAnsi="Verdana" w:cs="Arial"/>
          <w:b/>
          <w:sz w:val="18"/>
          <w:szCs w:val="18"/>
        </w:rPr>
      </w:pPr>
      <w:r w:rsidRPr="00BC1167">
        <w:rPr>
          <w:rFonts w:ascii="Verdana" w:hAnsi="Verdana" w:cs="Arial"/>
          <w:b/>
          <w:sz w:val="18"/>
          <w:szCs w:val="18"/>
        </w:rPr>
        <w:t>Zatrudnienie</w:t>
      </w:r>
    </w:p>
    <w:p w:rsidR="007F07DD" w:rsidRDefault="007F07DD" w:rsidP="007F07DD">
      <w:pPr>
        <w:autoSpaceDE w:val="0"/>
        <w:autoSpaceDN w:val="0"/>
        <w:adjustRightInd w:val="0"/>
        <w:spacing w:before="120" w:after="12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w:t>
      </w:r>
      <w:r>
        <w:rPr>
          <w:rFonts w:ascii="Verdana" w:hAnsi="Verdana" w:cs="Arial"/>
          <w:sz w:val="16"/>
          <w:szCs w:val="16"/>
        </w:rPr>
        <w:t>z 28 września 2021 r. (projekt ustawy budżetowej na rok 2022)</w:t>
      </w:r>
      <w:r>
        <w:rPr>
          <w:rFonts w:ascii="Verdana" w:hAnsi="Verdana"/>
          <w:spacing w:val="2"/>
          <w:sz w:val="16"/>
          <w:szCs w:val="16"/>
        </w:rPr>
        <w:t xml:space="preserve"> </w:t>
      </w:r>
      <w:r w:rsidRPr="00011AAA">
        <w:rPr>
          <w:rFonts w:ascii="Verdana" w:hAnsi="Verdana"/>
          <w:spacing w:val="2"/>
          <w:sz w:val="16"/>
          <w:szCs w:val="16"/>
        </w:rPr>
        <w:t>p</w:t>
      </w:r>
      <w:r w:rsidRPr="00011AAA">
        <w:rPr>
          <w:rFonts w:ascii="Verdana" w:hAnsi="Verdana" w:cs="Arial"/>
          <w:sz w:val="16"/>
          <w:szCs w:val="16"/>
        </w:rPr>
        <w:t xml:space="preserve">rzeciętne zatrudnienie w gospodarce narodowej </w:t>
      </w:r>
      <w:r>
        <w:rPr>
          <w:rFonts w:ascii="Verdana" w:hAnsi="Verdana" w:cs="Arial"/>
          <w:sz w:val="16"/>
          <w:szCs w:val="16"/>
        </w:rPr>
        <w:t xml:space="preserve">w </w:t>
      </w:r>
      <w:r w:rsidRPr="0090283F">
        <w:rPr>
          <w:rFonts w:ascii="Verdana" w:eastAsiaTheme="minorEastAsia" w:hAnsi="Verdana" w:cs="Verdana"/>
          <w:color w:val="000000"/>
          <w:sz w:val="16"/>
          <w:szCs w:val="16"/>
        </w:rPr>
        <w:t>2022</w:t>
      </w:r>
      <w:r w:rsidRPr="00011AAA">
        <w:rPr>
          <w:rFonts w:ascii="Verdana" w:hAnsi="Verdana" w:cs="Arial"/>
          <w:sz w:val="16"/>
          <w:szCs w:val="16"/>
        </w:rPr>
        <w:t xml:space="preserve"> r. </w:t>
      </w:r>
      <w:r>
        <w:rPr>
          <w:rFonts w:ascii="Verdana" w:hAnsi="Verdana" w:cs="Arial"/>
          <w:sz w:val="16"/>
          <w:szCs w:val="16"/>
        </w:rPr>
        <w:t>ma wzrosnąć</w:t>
      </w:r>
      <w:r w:rsidRPr="00011AAA">
        <w:rPr>
          <w:rFonts w:ascii="Verdana" w:hAnsi="Verdana" w:cs="Arial"/>
          <w:sz w:val="16"/>
          <w:szCs w:val="16"/>
        </w:rPr>
        <w:t xml:space="preserve"> o </w:t>
      </w:r>
      <w:r>
        <w:rPr>
          <w:rFonts w:ascii="Verdana" w:hAnsi="Verdana" w:cs="Arial"/>
          <w:b/>
          <w:sz w:val="16"/>
          <w:szCs w:val="16"/>
        </w:rPr>
        <w:t>0,7</w:t>
      </w:r>
      <w:r w:rsidRPr="00011AAA">
        <w:rPr>
          <w:rFonts w:ascii="Verdana" w:hAnsi="Verdana" w:cs="Arial"/>
          <w:b/>
          <w:sz w:val="16"/>
          <w:szCs w:val="16"/>
        </w:rPr>
        <w:t>%</w:t>
      </w:r>
      <w:r>
        <w:rPr>
          <w:rFonts w:ascii="Verdana" w:hAnsi="Verdana" w:cs="Arial"/>
          <w:sz w:val="16"/>
          <w:szCs w:val="16"/>
        </w:rPr>
        <w:t>,</w:t>
      </w:r>
      <w:r w:rsidRPr="00011AAA">
        <w:rPr>
          <w:rFonts w:ascii="Verdana" w:hAnsi="Verdana" w:cs="Arial"/>
          <w:sz w:val="16"/>
          <w:szCs w:val="16"/>
        </w:rPr>
        <w:t xml:space="preserve"> </w:t>
      </w:r>
      <w:r>
        <w:rPr>
          <w:rFonts w:ascii="Verdana" w:hAnsi="Verdana" w:cs="Arial"/>
          <w:sz w:val="16"/>
          <w:szCs w:val="16"/>
        </w:rPr>
        <w:t xml:space="preserve">kontynuując wzrost oczekiwany w </w:t>
      </w:r>
      <w:r w:rsidRPr="0090283F">
        <w:rPr>
          <w:rFonts w:ascii="Verdana" w:eastAsiaTheme="minorEastAsia" w:hAnsi="Verdana" w:cs="Verdana"/>
          <w:color w:val="000000"/>
          <w:sz w:val="16"/>
          <w:szCs w:val="16"/>
        </w:rPr>
        <w:t>2021</w:t>
      </w:r>
      <w:r>
        <w:rPr>
          <w:rFonts w:ascii="Verdana" w:hAnsi="Verdana" w:cs="Arial"/>
          <w:sz w:val="16"/>
          <w:szCs w:val="16"/>
        </w:rPr>
        <w:t xml:space="preserve"> r. na poziomie</w:t>
      </w:r>
      <w:r w:rsidRPr="00011AAA">
        <w:rPr>
          <w:rFonts w:ascii="Verdana" w:hAnsi="Verdana" w:cs="Arial"/>
          <w:sz w:val="16"/>
          <w:szCs w:val="16"/>
        </w:rPr>
        <w:t xml:space="preserve"> </w:t>
      </w:r>
      <w:r>
        <w:rPr>
          <w:rFonts w:ascii="Verdana" w:hAnsi="Verdana" w:cs="Arial"/>
          <w:b/>
          <w:sz w:val="16"/>
          <w:szCs w:val="16"/>
        </w:rPr>
        <w:t>0,5</w:t>
      </w:r>
      <w:r w:rsidRPr="00011AAA">
        <w:rPr>
          <w:rFonts w:ascii="Verdana" w:hAnsi="Verdana" w:cs="Arial"/>
          <w:b/>
          <w:sz w:val="16"/>
          <w:szCs w:val="16"/>
        </w:rPr>
        <w:t>%</w:t>
      </w:r>
      <w:r>
        <w:rPr>
          <w:rFonts w:ascii="Verdana" w:hAnsi="Verdana" w:cs="Arial"/>
          <w:sz w:val="16"/>
          <w:szCs w:val="16"/>
        </w:rPr>
        <w:t>. Na lata 2023-2024 Ministerstwo Finansów przewiduje stopniową stabilizację zatrudnienia.</w:t>
      </w:r>
      <w:r>
        <w:rPr>
          <w:rFonts w:ascii="Verdana" w:hAnsi="Verdana" w:cs="Arial"/>
          <w:sz w:val="16"/>
          <w:szCs w:val="16"/>
        </w:rPr>
        <w:br w:type="page"/>
      </w:r>
    </w:p>
    <w:p w:rsidR="007F07DD" w:rsidRPr="000A6485" w:rsidRDefault="007F07DD" w:rsidP="007F07DD">
      <w:pPr>
        <w:spacing w:before="120" w:after="120"/>
        <w:rPr>
          <w:rFonts w:ascii="Verdana" w:hAnsi="Verdana"/>
          <w:b/>
          <w:bCs/>
          <w:sz w:val="20"/>
          <w:szCs w:val="20"/>
        </w:rPr>
      </w:pPr>
      <w:r w:rsidRPr="000A6485">
        <w:rPr>
          <w:rFonts w:ascii="Verdana" w:hAnsi="Verdana"/>
          <w:b/>
          <w:bCs/>
          <w:sz w:val="20"/>
          <w:szCs w:val="20"/>
        </w:rPr>
        <w:lastRenderedPageBreak/>
        <w:t xml:space="preserve">4.3 </w:t>
      </w:r>
      <w:r w:rsidRPr="00312621">
        <w:rPr>
          <w:rFonts w:ascii="Verdana" w:hAnsi="Verdana"/>
          <w:b/>
          <w:bCs/>
          <w:sz w:val="20"/>
          <w:szCs w:val="20"/>
        </w:rPr>
        <w:t>Uwarunkowania budżetowe m.st. Warszawy</w:t>
      </w:r>
    </w:p>
    <w:p w:rsidR="007F07DD" w:rsidRPr="000C6308" w:rsidRDefault="007F07DD" w:rsidP="007F07DD">
      <w:pPr>
        <w:spacing w:before="240" w:after="60"/>
        <w:ind w:firstLine="567"/>
        <w:jc w:val="both"/>
        <w:rPr>
          <w:rFonts w:ascii="Verdana" w:hAnsi="Verdana" w:cs="Arial"/>
          <w:sz w:val="16"/>
          <w:szCs w:val="16"/>
        </w:rPr>
      </w:pPr>
      <w:r>
        <w:rPr>
          <w:rFonts w:ascii="Verdana" w:hAnsi="Verdana" w:cs="Arial"/>
          <w:sz w:val="16"/>
          <w:szCs w:val="16"/>
        </w:rPr>
        <w:t>Wieloletnia</w:t>
      </w:r>
      <w:r w:rsidRPr="000C6308">
        <w:rPr>
          <w:rFonts w:ascii="Verdana" w:hAnsi="Verdana" w:cs="Arial"/>
          <w:sz w:val="16"/>
          <w:szCs w:val="16"/>
        </w:rPr>
        <w:t xml:space="preserve"> Prognoz</w:t>
      </w:r>
      <w:r>
        <w:rPr>
          <w:rFonts w:ascii="Verdana" w:hAnsi="Verdana" w:cs="Arial"/>
          <w:sz w:val="16"/>
          <w:szCs w:val="16"/>
        </w:rPr>
        <w:t>a Finansowa</w:t>
      </w:r>
      <w:r w:rsidRPr="000C6308">
        <w:rPr>
          <w:rFonts w:ascii="Verdana" w:hAnsi="Verdana" w:cs="Arial"/>
          <w:sz w:val="16"/>
          <w:szCs w:val="16"/>
        </w:rPr>
        <w:t xml:space="preserve"> na lata 2022-2050 m.st. Warszawy</w:t>
      </w:r>
      <w:r>
        <w:rPr>
          <w:rFonts w:ascii="Verdana" w:hAnsi="Verdana" w:cs="Arial"/>
          <w:sz w:val="16"/>
          <w:szCs w:val="16"/>
        </w:rPr>
        <w:t xml:space="preserve"> ujmuje konsekwencje wynikające </w:t>
      </w:r>
      <w:r>
        <w:rPr>
          <w:rFonts w:ascii="Verdana" w:hAnsi="Verdana" w:cs="Arial"/>
          <w:sz w:val="16"/>
          <w:szCs w:val="16"/>
        </w:rPr>
        <w:br/>
        <w:t>z następujących aktów prawnych</w:t>
      </w:r>
      <w:r w:rsidRPr="000C6308">
        <w:rPr>
          <w:rFonts w:ascii="Verdana" w:hAnsi="Verdana" w:cs="Arial"/>
          <w:sz w:val="16"/>
          <w:szCs w:val="16"/>
        </w:rPr>
        <w:t>:</w:t>
      </w:r>
    </w:p>
    <w:p w:rsidR="007F07DD" w:rsidRPr="001D7C48" w:rsidRDefault="007F07DD" w:rsidP="007F07DD">
      <w:pPr>
        <w:pStyle w:val="Akapitzlist"/>
        <w:numPr>
          <w:ilvl w:val="0"/>
          <w:numId w:val="55"/>
        </w:numPr>
        <w:spacing w:before="60" w:after="60"/>
        <w:ind w:left="568" w:hanging="284"/>
        <w:contextualSpacing w:val="0"/>
        <w:jc w:val="both"/>
        <w:rPr>
          <w:rFonts w:ascii="Verdana" w:hAnsi="Verdana" w:cs="Arial"/>
          <w:i/>
          <w:sz w:val="16"/>
          <w:szCs w:val="16"/>
        </w:rPr>
      </w:pPr>
      <w:r>
        <w:rPr>
          <w:rFonts w:ascii="Verdana" w:hAnsi="Verdana" w:cs="Arial"/>
          <w:sz w:val="16"/>
          <w:szCs w:val="16"/>
        </w:rPr>
        <w:t>ustawy z 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w:t>
      </w:r>
      <w:r>
        <w:rPr>
          <w:rFonts w:ascii="Verdana" w:hAnsi="Verdana" w:cs="Arial"/>
          <w:i/>
          <w:sz w:val="16"/>
          <w:szCs w:val="16"/>
        </w:rPr>
        <w:br/>
      </w:r>
      <w:r w:rsidRPr="00C06E0B">
        <w:rPr>
          <w:rFonts w:ascii="Verdana" w:hAnsi="Verdana" w:cs="Arial"/>
          <w:i/>
          <w:sz w:val="16"/>
          <w:szCs w:val="16"/>
        </w:rPr>
        <w:t>o podatku dochodowym od osób prawnych oraz niektórych innych ustaw</w:t>
      </w:r>
      <w:r>
        <w:rPr>
          <w:rFonts w:ascii="Verdana" w:hAnsi="Verdana" w:cs="Arial"/>
          <w:sz w:val="16"/>
          <w:szCs w:val="16"/>
        </w:rPr>
        <w:t xml:space="preserve"> (Dz.U. poz. 2105)</w:t>
      </w:r>
      <w:r w:rsidRPr="00C06E0B">
        <w:rPr>
          <w:rFonts w:ascii="Verdana" w:hAnsi="Verdana" w:cs="Arial"/>
          <w:sz w:val="16"/>
          <w:szCs w:val="16"/>
        </w:rPr>
        <w:t>,</w:t>
      </w:r>
    </w:p>
    <w:p w:rsidR="007F07DD" w:rsidRPr="00B82BD6" w:rsidRDefault="007F07DD" w:rsidP="007F07DD">
      <w:pPr>
        <w:pStyle w:val="Akapitzlist"/>
        <w:numPr>
          <w:ilvl w:val="0"/>
          <w:numId w:val="55"/>
        </w:numPr>
        <w:spacing w:before="60" w:after="60"/>
        <w:ind w:left="568" w:hanging="284"/>
        <w:contextualSpacing w:val="0"/>
        <w:jc w:val="both"/>
        <w:rPr>
          <w:rFonts w:ascii="Verdana" w:hAnsi="Verdana" w:cs="Arial"/>
          <w:i/>
          <w:sz w:val="16"/>
          <w:szCs w:val="16"/>
        </w:rPr>
      </w:pPr>
      <w:r>
        <w:rPr>
          <w:rFonts w:ascii="Verdana" w:hAnsi="Verdana" w:cs="Arial"/>
          <w:sz w:val="16"/>
          <w:szCs w:val="16"/>
        </w:rPr>
        <w:t>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Pr>
          <w:rFonts w:ascii="Verdana" w:hAnsi="Verdana" w:cs="Arial"/>
          <w:sz w:val="16"/>
          <w:szCs w:val="16"/>
        </w:rPr>
        <w:t>(Dz.U.</w:t>
      </w:r>
      <w:r w:rsidRPr="008E06F3">
        <w:rPr>
          <w:rFonts w:ascii="Verdana" w:hAnsi="Verdana" w:cs="Arial"/>
          <w:sz w:val="16"/>
          <w:szCs w:val="16"/>
        </w:rPr>
        <w:t xml:space="preserve"> poz.</w:t>
      </w:r>
      <w:r>
        <w:rPr>
          <w:rFonts w:ascii="Verdana" w:hAnsi="Verdana" w:cs="Arial"/>
          <w:sz w:val="16"/>
          <w:szCs w:val="16"/>
        </w:rPr>
        <w:t xml:space="preserve"> 1927</w:t>
      </w:r>
      <w:r w:rsidRPr="008E06F3">
        <w:rPr>
          <w:rFonts w:ascii="Verdana" w:hAnsi="Verdana" w:cs="Arial"/>
          <w:sz w:val="16"/>
          <w:szCs w:val="16"/>
        </w:rPr>
        <w:t>)</w:t>
      </w:r>
      <w:r>
        <w:rPr>
          <w:rFonts w:ascii="Verdana" w:hAnsi="Verdana" w:cs="Arial"/>
          <w:sz w:val="16"/>
          <w:szCs w:val="16"/>
        </w:rPr>
        <w:t>,</w:t>
      </w:r>
    </w:p>
    <w:p w:rsidR="007F07DD" w:rsidRPr="001C10A5" w:rsidRDefault="007F07DD" w:rsidP="007F07DD">
      <w:pPr>
        <w:pStyle w:val="Akapitzlist"/>
        <w:numPr>
          <w:ilvl w:val="0"/>
          <w:numId w:val="55"/>
        </w:numPr>
        <w:spacing w:before="60" w:after="240"/>
        <w:ind w:left="568" w:hanging="284"/>
        <w:contextualSpacing w:val="0"/>
        <w:jc w:val="both"/>
        <w:rPr>
          <w:rFonts w:ascii="Verdana" w:hAnsi="Verdana" w:cs="Arial"/>
          <w:i/>
          <w:sz w:val="16"/>
          <w:szCs w:val="16"/>
        </w:rPr>
      </w:pPr>
      <w:r w:rsidRPr="00B82BD6">
        <w:rPr>
          <w:rFonts w:ascii="Verdana" w:hAnsi="Verdana" w:cs="Arial"/>
          <w:sz w:val="16"/>
          <w:szCs w:val="16"/>
        </w:rPr>
        <w:t xml:space="preserve">ustawy z 17 września 2021 r. </w:t>
      </w:r>
      <w:r w:rsidRPr="00B82BD6">
        <w:rPr>
          <w:rFonts w:ascii="Verdana" w:hAnsi="Verdana" w:cs="Arial"/>
          <w:i/>
          <w:sz w:val="16"/>
          <w:szCs w:val="16"/>
        </w:rPr>
        <w:t>o zmianie ustawy o pomocy państwa w wychowaniu dzieci oraz niektórych innych ustaw</w:t>
      </w:r>
      <w:r>
        <w:rPr>
          <w:rFonts w:ascii="Verdana" w:hAnsi="Verdana" w:cs="Arial"/>
          <w:sz w:val="16"/>
          <w:szCs w:val="16"/>
        </w:rPr>
        <w:t xml:space="preserve"> (Dz.U. poz. 1981).</w:t>
      </w:r>
    </w:p>
    <w:p w:rsidR="007F07DD" w:rsidRPr="001C10A5" w:rsidRDefault="007F07DD" w:rsidP="007F07DD">
      <w:pPr>
        <w:pStyle w:val="Akapitzlist"/>
        <w:numPr>
          <w:ilvl w:val="0"/>
          <w:numId w:val="64"/>
        </w:numPr>
        <w:spacing w:before="240" w:after="60"/>
        <w:ind w:left="284" w:hanging="284"/>
        <w:rPr>
          <w:rFonts w:ascii="Verdana" w:hAnsi="Verdana" w:cs="Arial"/>
          <w:b/>
          <w:sz w:val="16"/>
          <w:szCs w:val="16"/>
        </w:rPr>
      </w:pPr>
      <w:r w:rsidRPr="001C10A5">
        <w:rPr>
          <w:rFonts w:ascii="Verdana" w:hAnsi="Verdana" w:cs="Arial"/>
          <w:b/>
          <w:sz w:val="16"/>
          <w:szCs w:val="16"/>
        </w:rPr>
        <w:t xml:space="preserve">SKUTKI USTAWY Z 29 PAŹDZIERNIKA 2021 R. </w:t>
      </w:r>
      <w:r w:rsidRPr="001C10A5">
        <w:rPr>
          <w:rFonts w:ascii="Verdana" w:hAnsi="Verdana" w:cs="Arial"/>
          <w:b/>
          <w:i/>
          <w:sz w:val="16"/>
          <w:szCs w:val="16"/>
        </w:rPr>
        <w:t>O ZMIANIE USTAWY O PODATKU DOCHODOWYM OD OSÓB FIZYCZNYCH, USTAWY O PODATKU DOCHODOWYM OD OSÓB PRAWNYCH ORAZ NIEKTÓRYCH INNYCH USTAW</w:t>
      </w:r>
      <w:r>
        <w:rPr>
          <w:rFonts w:ascii="Verdana" w:hAnsi="Verdana" w:cs="Arial"/>
          <w:b/>
          <w:sz w:val="16"/>
          <w:szCs w:val="16"/>
        </w:rPr>
        <w:t xml:space="preserve"> (DZ.U. POZ. 2105</w:t>
      </w:r>
      <w:r w:rsidRPr="003E72D6">
        <w:rPr>
          <w:rFonts w:ascii="Verdana" w:hAnsi="Verdana" w:cs="Arial"/>
          <w:b/>
          <w:sz w:val="16"/>
          <w:szCs w:val="16"/>
        </w:rPr>
        <w:t>)</w:t>
      </w:r>
    </w:p>
    <w:p w:rsidR="007F07DD" w:rsidRPr="002E5706" w:rsidRDefault="007F07DD" w:rsidP="007F07DD">
      <w:pPr>
        <w:spacing w:before="120" w:after="60"/>
        <w:ind w:firstLine="567"/>
        <w:jc w:val="both"/>
        <w:rPr>
          <w:rFonts w:ascii="Verdana" w:hAnsi="Verdana"/>
          <w:iCs/>
          <w:sz w:val="16"/>
          <w:szCs w:val="16"/>
        </w:rPr>
      </w:pPr>
      <w:r w:rsidRPr="002E5706">
        <w:rPr>
          <w:rFonts w:ascii="Verdana" w:hAnsi="Verdana"/>
          <w:iCs/>
          <w:sz w:val="16"/>
          <w:szCs w:val="16"/>
        </w:rPr>
        <w:t xml:space="preserve">Główne </w:t>
      </w:r>
      <w:r>
        <w:rPr>
          <w:rFonts w:ascii="Verdana" w:hAnsi="Verdana"/>
          <w:iCs/>
          <w:sz w:val="16"/>
          <w:szCs w:val="16"/>
        </w:rPr>
        <w:t>zmiany w podatku dochodowym od osób fizycznych (PIT), zawarte w ustawie z 29.10.2021 r., łącznie negatywnie oddziałujące na dochody jednostek samorządu terytorialnego, polegają na:</w:t>
      </w:r>
    </w:p>
    <w:p w:rsidR="007F07DD" w:rsidRPr="006A430E" w:rsidRDefault="007F07DD" w:rsidP="007F07DD">
      <w:pPr>
        <w:pStyle w:val="Akapitzlist"/>
        <w:numPr>
          <w:ilvl w:val="0"/>
          <w:numId w:val="59"/>
        </w:numPr>
        <w:spacing w:before="60" w:after="60"/>
        <w:ind w:left="567" w:hanging="283"/>
        <w:contextualSpacing w:val="0"/>
        <w:jc w:val="both"/>
        <w:rPr>
          <w:rFonts w:ascii="Verdana" w:hAnsi="Verdana"/>
          <w:iCs/>
          <w:sz w:val="16"/>
          <w:szCs w:val="16"/>
        </w:rPr>
      </w:pPr>
      <w:r w:rsidRPr="006A430E">
        <w:rPr>
          <w:rFonts w:ascii="Verdana" w:hAnsi="Verdana"/>
          <w:iCs/>
          <w:sz w:val="16"/>
          <w:szCs w:val="16"/>
        </w:rPr>
        <w:t>p</w:t>
      </w:r>
      <w:r>
        <w:rPr>
          <w:rFonts w:ascii="Verdana" w:hAnsi="Verdana"/>
          <w:iCs/>
          <w:sz w:val="16"/>
          <w:szCs w:val="16"/>
        </w:rPr>
        <w:t>odwyższeniu</w:t>
      </w:r>
      <w:r w:rsidRPr="006A430E">
        <w:rPr>
          <w:rFonts w:ascii="Verdana" w:hAnsi="Verdana"/>
          <w:iCs/>
          <w:sz w:val="16"/>
          <w:szCs w:val="16"/>
        </w:rPr>
        <w:t xml:space="preserve"> do 30 tys. zł „kwoty wolnej” od podatku dla ogółu podatników obliczających podatek </w:t>
      </w:r>
      <w:r>
        <w:rPr>
          <w:rFonts w:ascii="Verdana" w:hAnsi="Verdana"/>
          <w:iCs/>
          <w:sz w:val="16"/>
          <w:szCs w:val="16"/>
        </w:rPr>
        <w:br/>
      </w:r>
      <w:r w:rsidRPr="006A430E">
        <w:rPr>
          <w:rFonts w:ascii="Verdana" w:hAnsi="Verdana"/>
          <w:iCs/>
          <w:sz w:val="16"/>
          <w:szCs w:val="16"/>
        </w:rPr>
        <w:t>wg skali podatkowej,</w:t>
      </w:r>
    </w:p>
    <w:p w:rsidR="007F07DD" w:rsidRPr="006A430E" w:rsidRDefault="007F07DD" w:rsidP="007F07DD">
      <w:pPr>
        <w:pStyle w:val="Akapitzlist"/>
        <w:numPr>
          <w:ilvl w:val="0"/>
          <w:numId w:val="59"/>
        </w:numPr>
        <w:spacing w:before="60" w:after="60"/>
        <w:ind w:left="567" w:hanging="283"/>
        <w:contextualSpacing w:val="0"/>
        <w:jc w:val="both"/>
        <w:rPr>
          <w:rFonts w:ascii="Verdana" w:hAnsi="Verdana"/>
          <w:iCs/>
          <w:sz w:val="16"/>
          <w:szCs w:val="16"/>
        </w:rPr>
      </w:pPr>
      <w:r w:rsidRPr="006A430E">
        <w:rPr>
          <w:rFonts w:ascii="Verdana" w:hAnsi="Verdana"/>
          <w:iCs/>
          <w:sz w:val="16"/>
          <w:szCs w:val="16"/>
        </w:rPr>
        <w:t>podwyższeni</w:t>
      </w:r>
      <w:r>
        <w:rPr>
          <w:rFonts w:ascii="Verdana" w:hAnsi="Verdana"/>
          <w:iCs/>
          <w:sz w:val="16"/>
          <w:szCs w:val="16"/>
        </w:rPr>
        <w:t>u</w:t>
      </w:r>
      <w:r w:rsidRPr="006A430E">
        <w:rPr>
          <w:rFonts w:ascii="Verdana" w:hAnsi="Verdana"/>
          <w:iCs/>
          <w:sz w:val="16"/>
          <w:szCs w:val="16"/>
        </w:rPr>
        <w:t xml:space="preserve"> do 120 tys. zł progu dochodów, po przekroczeniu którego ma zastosowanie 32% stawka podatku,</w:t>
      </w:r>
    </w:p>
    <w:p w:rsidR="007F07DD" w:rsidRDefault="007F07DD" w:rsidP="007F07DD">
      <w:pPr>
        <w:pStyle w:val="Akapitzlist"/>
        <w:numPr>
          <w:ilvl w:val="0"/>
          <w:numId w:val="59"/>
        </w:numPr>
        <w:spacing w:before="60" w:after="60"/>
        <w:ind w:left="567" w:hanging="283"/>
        <w:contextualSpacing w:val="0"/>
        <w:jc w:val="both"/>
        <w:rPr>
          <w:rFonts w:ascii="Verdana" w:hAnsi="Verdana"/>
          <w:iCs/>
          <w:sz w:val="16"/>
          <w:szCs w:val="16"/>
        </w:rPr>
      </w:pPr>
      <w:r>
        <w:rPr>
          <w:rFonts w:ascii="Verdana" w:hAnsi="Verdana"/>
          <w:iCs/>
          <w:sz w:val="16"/>
          <w:szCs w:val="16"/>
        </w:rPr>
        <w:t>likwidacji</w:t>
      </w:r>
      <w:r w:rsidRPr="006A430E">
        <w:rPr>
          <w:rFonts w:ascii="Verdana" w:hAnsi="Verdana"/>
          <w:iCs/>
          <w:sz w:val="16"/>
          <w:szCs w:val="16"/>
        </w:rPr>
        <w:t xml:space="preserve"> możliwości odliczenia od podatku składki na ubezpieczenie </w:t>
      </w:r>
      <w:r>
        <w:rPr>
          <w:rFonts w:ascii="Verdana" w:hAnsi="Verdana"/>
          <w:iCs/>
          <w:sz w:val="16"/>
          <w:szCs w:val="16"/>
        </w:rPr>
        <w:t>zdrowotne,</w:t>
      </w:r>
    </w:p>
    <w:p w:rsidR="007F07DD" w:rsidRPr="002E5706" w:rsidRDefault="007F07DD" w:rsidP="007F07DD">
      <w:pPr>
        <w:pStyle w:val="Akapitzlist"/>
        <w:numPr>
          <w:ilvl w:val="0"/>
          <w:numId w:val="59"/>
        </w:numPr>
        <w:spacing w:before="120" w:after="60"/>
        <w:ind w:left="567" w:hanging="283"/>
        <w:jc w:val="both"/>
        <w:rPr>
          <w:rFonts w:ascii="Verdana" w:hAnsi="Verdana" w:cs="Arial"/>
          <w:sz w:val="16"/>
          <w:szCs w:val="16"/>
        </w:rPr>
      </w:pPr>
      <w:r w:rsidRPr="002E5706">
        <w:rPr>
          <w:rFonts w:ascii="Verdana" w:hAnsi="Verdana"/>
          <w:iCs/>
          <w:sz w:val="16"/>
          <w:szCs w:val="16"/>
        </w:rPr>
        <w:t>w</w:t>
      </w:r>
      <w:r>
        <w:rPr>
          <w:rFonts w:ascii="Verdana" w:hAnsi="Verdana"/>
          <w:iCs/>
          <w:sz w:val="16"/>
          <w:szCs w:val="16"/>
        </w:rPr>
        <w:t>prowadzeniu</w:t>
      </w:r>
      <w:r w:rsidRPr="002E5706">
        <w:rPr>
          <w:rFonts w:ascii="Verdana" w:hAnsi="Verdana"/>
          <w:iCs/>
          <w:sz w:val="16"/>
          <w:szCs w:val="16"/>
        </w:rPr>
        <w:t xml:space="preserve"> ulgi obniżającej </w:t>
      </w:r>
      <w:r>
        <w:rPr>
          <w:rFonts w:ascii="Verdana" w:hAnsi="Verdana"/>
          <w:iCs/>
          <w:sz w:val="16"/>
          <w:szCs w:val="16"/>
        </w:rPr>
        <w:t xml:space="preserve">(do celów wyliczenia podatku) </w:t>
      </w:r>
      <w:r w:rsidRPr="002E5706">
        <w:rPr>
          <w:rFonts w:ascii="Verdana" w:hAnsi="Verdana"/>
          <w:iCs/>
          <w:sz w:val="16"/>
          <w:szCs w:val="16"/>
        </w:rPr>
        <w:t xml:space="preserve">dochód dla określonego przedziału dochodowego (miesięczny przychód brutto od 5.701 zł do 11.141 zł), w celu zniwelowania straty spowodowanej zniesieniem </w:t>
      </w:r>
      <w:proofErr w:type="spellStart"/>
      <w:r w:rsidRPr="002E5706">
        <w:rPr>
          <w:rFonts w:ascii="Verdana" w:hAnsi="Verdana"/>
          <w:iCs/>
          <w:sz w:val="16"/>
          <w:szCs w:val="16"/>
        </w:rPr>
        <w:t>odliczalności</w:t>
      </w:r>
      <w:proofErr w:type="spellEnd"/>
      <w:r w:rsidRPr="002E5706">
        <w:rPr>
          <w:rFonts w:ascii="Verdana" w:hAnsi="Verdana"/>
          <w:iCs/>
          <w:sz w:val="16"/>
          <w:szCs w:val="16"/>
        </w:rPr>
        <w:t xml:space="preserve"> składki zdrowotnej</w:t>
      </w:r>
      <w:r>
        <w:rPr>
          <w:rFonts w:ascii="Verdana" w:hAnsi="Verdana"/>
          <w:iCs/>
          <w:sz w:val="16"/>
          <w:szCs w:val="16"/>
        </w:rPr>
        <w:t>.</w:t>
      </w:r>
    </w:p>
    <w:p w:rsidR="007F07DD" w:rsidRDefault="007F07DD" w:rsidP="007F07DD">
      <w:pPr>
        <w:spacing w:before="60" w:after="60"/>
        <w:jc w:val="both"/>
        <w:rPr>
          <w:rFonts w:ascii="Verdana" w:hAnsi="Verdana" w:cs="Arial"/>
          <w:sz w:val="16"/>
          <w:szCs w:val="16"/>
        </w:rPr>
      </w:pPr>
      <w:r>
        <w:rPr>
          <w:rFonts w:ascii="Verdana" w:hAnsi="Verdana" w:cs="Arial"/>
          <w:sz w:val="16"/>
          <w:szCs w:val="16"/>
        </w:rPr>
        <w:t xml:space="preserve">Oceny Skutków Regulacji </w:t>
      </w:r>
      <w:r>
        <w:rPr>
          <w:rFonts w:ascii="Verdana" w:hAnsi="Verdana"/>
          <w:iCs/>
          <w:sz w:val="16"/>
          <w:szCs w:val="16"/>
        </w:rPr>
        <w:t>ustawy z 29.10.2021 r.</w:t>
      </w:r>
      <w:r>
        <w:rPr>
          <w:rFonts w:ascii="Verdana" w:hAnsi="Verdana" w:cs="Arial"/>
          <w:sz w:val="16"/>
          <w:szCs w:val="16"/>
        </w:rPr>
        <w:t>, wchodzącej w skład rządowego Programu Polski Ład, prezentowe</w:t>
      </w:r>
      <w:r w:rsidRPr="00AC083A">
        <w:rPr>
          <w:rFonts w:ascii="Verdana" w:hAnsi="Verdana" w:cs="Arial"/>
          <w:sz w:val="16"/>
          <w:szCs w:val="16"/>
        </w:rPr>
        <w:t xml:space="preserve"> na poszczególnych etapach jej procedowania (projekty z 26.07.2021 r. i z 08.09.2021 r.)</w:t>
      </w:r>
      <w:r>
        <w:rPr>
          <w:rFonts w:ascii="Verdana" w:hAnsi="Verdana" w:cs="Arial"/>
          <w:sz w:val="16"/>
          <w:szCs w:val="16"/>
        </w:rPr>
        <w:t xml:space="preserve">, wskazują na negatywny wpływ przepisów ustawy na dochody jednostek samorządu terytorialnego rzędu </w:t>
      </w:r>
      <w:r>
        <w:rPr>
          <w:rFonts w:ascii="Verdana" w:hAnsi="Verdana" w:cs="Arial"/>
          <w:sz w:val="16"/>
          <w:szCs w:val="16"/>
        </w:rPr>
        <w:br/>
      </w:r>
      <w:r w:rsidRPr="00D07137">
        <w:rPr>
          <w:rFonts w:ascii="Verdana" w:hAnsi="Verdana" w:cs="Arial"/>
          <w:b/>
          <w:sz w:val="16"/>
          <w:szCs w:val="16"/>
        </w:rPr>
        <w:t>13,5-15,4 mld zł</w:t>
      </w:r>
      <w:r>
        <w:rPr>
          <w:rFonts w:ascii="Verdana" w:hAnsi="Verdana" w:cs="Arial"/>
          <w:sz w:val="16"/>
          <w:szCs w:val="16"/>
        </w:rPr>
        <w:t xml:space="preserve"> w 2022 r. i zbliżone kwoty w latach następnych.</w:t>
      </w:r>
      <w:r w:rsidRPr="00942245">
        <w:rPr>
          <w:rFonts w:ascii="Verdana" w:hAnsi="Verdana" w:cs="Arial"/>
          <w:sz w:val="16"/>
          <w:szCs w:val="16"/>
        </w:rPr>
        <w:t xml:space="preserve"> </w:t>
      </w:r>
      <w:r>
        <w:rPr>
          <w:rFonts w:ascii="Verdana" w:hAnsi="Verdana" w:cs="Arial"/>
          <w:sz w:val="16"/>
          <w:szCs w:val="16"/>
        </w:rPr>
        <w:t>W</w:t>
      </w:r>
      <w:r w:rsidRPr="00106F36">
        <w:rPr>
          <w:rFonts w:ascii="Verdana" w:hAnsi="Verdana" w:cs="Arial"/>
          <w:sz w:val="16"/>
          <w:szCs w:val="16"/>
        </w:rPr>
        <w:t xml:space="preserve"> przypadku m.st. Warszawy </w:t>
      </w:r>
      <w:r>
        <w:rPr>
          <w:rFonts w:ascii="Verdana" w:hAnsi="Verdana" w:cs="Arial"/>
          <w:sz w:val="16"/>
          <w:szCs w:val="16"/>
        </w:rPr>
        <w:t xml:space="preserve">roczny </w:t>
      </w:r>
      <w:r w:rsidRPr="00106F36">
        <w:rPr>
          <w:rFonts w:ascii="Verdana" w:hAnsi="Verdana" w:cs="Arial"/>
          <w:sz w:val="16"/>
          <w:szCs w:val="16"/>
        </w:rPr>
        <w:t xml:space="preserve">ubytek dochodów z PIT </w:t>
      </w:r>
      <w:r>
        <w:rPr>
          <w:rFonts w:ascii="Verdana" w:hAnsi="Verdana" w:cs="Arial"/>
          <w:sz w:val="16"/>
          <w:szCs w:val="16"/>
        </w:rPr>
        <w:t>oszacowano na kwotę</w:t>
      </w:r>
      <w:r w:rsidRPr="00106F36">
        <w:rPr>
          <w:rFonts w:ascii="Verdana" w:hAnsi="Verdana" w:cs="Arial"/>
          <w:sz w:val="16"/>
          <w:szCs w:val="16"/>
        </w:rPr>
        <w:t xml:space="preserve"> </w:t>
      </w:r>
      <w:r w:rsidRPr="00D047B8">
        <w:rPr>
          <w:rFonts w:ascii="Verdana" w:hAnsi="Verdana" w:cs="Arial"/>
          <w:b/>
          <w:sz w:val="16"/>
          <w:szCs w:val="16"/>
        </w:rPr>
        <w:t>1,416 mld zł</w:t>
      </w:r>
      <w:r>
        <w:rPr>
          <w:rFonts w:ascii="Verdana" w:hAnsi="Verdana" w:cs="Arial"/>
          <w:sz w:val="16"/>
          <w:szCs w:val="16"/>
        </w:rPr>
        <w:t xml:space="preserve"> rocznie.</w:t>
      </w:r>
    </w:p>
    <w:p w:rsidR="007F07DD" w:rsidRDefault="007F07DD" w:rsidP="007F07DD">
      <w:pPr>
        <w:spacing w:before="120" w:after="60"/>
        <w:jc w:val="both"/>
        <w:rPr>
          <w:rFonts w:ascii="Verdana" w:hAnsi="Verdana" w:cs="Arial"/>
          <w:sz w:val="16"/>
          <w:szCs w:val="16"/>
        </w:rPr>
      </w:pPr>
      <w:r>
        <w:rPr>
          <w:rFonts w:ascii="Verdana" w:hAnsi="Verdana" w:cs="Arial"/>
          <w:noProof/>
          <w:sz w:val="16"/>
          <w:szCs w:val="16"/>
        </w:rPr>
        <mc:AlternateContent>
          <mc:Choice Requires="wps">
            <w:drawing>
              <wp:anchor distT="0" distB="0" distL="114300" distR="114300" simplePos="0" relativeHeight="251704320" behindDoc="0" locked="0" layoutInCell="1" allowOverlap="1" wp14:anchorId="5685AFAE" wp14:editId="61B17FF9">
                <wp:simplePos x="0" y="0"/>
                <wp:positionH relativeFrom="margin">
                  <wp:align>left</wp:align>
                </wp:positionH>
                <wp:positionV relativeFrom="paragraph">
                  <wp:posOffset>112736</wp:posOffset>
                </wp:positionV>
                <wp:extent cx="5715000" cy="1574359"/>
                <wp:effectExtent l="0" t="0" r="19050" b="26035"/>
                <wp:wrapNone/>
                <wp:docPr id="18" name="Pole tekstowe 18"/>
                <wp:cNvGraphicFramePr/>
                <a:graphic xmlns:a="http://schemas.openxmlformats.org/drawingml/2006/main">
                  <a:graphicData uri="http://schemas.microsoft.com/office/word/2010/wordprocessingShape">
                    <wps:wsp>
                      <wps:cNvSpPr txBox="1"/>
                      <wps:spPr>
                        <a:xfrm>
                          <a:off x="0" y="0"/>
                          <a:ext cx="5715000" cy="1574359"/>
                        </a:xfrm>
                        <a:prstGeom prst="rect">
                          <a:avLst/>
                        </a:prstGeom>
                        <a:solidFill>
                          <a:schemeClr val="lt1"/>
                        </a:solidFill>
                        <a:ln w="15875">
                          <a:solidFill>
                            <a:prstClr val="black"/>
                          </a:solidFill>
                        </a:ln>
                      </wps:spPr>
                      <wps:txbx>
                        <w:txbxContent>
                          <w:p w:rsidR="0043105E" w:rsidRPr="00F00E16" w:rsidRDefault="0043105E" w:rsidP="007F07DD">
                            <w:pPr>
                              <w:spacing w:before="120" w:after="120"/>
                              <w:jc w:val="center"/>
                              <w:rPr>
                                <w:rFonts w:ascii="Verdana" w:hAnsi="Verdana"/>
                                <w:b/>
                                <w:sz w:val="16"/>
                                <w:szCs w:val="16"/>
                              </w:rPr>
                            </w:pPr>
                            <w:r w:rsidRPr="00F00E16">
                              <w:rPr>
                                <w:rFonts w:ascii="Verdana" w:hAnsi="Verdana"/>
                                <w:b/>
                                <w:sz w:val="16"/>
                                <w:szCs w:val="16"/>
                              </w:rPr>
                              <w:t xml:space="preserve">Ubytek dochodów JST z </w:t>
                            </w:r>
                            <w:r>
                              <w:rPr>
                                <w:rFonts w:ascii="Verdana" w:hAnsi="Verdana"/>
                                <w:b/>
                                <w:sz w:val="16"/>
                                <w:szCs w:val="16"/>
                              </w:rPr>
                              <w:t xml:space="preserve">udziału w </w:t>
                            </w:r>
                            <w:r w:rsidRPr="00F00E16">
                              <w:rPr>
                                <w:rFonts w:ascii="Verdana" w:hAnsi="Verdana"/>
                                <w:b/>
                                <w:sz w:val="16"/>
                                <w:szCs w:val="16"/>
                              </w:rPr>
                              <w:t>PIT na skutek rządowego Programu Polski Ład*</w:t>
                            </w:r>
                          </w:p>
                          <w:p w:rsidR="0043105E" w:rsidRDefault="0043105E" w:rsidP="007F07DD">
                            <w:pPr>
                              <w:jc w:val="center"/>
                              <w:rPr>
                                <w:rFonts w:ascii="Verdana" w:hAnsi="Verdana"/>
                                <w:sz w:val="16"/>
                                <w:szCs w:val="16"/>
                              </w:rPr>
                            </w:pPr>
                            <w:r>
                              <w:rPr>
                                <w:rFonts w:ascii="Verdana" w:hAnsi="Verdana"/>
                                <w:sz w:val="16"/>
                                <w:szCs w:val="16"/>
                              </w:rPr>
                              <w:t xml:space="preserve">                                                 W 2022 r.               Łącznie w okresie najbliższych 10 lat, tj. 2022-2031</w:t>
                            </w:r>
                          </w:p>
                          <w:p w:rsidR="0043105E" w:rsidRPr="00992901" w:rsidRDefault="0043105E" w:rsidP="007F07DD">
                            <w:pPr>
                              <w:rPr>
                                <w:rFonts w:ascii="Verdana" w:hAnsi="Verdana"/>
                                <w:b/>
                                <w:sz w:val="20"/>
                                <w:szCs w:val="20"/>
                              </w:rPr>
                            </w:pPr>
                            <w:r>
                              <w:rPr>
                                <w:rFonts w:ascii="Verdana" w:hAnsi="Verdana"/>
                                <w:b/>
                                <w:sz w:val="20"/>
                                <w:szCs w:val="20"/>
                              </w:rPr>
                              <w:t xml:space="preserve">  </w:t>
                            </w:r>
                            <w:r w:rsidRPr="00992901">
                              <w:rPr>
                                <w:rFonts w:ascii="Verdana" w:hAnsi="Verdana"/>
                                <w:sz w:val="16"/>
                                <w:szCs w:val="16"/>
                              </w:rPr>
                              <w:t>JST ogółem</w:t>
                            </w:r>
                            <w:r w:rsidRPr="00992901">
                              <w:rPr>
                                <w:rFonts w:ascii="Verdana" w:hAnsi="Verdana"/>
                                <w:b/>
                                <w:sz w:val="16"/>
                                <w:szCs w:val="16"/>
                              </w:rPr>
                              <w:t xml:space="preserve"> </w:t>
                            </w:r>
                            <w:r>
                              <w:rPr>
                                <w:rFonts w:ascii="Verdana" w:hAnsi="Verdana"/>
                                <w:b/>
                                <w:sz w:val="20"/>
                                <w:szCs w:val="20"/>
                              </w:rPr>
                              <w:t xml:space="preserve">                  </w:t>
                            </w:r>
                            <w:r w:rsidRPr="007A13EE">
                              <w:rPr>
                                <w:rFonts w:ascii="Verdana" w:hAnsi="Verdana"/>
                                <w:b/>
                                <w:color w:val="C00000"/>
                                <w:sz w:val="20"/>
                                <w:szCs w:val="20"/>
                              </w:rPr>
                              <w:t xml:space="preserve">13,5-15,4 </w:t>
                            </w:r>
                            <w:r w:rsidRPr="007A13EE">
                              <w:rPr>
                                <w:rFonts w:ascii="Verdana" w:hAnsi="Verdana"/>
                                <w:b/>
                                <w:color w:val="C00000"/>
                                <w:sz w:val="16"/>
                                <w:szCs w:val="16"/>
                              </w:rPr>
                              <w:t>mld zł</w:t>
                            </w:r>
                            <w:r w:rsidRPr="00992901">
                              <w:rPr>
                                <w:rFonts w:ascii="Verdana" w:hAnsi="Verdana"/>
                                <w:b/>
                                <w:sz w:val="20"/>
                                <w:szCs w:val="20"/>
                              </w:rPr>
                              <w:t xml:space="preserve"> </w:t>
                            </w:r>
                            <w:r>
                              <w:rPr>
                                <w:rFonts w:ascii="Verdana" w:hAnsi="Verdana"/>
                                <w:b/>
                                <w:sz w:val="20"/>
                                <w:szCs w:val="20"/>
                              </w:rPr>
                              <w:t xml:space="preserve">                     </w:t>
                            </w:r>
                            <w:r w:rsidRPr="007A13EE">
                              <w:rPr>
                                <w:rFonts w:ascii="Verdana" w:hAnsi="Verdana"/>
                                <w:b/>
                                <w:color w:val="C00000"/>
                                <w:sz w:val="20"/>
                                <w:szCs w:val="20"/>
                              </w:rPr>
                              <w:t xml:space="preserve">125-145 </w:t>
                            </w:r>
                            <w:r w:rsidRPr="007A13EE">
                              <w:rPr>
                                <w:rFonts w:ascii="Verdana" w:hAnsi="Verdana"/>
                                <w:b/>
                                <w:color w:val="C00000"/>
                                <w:sz w:val="16"/>
                                <w:szCs w:val="16"/>
                              </w:rPr>
                              <w:t>mld zł</w:t>
                            </w:r>
                          </w:p>
                          <w:p w:rsidR="0043105E" w:rsidRDefault="0043105E" w:rsidP="007F07DD">
                            <w:pPr>
                              <w:rPr>
                                <w:rFonts w:ascii="Verdana" w:hAnsi="Verdana"/>
                                <w:b/>
                                <w:color w:val="C00000"/>
                                <w:sz w:val="16"/>
                                <w:szCs w:val="16"/>
                              </w:rPr>
                            </w:pPr>
                            <w:r>
                              <w:rPr>
                                <w:rFonts w:ascii="Verdana" w:hAnsi="Verdana"/>
                                <w:sz w:val="16"/>
                                <w:szCs w:val="16"/>
                              </w:rPr>
                              <w:t xml:space="preserve">   w tym m.st. Warszawa              </w:t>
                            </w:r>
                            <w:r w:rsidRPr="007A13EE">
                              <w:rPr>
                                <w:rFonts w:ascii="Verdana" w:hAnsi="Verdana"/>
                                <w:b/>
                                <w:color w:val="C00000"/>
                                <w:sz w:val="20"/>
                                <w:szCs w:val="20"/>
                              </w:rPr>
                              <w:t xml:space="preserve">1,416 </w:t>
                            </w:r>
                            <w:r w:rsidRPr="007A13EE">
                              <w:rPr>
                                <w:rFonts w:ascii="Verdana" w:hAnsi="Verdana"/>
                                <w:b/>
                                <w:color w:val="C00000"/>
                                <w:sz w:val="16"/>
                                <w:szCs w:val="16"/>
                              </w:rPr>
                              <w:t>mld zł</w:t>
                            </w:r>
                            <w:r w:rsidRPr="00992901">
                              <w:rPr>
                                <w:rFonts w:ascii="Verdana" w:hAnsi="Verdana"/>
                                <w:b/>
                                <w:sz w:val="20"/>
                                <w:szCs w:val="20"/>
                              </w:rPr>
                              <w:t xml:space="preserve"> </w:t>
                            </w:r>
                            <w:r>
                              <w:rPr>
                                <w:rFonts w:ascii="Verdana" w:hAnsi="Verdana"/>
                                <w:b/>
                                <w:sz w:val="20"/>
                                <w:szCs w:val="20"/>
                              </w:rPr>
                              <w:t xml:space="preserve">                            </w:t>
                            </w:r>
                            <w:r w:rsidRPr="007A13EE">
                              <w:rPr>
                                <w:rFonts w:ascii="Verdana" w:hAnsi="Verdana"/>
                                <w:b/>
                                <w:color w:val="C00000"/>
                                <w:sz w:val="20"/>
                                <w:szCs w:val="20"/>
                              </w:rPr>
                              <w:t xml:space="preserve">14,2 </w:t>
                            </w:r>
                            <w:r w:rsidRPr="007A13EE">
                              <w:rPr>
                                <w:rFonts w:ascii="Verdana" w:hAnsi="Verdana"/>
                                <w:b/>
                                <w:color w:val="C00000"/>
                                <w:sz w:val="16"/>
                                <w:szCs w:val="16"/>
                              </w:rPr>
                              <w:t>mld zł</w:t>
                            </w:r>
                          </w:p>
                          <w:p w:rsidR="0043105E" w:rsidRPr="00680B36" w:rsidRDefault="0043105E" w:rsidP="007F07DD">
                            <w:pPr>
                              <w:spacing w:before="120" w:line="240" w:lineRule="auto"/>
                              <w:rPr>
                                <w:rFonts w:ascii="Verdana" w:hAnsi="Verdana"/>
                                <w:b/>
                                <w:sz w:val="14"/>
                                <w:szCs w:val="14"/>
                              </w:rPr>
                            </w:pPr>
                            <w:r w:rsidRPr="00742AD8">
                              <w:rPr>
                                <w:rFonts w:ascii="Verdana" w:hAnsi="Verdana"/>
                                <w:sz w:val="16"/>
                                <w:szCs w:val="16"/>
                              </w:rPr>
                              <w:t xml:space="preserve">* </w:t>
                            </w:r>
                            <w:r>
                              <w:rPr>
                                <w:rFonts w:ascii="Verdana" w:hAnsi="Verdana"/>
                                <w:sz w:val="14"/>
                                <w:szCs w:val="14"/>
                              </w:rPr>
                              <w:t>Szacunki na podstawie Ocen Skutków Regulacji dołączonych do projektów z 26.07.2021 r. i 08.09.2021 r,</w:t>
                            </w:r>
                            <w:r>
                              <w:rPr>
                                <w:rFonts w:ascii="Verdana" w:hAnsi="Verdana"/>
                                <w:sz w:val="14"/>
                                <w:szCs w:val="14"/>
                              </w:rPr>
                              <w:br/>
                              <w:t xml:space="preserve">   ustawy z 29.10.2021 r</w:t>
                            </w:r>
                            <w:r w:rsidRPr="002A3E74">
                              <w:rPr>
                                <w:rFonts w:ascii="Verdana" w:hAnsi="Verdana"/>
                                <w:sz w:val="14"/>
                                <w:szCs w:val="14"/>
                              </w:rPr>
                              <w:t xml:space="preserve">. </w:t>
                            </w:r>
                            <w:r w:rsidRPr="002A3E74">
                              <w:rPr>
                                <w:rFonts w:ascii="Verdana" w:hAnsi="Verdana" w:cs="Arial"/>
                                <w:i/>
                                <w:sz w:val="14"/>
                                <w:szCs w:val="14"/>
                              </w:rPr>
                              <w:t xml:space="preserve">o zmianie ustawy o podatku dochodowym od osób fizycznych, ustawy o podatku dochodowym </w:t>
                            </w:r>
                            <w:r>
                              <w:rPr>
                                <w:rFonts w:ascii="Verdana" w:hAnsi="Verdana" w:cs="Arial"/>
                                <w:i/>
                                <w:sz w:val="14"/>
                                <w:szCs w:val="14"/>
                              </w:rPr>
                              <w:br/>
                              <w:t xml:space="preserve">   </w:t>
                            </w:r>
                            <w:r w:rsidRPr="002A3E74">
                              <w:rPr>
                                <w:rFonts w:ascii="Verdana" w:hAnsi="Verdana" w:cs="Arial"/>
                                <w:i/>
                                <w:sz w:val="14"/>
                                <w:szCs w:val="14"/>
                              </w:rPr>
                              <w:t>od osób prawnych oraz niektórych innych ustaw</w:t>
                            </w:r>
                            <w:r>
                              <w:rPr>
                                <w:rFonts w:ascii="Verdana" w:hAnsi="Verdana" w:cs="Arial"/>
                                <w:sz w:val="14"/>
                                <w:szCs w:val="14"/>
                              </w:rPr>
                              <w:t xml:space="preserve"> </w:t>
                            </w:r>
                            <w:r>
                              <w:rPr>
                                <w:rFonts w:ascii="Verdana" w:hAnsi="Verdana"/>
                                <w:sz w:val="14"/>
                                <w:szCs w:val="14"/>
                              </w:rPr>
                              <w:t>(Dz.U. poz. 2105</w:t>
                            </w:r>
                            <w:r w:rsidRPr="00A30640">
                              <w:rPr>
                                <w:rFonts w:ascii="Verdana" w:hAnsi="Verdana"/>
                                <w:sz w:val="14"/>
                                <w:szCs w:val="14"/>
                              </w:rPr>
                              <w:t>)</w:t>
                            </w:r>
                            <w:r>
                              <w:rPr>
                                <w:rFonts w:ascii="Verdana" w:hAnsi="Verdana" w:cs="Arial"/>
                                <w:sz w:val="14"/>
                                <w:szCs w:val="14"/>
                              </w:rPr>
                              <w:t>.</w:t>
                            </w:r>
                          </w:p>
                          <w:p w:rsidR="0043105E" w:rsidRPr="00992901" w:rsidRDefault="0043105E" w:rsidP="007F07DD">
                            <w:pPr>
                              <w:rPr>
                                <w:rFonts w:ascii="Verdana" w:hAnsi="Verdan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5AFAE" id="_x0000_t202" coordsize="21600,21600" o:spt="202" path="m,l,21600r21600,l21600,xe">
                <v:stroke joinstyle="miter"/>
                <v:path gradientshapeok="t" o:connecttype="rect"/>
              </v:shapetype>
              <v:shape id="Pole tekstowe 18" o:spid="_x0000_s1026" type="#_x0000_t202" style="position:absolute;left:0;text-align:left;margin-left:0;margin-top:8.9pt;width:450pt;height:123.9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" fillcolor="white [3201]" strokeweight="1.25pt">
                <v:textbox>
                  <w:txbxContent>
                    <w:p w:rsidR="0043105E" w:rsidRPr="00F00E16" w:rsidRDefault="0043105E" w:rsidP="007F07DD">
                      <w:pPr>
                        <w:spacing w:before="120" w:after="120"/>
                        <w:jc w:val="center"/>
                        <w:rPr>
                          <w:rFonts w:ascii="Verdana" w:hAnsi="Verdana"/>
                          <w:b/>
                          <w:sz w:val="16"/>
                          <w:szCs w:val="16"/>
                        </w:rPr>
                      </w:pPr>
                      <w:r w:rsidRPr="00F00E16">
                        <w:rPr>
                          <w:rFonts w:ascii="Verdana" w:hAnsi="Verdana"/>
                          <w:b/>
                          <w:sz w:val="16"/>
                          <w:szCs w:val="16"/>
                        </w:rPr>
                        <w:t xml:space="preserve">Ubytek dochodów JST z </w:t>
                      </w:r>
                      <w:r>
                        <w:rPr>
                          <w:rFonts w:ascii="Verdana" w:hAnsi="Verdana"/>
                          <w:b/>
                          <w:sz w:val="16"/>
                          <w:szCs w:val="16"/>
                        </w:rPr>
                        <w:t xml:space="preserve">udziału w </w:t>
                      </w:r>
                      <w:r w:rsidRPr="00F00E16">
                        <w:rPr>
                          <w:rFonts w:ascii="Verdana" w:hAnsi="Verdana"/>
                          <w:b/>
                          <w:sz w:val="16"/>
                          <w:szCs w:val="16"/>
                        </w:rPr>
                        <w:t>PIT na skutek rządowego Programu Polski Ład*</w:t>
                      </w:r>
                    </w:p>
                    <w:p w:rsidR="0043105E" w:rsidRDefault="0043105E" w:rsidP="007F07DD">
                      <w:pPr>
                        <w:jc w:val="center"/>
                        <w:rPr>
                          <w:rFonts w:ascii="Verdana" w:hAnsi="Verdana"/>
                          <w:sz w:val="16"/>
                          <w:szCs w:val="16"/>
                        </w:rPr>
                      </w:pPr>
                      <w:r>
                        <w:rPr>
                          <w:rFonts w:ascii="Verdana" w:hAnsi="Verdana"/>
                          <w:sz w:val="16"/>
                          <w:szCs w:val="16"/>
                        </w:rPr>
                        <w:t xml:space="preserve">                                                 W 2022 r.               Łącznie w okresie najbliższych 10 lat, tj. 2022-2031</w:t>
                      </w:r>
                    </w:p>
                    <w:p w:rsidR="0043105E" w:rsidRPr="00992901" w:rsidRDefault="0043105E" w:rsidP="007F07DD">
                      <w:pPr>
                        <w:rPr>
                          <w:rFonts w:ascii="Verdana" w:hAnsi="Verdana"/>
                          <w:b/>
                          <w:sz w:val="20"/>
                          <w:szCs w:val="20"/>
                        </w:rPr>
                      </w:pPr>
                      <w:r>
                        <w:rPr>
                          <w:rFonts w:ascii="Verdana" w:hAnsi="Verdana"/>
                          <w:b/>
                          <w:sz w:val="20"/>
                          <w:szCs w:val="20"/>
                        </w:rPr>
                        <w:t xml:space="preserve">  </w:t>
                      </w:r>
                      <w:r w:rsidRPr="00992901">
                        <w:rPr>
                          <w:rFonts w:ascii="Verdana" w:hAnsi="Verdana"/>
                          <w:sz w:val="16"/>
                          <w:szCs w:val="16"/>
                        </w:rPr>
                        <w:t>JST ogółem</w:t>
                      </w:r>
                      <w:r w:rsidRPr="00992901">
                        <w:rPr>
                          <w:rFonts w:ascii="Verdana" w:hAnsi="Verdana"/>
                          <w:b/>
                          <w:sz w:val="16"/>
                          <w:szCs w:val="16"/>
                        </w:rPr>
                        <w:t xml:space="preserve"> </w:t>
                      </w:r>
                      <w:r>
                        <w:rPr>
                          <w:rFonts w:ascii="Verdana" w:hAnsi="Verdana"/>
                          <w:b/>
                          <w:sz w:val="20"/>
                          <w:szCs w:val="20"/>
                        </w:rPr>
                        <w:t xml:space="preserve">                  </w:t>
                      </w:r>
                      <w:r w:rsidRPr="007A13EE">
                        <w:rPr>
                          <w:rFonts w:ascii="Verdana" w:hAnsi="Verdana"/>
                          <w:b/>
                          <w:color w:val="C00000"/>
                          <w:sz w:val="20"/>
                          <w:szCs w:val="20"/>
                        </w:rPr>
                        <w:t xml:space="preserve">13,5-15,4 </w:t>
                      </w:r>
                      <w:r w:rsidRPr="007A13EE">
                        <w:rPr>
                          <w:rFonts w:ascii="Verdana" w:hAnsi="Verdana"/>
                          <w:b/>
                          <w:color w:val="C00000"/>
                          <w:sz w:val="16"/>
                          <w:szCs w:val="16"/>
                        </w:rPr>
                        <w:t>mld zł</w:t>
                      </w:r>
                      <w:r w:rsidRPr="00992901">
                        <w:rPr>
                          <w:rFonts w:ascii="Verdana" w:hAnsi="Verdana"/>
                          <w:b/>
                          <w:sz w:val="20"/>
                          <w:szCs w:val="20"/>
                        </w:rPr>
                        <w:t xml:space="preserve"> </w:t>
                      </w:r>
                      <w:r>
                        <w:rPr>
                          <w:rFonts w:ascii="Verdana" w:hAnsi="Verdana"/>
                          <w:b/>
                          <w:sz w:val="20"/>
                          <w:szCs w:val="20"/>
                        </w:rPr>
                        <w:t xml:space="preserve">                     </w:t>
                      </w:r>
                      <w:r w:rsidRPr="007A13EE">
                        <w:rPr>
                          <w:rFonts w:ascii="Verdana" w:hAnsi="Verdana"/>
                          <w:b/>
                          <w:color w:val="C00000"/>
                          <w:sz w:val="20"/>
                          <w:szCs w:val="20"/>
                        </w:rPr>
                        <w:t xml:space="preserve">125-145 </w:t>
                      </w:r>
                      <w:r w:rsidRPr="007A13EE">
                        <w:rPr>
                          <w:rFonts w:ascii="Verdana" w:hAnsi="Verdana"/>
                          <w:b/>
                          <w:color w:val="C00000"/>
                          <w:sz w:val="16"/>
                          <w:szCs w:val="16"/>
                        </w:rPr>
                        <w:t>mld zł</w:t>
                      </w:r>
                    </w:p>
                    <w:p w:rsidR="0043105E" w:rsidRDefault="0043105E" w:rsidP="007F07DD">
                      <w:pPr>
                        <w:rPr>
                          <w:rFonts w:ascii="Verdana" w:hAnsi="Verdana"/>
                          <w:b/>
                          <w:color w:val="C00000"/>
                          <w:sz w:val="16"/>
                          <w:szCs w:val="16"/>
                        </w:rPr>
                      </w:pPr>
                      <w:r>
                        <w:rPr>
                          <w:rFonts w:ascii="Verdana" w:hAnsi="Verdana"/>
                          <w:sz w:val="16"/>
                          <w:szCs w:val="16"/>
                        </w:rPr>
                        <w:t xml:space="preserve">   w tym m.st. Warszawa              </w:t>
                      </w:r>
                      <w:r w:rsidRPr="007A13EE">
                        <w:rPr>
                          <w:rFonts w:ascii="Verdana" w:hAnsi="Verdana"/>
                          <w:b/>
                          <w:color w:val="C00000"/>
                          <w:sz w:val="20"/>
                          <w:szCs w:val="20"/>
                        </w:rPr>
                        <w:t xml:space="preserve">1,416 </w:t>
                      </w:r>
                      <w:r w:rsidRPr="007A13EE">
                        <w:rPr>
                          <w:rFonts w:ascii="Verdana" w:hAnsi="Verdana"/>
                          <w:b/>
                          <w:color w:val="C00000"/>
                          <w:sz w:val="16"/>
                          <w:szCs w:val="16"/>
                        </w:rPr>
                        <w:t>mld zł</w:t>
                      </w:r>
                      <w:r w:rsidRPr="00992901">
                        <w:rPr>
                          <w:rFonts w:ascii="Verdana" w:hAnsi="Verdana"/>
                          <w:b/>
                          <w:sz w:val="20"/>
                          <w:szCs w:val="20"/>
                        </w:rPr>
                        <w:t xml:space="preserve"> </w:t>
                      </w:r>
                      <w:r>
                        <w:rPr>
                          <w:rFonts w:ascii="Verdana" w:hAnsi="Verdana"/>
                          <w:b/>
                          <w:sz w:val="20"/>
                          <w:szCs w:val="20"/>
                        </w:rPr>
                        <w:t xml:space="preserve">                            </w:t>
                      </w:r>
                      <w:r w:rsidRPr="007A13EE">
                        <w:rPr>
                          <w:rFonts w:ascii="Verdana" w:hAnsi="Verdana"/>
                          <w:b/>
                          <w:color w:val="C00000"/>
                          <w:sz w:val="20"/>
                          <w:szCs w:val="20"/>
                        </w:rPr>
                        <w:t xml:space="preserve">14,2 </w:t>
                      </w:r>
                      <w:r w:rsidRPr="007A13EE">
                        <w:rPr>
                          <w:rFonts w:ascii="Verdana" w:hAnsi="Verdana"/>
                          <w:b/>
                          <w:color w:val="C00000"/>
                          <w:sz w:val="16"/>
                          <w:szCs w:val="16"/>
                        </w:rPr>
                        <w:t>mld zł</w:t>
                      </w:r>
                    </w:p>
                    <w:p w:rsidR="0043105E" w:rsidRPr="00680B36" w:rsidRDefault="0043105E" w:rsidP="007F07DD">
                      <w:pPr>
                        <w:spacing w:before="120" w:line="240" w:lineRule="auto"/>
                        <w:rPr>
                          <w:rFonts w:ascii="Verdana" w:hAnsi="Verdana"/>
                          <w:b/>
                          <w:sz w:val="14"/>
                          <w:szCs w:val="14"/>
                        </w:rPr>
                      </w:pPr>
                      <w:r w:rsidRPr="00742AD8">
                        <w:rPr>
                          <w:rFonts w:ascii="Verdana" w:hAnsi="Verdana"/>
                          <w:sz w:val="16"/>
                          <w:szCs w:val="16"/>
                        </w:rPr>
                        <w:t xml:space="preserve">* </w:t>
                      </w:r>
                      <w:r>
                        <w:rPr>
                          <w:rFonts w:ascii="Verdana" w:hAnsi="Verdana"/>
                          <w:sz w:val="14"/>
                          <w:szCs w:val="14"/>
                        </w:rPr>
                        <w:t>Szacunki na podstawie Ocen Skutków Regulacji dołączonych do projektów z 26.07.2021 r. i 08.09.2021 r,</w:t>
                      </w:r>
                      <w:r>
                        <w:rPr>
                          <w:rFonts w:ascii="Verdana" w:hAnsi="Verdana"/>
                          <w:sz w:val="14"/>
                          <w:szCs w:val="14"/>
                        </w:rPr>
                        <w:br/>
                        <w:t xml:space="preserve">   ustawy z 29.10.2021 r</w:t>
                      </w:r>
                      <w:r w:rsidRPr="002A3E74">
                        <w:rPr>
                          <w:rFonts w:ascii="Verdana" w:hAnsi="Verdana"/>
                          <w:sz w:val="14"/>
                          <w:szCs w:val="14"/>
                        </w:rPr>
                        <w:t xml:space="preserve">. </w:t>
                      </w:r>
                      <w:r w:rsidRPr="002A3E74">
                        <w:rPr>
                          <w:rFonts w:ascii="Verdana" w:hAnsi="Verdana" w:cs="Arial"/>
                          <w:i/>
                          <w:sz w:val="14"/>
                          <w:szCs w:val="14"/>
                        </w:rPr>
                        <w:t xml:space="preserve">o zmianie ustawy o podatku dochodowym od osób fizycznych, ustawy o podatku dochodowym </w:t>
                      </w:r>
                      <w:r>
                        <w:rPr>
                          <w:rFonts w:ascii="Verdana" w:hAnsi="Verdana" w:cs="Arial"/>
                          <w:i/>
                          <w:sz w:val="14"/>
                          <w:szCs w:val="14"/>
                        </w:rPr>
                        <w:br/>
                        <w:t xml:space="preserve">   </w:t>
                      </w:r>
                      <w:r w:rsidRPr="002A3E74">
                        <w:rPr>
                          <w:rFonts w:ascii="Verdana" w:hAnsi="Verdana" w:cs="Arial"/>
                          <w:i/>
                          <w:sz w:val="14"/>
                          <w:szCs w:val="14"/>
                        </w:rPr>
                        <w:t>od osób prawnych oraz niektórych innych ustaw</w:t>
                      </w:r>
                      <w:r>
                        <w:rPr>
                          <w:rFonts w:ascii="Verdana" w:hAnsi="Verdana" w:cs="Arial"/>
                          <w:sz w:val="14"/>
                          <w:szCs w:val="14"/>
                        </w:rPr>
                        <w:t xml:space="preserve"> </w:t>
                      </w:r>
                      <w:r>
                        <w:rPr>
                          <w:rFonts w:ascii="Verdana" w:hAnsi="Verdana"/>
                          <w:sz w:val="14"/>
                          <w:szCs w:val="14"/>
                        </w:rPr>
                        <w:t>(Dz.U. poz. 2105</w:t>
                      </w:r>
                      <w:r w:rsidRPr="00A30640">
                        <w:rPr>
                          <w:rFonts w:ascii="Verdana" w:hAnsi="Verdana"/>
                          <w:sz w:val="14"/>
                          <w:szCs w:val="14"/>
                        </w:rPr>
                        <w:t>)</w:t>
                      </w:r>
                      <w:r>
                        <w:rPr>
                          <w:rFonts w:ascii="Verdana" w:hAnsi="Verdana" w:cs="Arial"/>
                          <w:sz w:val="14"/>
                          <w:szCs w:val="14"/>
                        </w:rPr>
                        <w:t>.</w:t>
                      </w:r>
                    </w:p>
                    <w:p w:rsidR="0043105E" w:rsidRPr="00992901" w:rsidRDefault="0043105E" w:rsidP="007F07DD">
                      <w:pPr>
                        <w:rPr>
                          <w:rFonts w:ascii="Verdana" w:hAnsi="Verdana"/>
                          <w:b/>
                          <w:sz w:val="20"/>
                          <w:szCs w:val="20"/>
                        </w:rPr>
                      </w:pPr>
                    </w:p>
                  </w:txbxContent>
                </v:textbox>
                <w10:wrap anchorx="margin"/>
              </v:shape>
            </w:pict>
          </mc:Fallback>
        </mc:AlternateContent>
      </w: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60" w:after="60"/>
        <w:jc w:val="both"/>
        <w:rPr>
          <w:rFonts w:ascii="Verdana" w:hAnsi="Verdana"/>
          <w:b/>
          <w:iCs/>
          <w:sz w:val="16"/>
          <w:szCs w:val="16"/>
        </w:rPr>
      </w:pPr>
    </w:p>
    <w:p w:rsidR="007F07DD" w:rsidRDefault="007F07DD" w:rsidP="007F07DD">
      <w:pPr>
        <w:spacing w:before="60" w:after="60"/>
        <w:jc w:val="both"/>
        <w:rPr>
          <w:rFonts w:ascii="Verdana" w:hAnsi="Verdana"/>
          <w:b/>
          <w:iCs/>
          <w:sz w:val="16"/>
          <w:szCs w:val="16"/>
        </w:rPr>
      </w:pPr>
    </w:p>
    <w:p w:rsidR="007F07DD" w:rsidRDefault="007F07DD" w:rsidP="007F07DD">
      <w:pPr>
        <w:spacing w:before="60" w:after="60"/>
        <w:jc w:val="both"/>
        <w:rPr>
          <w:rFonts w:ascii="Verdana" w:hAnsi="Verdana"/>
          <w:b/>
          <w:iCs/>
          <w:sz w:val="16"/>
          <w:szCs w:val="16"/>
        </w:rPr>
      </w:pPr>
    </w:p>
    <w:p w:rsidR="007F07DD" w:rsidRDefault="007F07DD" w:rsidP="007F07DD">
      <w:pPr>
        <w:spacing w:before="60" w:after="60"/>
        <w:jc w:val="both"/>
        <w:rPr>
          <w:rFonts w:ascii="Verdana" w:hAnsi="Verdana"/>
          <w:b/>
          <w:iCs/>
          <w:sz w:val="16"/>
          <w:szCs w:val="16"/>
        </w:rPr>
      </w:pPr>
    </w:p>
    <w:p w:rsidR="007F07DD" w:rsidRDefault="007F07DD" w:rsidP="007F07DD">
      <w:pPr>
        <w:spacing w:before="60" w:after="60"/>
        <w:jc w:val="both"/>
        <w:rPr>
          <w:rFonts w:ascii="Verdana" w:hAnsi="Verdana"/>
          <w:iCs/>
          <w:sz w:val="16"/>
          <w:szCs w:val="16"/>
        </w:rPr>
      </w:pPr>
      <w:r>
        <w:rPr>
          <w:rFonts w:ascii="Verdana" w:hAnsi="Verdana"/>
          <w:b/>
          <w:iCs/>
          <w:sz w:val="16"/>
          <w:szCs w:val="16"/>
        </w:rPr>
        <w:t>Szacunek trwałej utraty dochodów bieżących m.st. Warszawy z</w:t>
      </w:r>
      <w:r w:rsidRPr="00CA3EAC">
        <w:rPr>
          <w:rFonts w:ascii="Verdana" w:hAnsi="Verdana"/>
          <w:b/>
          <w:iCs/>
          <w:sz w:val="16"/>
          <w:szCs w:val="16"/>
        </w:rPr>
        <w:t xml:space="preserve"> </w:t>
      </w:r>
      <w:r>
        <w:rPr>
          <w:rFonts w:ascii="Verdana" w:hAnsi="Verdana"/>
          <w:b/>
          <w:iCs/>
          <w:sz w:val="16"/>
          <w:szCs w:val="16"/>
        </w:rPr>
        <w:t>udziału w</w:t>
      </w:r>
      <w:r w:rsidRPr="00CA3EAC">
        <w:rPr>
          <w:rFonts w:ascii="Verdana" w:hAnsi="Verdana"/>
          <w:b/>
          <w:iCs/>
          <w:sz w:val="16"/>
          <w:szCs w:val="16"/>
        </w:rPr>
        <w:t xml:space="preserve"> PIT </w:t>
      </w:r>
      <w:r>
        <w:rPr>
          <w:rFonts w:ascii="Verdana" w:hAnsi="Verdana"/>
          <w:b/>
          <w:iCs/>
          <w:sz w:val="16"/>
          <w:szCs w:val="16"/>
        </w:rPr>
        <w:t>na skutek rządowego Programu Polski Ład wynoszący</w:t>
      </w:r>
      <w:r>
        <w:rPr>
          <w:rFonts w:ascii="Verdana" w:hAnsi="Verdana"/>
          <w:iCs/>
          <w:sz w:val="16"/>
          <w:szCs w:val="16"/>
        </w:rPr>
        <w:t xml:space="preserve"> </w:t>
      </w:r>
      <w:r w:rsidRPr="00C74582">
        <w:rPr>
          <w:rFonts w:ascii="Verdana" w:hAnsi="Verdana"/>
          <w:b/>
          <w:iCs/>
          <w:sz w:val="16"/>
          <w:szCs w:val="16"/>
        </w:rPr>
        <w:t>1,416 mld zł</w:t>
      </w:r>
      <w:r>
        <w:rPr>
          <w:rFonts w:ascii="Verdana" w:hAnsi="Verdana"/>
          <w:iCs/>
          <w:sz w:val="16"/>
          <w:szCs w:val="16"/>
        </w:rPr>
        <w:t xml:space="preserve"> </w:t>
      </w:r>
      <w:r w:rsidRPr="00AD5131">
        <w:rPr>
          <w:rFonts w:ascii="Verdana" w:hAnsi="Verdana"/>
          <w:b/>
          <w:iCs/>
          <w:sz w:val="16"/>
          <w:szCs w:val="16"/>
        </w:rPr>
        <w:t>rocznie</w:t>
      </w:r>
      <w:r>
        <w:rPr>
          <w:rFonts w:ascii="Verdana" w:hAnsi="Verdana"/>
          <w:iCs/>
          <w:sz w:val="16"/>
          <w:szCs w:val="16"/>
        </w:rPr>
        <w:t xml:space="preserve">, tj. </w:t>
      </w:r>
      <w:r w:rsidRPr="006A430E">
        <w:rPr>
          <w:rFonts w:ascii="Verdana" w:hAnsi="Verdana"/>
          <w:b/>
          <w:iCs/>
          <w:sz w:val="16"/>
          <w:szCs w:val="16"/>
        </w:rPr>
        <w:t>19%</w:t>
      </w:r>
      <w:r>
        <w:rPr>
          <w:rFonts w:ascii="Verdana" w:hAnsi="Verdana"/>
          <w:iCs/>
          <w:sz w:val="16"/>
          <w:szCs w:val="16"/>
        </w:rPr>
        <w:t xml:space="preserve">, wynika z porównania planowanych przez Ministerstwo Finansów na 2022 r. dochodów m.st. Warszawy z PIT w kwocie </w:t>
      </w:r>
      <w:r w:rsidRPr="004C7C9A">
        <w:rPr>
          <w:rFonts w:ascii="Verdana" w:hAnsi="Verdana"/>
          <w:b/>
          <w:iCs/>
          <w:sz w:val="16"/>
          <w:szCs w:val="16"/>
        </w:rPr>
        <w:t>6,084 mld zł</w:t>
      </w:r>
      <w:r>
        <w:rPr>
          <w:rFonts w:ascii="Verdana" w:hAnsi="Verdana"/>
          <w:iCs/>
          <w:sz w:val="16"/>
          <w:szCs w:val="16"/>
        </w:rPr>
        <w:t xml:space="preserve"> </w:t>
      </w:r>
      <w:r>
        <w:rPr>
          <w:rFonts w:ascii="Verdana" w:hAnsi="Verdana"/>
          <w:iCs/>
          <w:sz w:val="16"/>
          <w:szCs w:val="16"/>
        </w:rPr>
        <w:br/>
        <w:t>(pisma z 14.10.2021 r. znak:</w:t>
      </w:r>
      <w:r w:rsidRPr="004C7C9A">
        <w:t xml:space="preserve"> </w:t>
      </w:r>
      <w:r w:rsidRPr="004C7C9A">
        <w:rPr>
          <w:rFonts w:ascii="Verdana" w:hAnsi="Verdana"/>
          <w:iCs/>
          <w:sz w:val="16"/>
          <w:szCs w:val="16"/>
        </w:rPr>
        <w:t>ST3.4750.31.2021</w:t>
      </w:r>
      <w:r>
        <w:rPr>
          <w:rFonts w:ascii="Verdana" w:hAnsi="Verdana"/>
          <w:iCs/>
          <w:sz w:val="16"/>
          <w:szCs w:val="16"/>
        </w:rPr>
        <w:t xml:space="preserve"> i ST8.4750.5.2021) z poziomem </w:t>
      </w:r>
      <w:r w:rsidRPr="007E1827">
        <w:rPr>
          <w:rFonts w:ascii="Verdana" w:hAnsi="Verdana"/>
          <w:b/>
          <w:iCs/>
          <w:sz w:val="16"/>
          <w:szCs w:val="16"/>
        </w:rPr>
        <w:t>7,5</w:t>
      </w:r>
      <w:r>
        <w:rPr>
          <w:rFonts w:ascii="Verdana" w:hAnsi="Verdana"/>
          <w:b/>
          <w:iCs/>
          <w:sz w:val="16"/>
          <w:szCs w:val="16"/>
        </w:rPr>
        <w:t>00</w:t>
      </w:r>
      <w:r w:rsidRPr="007E1827">
        <w:rPr>
          <w:rFonts w:ascii="Verdana" w:hAnsi="Verdana"/>
          <w:b/>
          <w:iCs/>
          <w:sz w:val="16"/>
          <w:szCs w:val="16"/>
        </w:rPr>
        <w:t xml:space="preserve"> mld zł</w:t>
      </w:r>
      <w:r>
        <w:rPr>
          <w:rFonts w:ascii="Verdana" w:hAnsi="Verdana"/>
          <w:iCs/>
          <w:sz w:val="16"/>
          <w:szCs w:val="16"/>
        </w:rPr>
        <w:t xml:space="preserve"> dochodów </w:t>
      </w:r>
      <w:r>
        <w:rPr>
          <w:rFonts w:ascii="Verdana" w:hAnsi="Verdana"/>
          <w:iCs/>
          <w:sz w:val="16"/>
          <w:szCs w:val="16"/>
        </w:rPr>
        <w:br/>
        <w:t xml:space="preserve">z PIT oszacowanym w warunkach poprzedniego stanu prawnego, tj. bez rozwiązań dotyczących Programu Polski Ład oraz przy wykorzystaniu prognozy wskaźników makroekonomicznych będących podstawą opracowania </w:t>
      </w:r>
      <w:r>
        <w:rPr>
          <w:rFonts w:ascii="Verdana" w:hAnsi="Verdana"/>
          <w:iCs/>
          <w:sz w:val="16"/>
          <w:szCs w:val="16"/>
        </w:rPr>
        <w:lastRenderedPageBreak/>
        <w:t xml:space="preserve">projektu ustawy budżetowej na 2022 r. Dochody z udziału w PIT m.st. Warszawy planowane przez Ministerstwo Finansów na 2022 r. w kwocie </w:t>
      </w:r>
      <w:r w:rsidRPr="007B00D4">
        <w:rPr>
          <w:rFonts w:ascii="Verdana" w:hAnsi="Verdana"/>
          <w:b/>
          <w:iCs/>
          <w:sz w:val="16"/>
          <w:szCs w:val="16"/>
        </w:rPr>
        <w:t>6,084 mld zł</w:t>
      </w:r>
      <w:r>
        <w:rPr>
          <w:rFonts w:ascii="Verdana" w:hAnsi="Verdana"/>
          <w:iCs/>
          <w:sz w:val="16"/>
          <w:szCs w:val="16"/>
        </w:rPr>
        <w:t xml:space="preserve"> oznaczają  spadek w stosunku do przewidywanego wykonania </w:t>
      </w:r>
      <w:r>
        <w:rPr>
          <w:rFonts w:ascii="Verdana" w:hAnsi="Verdana"/>
          <w:iCs/>
          <w:sz w:val="16"/>
          <w:szCs w:val="16"/>
        </w:rPr>
        <w:br/>
        <w:t xml:space="preserve">w 2021 r. o </w:t>
      </w:r>
      <w:r w:rsidRPr="007B00D4">
        <w:rPr>
          <w:rFonts w:ascii="Verdana" w:hAnsi="Verdana"/>
          <w:b/>
          <w:iCs/>
          <w:sz w:val="16"/>
          <w:szCs w:val="16"/>
        </w:rPr>
        <w:t>686 mln zł</w:t>
      </w:r>
      <w:r>
        <w:rPr>
          <w:rFonts w:ascii="Verdana" w:hAnsi="Verdana"/>
          <w:iCs/>
          <w:sz w:val="16"/>
          <w:szCs w:val="16"/>
        </w:rPr>
        <w:t xml:space="preserve">, tj. o </w:t>
      </w:r>
      <w:r w:rsidRPr="007B00D4">
        <w:rPr>
          <w:rFonts w:ascii="Verdana" w:hAnsi="Verdana"/>
          <w:b/>
          <w:iCs/>
          <w:sz w:val="16"/>
          <w:szCs w:val="16"/>
        </w:rPr>
        <w:t>10%</w:t>
      </w:r>
      <w:r>
        <w:rPr>
          <w:rFonts w:ascii="Verdana" w:hAnsi="Verdana"/>
          <w:iCs/>
          <w:sz w:val="16"/>
          <w:szCs w:val="16"/>
        </w:rPr>
        <w:t xml:space="preserve">, przy czym w odniesieniu do kwot obliczonych na podstawie poprzedniego stanu prawnego, utrata dochodów sięga </w:t>
      </w:r>
      <w:r w:rsidRPr="00F93D4A">
        <w:rPr>
          <w:rFonts w:ascii="Verdana" w:hAnsi="Verdana"/>
          <w:b/>
          <w:iCs/>
          <w:sz w:val="16"/>
          <w:szCs w:val="16"/>
        </w:rPr>
        <w:t>1,416 mld zł</w:t>
      </w:r>
      <w:r>
        <w:rPr>
          <w:rFonts w:ascii="Verdana" w:hAnsi="Verdana"/>
          <w:iCs/>
          <w:sz w:val="16"/>
          <w:szCs w:val="16"/>
        </w:rPr>
        <w:t xml:space="preserve">, tj. </w:t>
      </w:r>
      <w:r w:rsidRPr="00F93D4A">
        <w:rPr>
          <w:rFonts w:ascii="Verdana" w:hAnsi="Verdana"/>
          <w:b/>
          <w:iCs/>
          <w:sz w:val="16"/>
          <w:szCs w:val="16"/>
        </w:rPr>
        <w:t>19%</w:t>
      </w:r>
      <w:r>
        <w:rPr>
          <w:rFonts w:ascii="Verdana" w:hAnsi="Verdana"/>
          <w:iCs/>
          <w:sz w:val="16"/>
          <w:szCs w:val="16"/>
        </w:rPr>
        <w:t>. Poniższy wykres nr 1 prezentuje prognozę dochodów m.st. Warszawy z udziału w PIT na kolejne lata ujętą w projekcie Wieloletniej Prognozy Finansowej Miasta na lata 2022-2050, uwzględniającą skutki Programu Polski Ład.</w:t>
      </w:r>
    </w:p>
    <w:p w:rsidR="007F07DD" w:rsidRPr="00C21AED" w:rsidRDefault="007F07DD" w:rsidP="007F07DD">
      <w:pPr>
        <w:tabs>
          <w:tab w:val="left" w:pos="567"/>
        </w:tabs>
        <w:spacing w:before="120" w:after="60" w:line="240" w:lineRule="auto"/>
        <w:ind w:left="567" w:hanging="567"/>
        <w:rPr>
          <w:rFonts w:ascii="Verdana" w:hAnsi="Verdana" w:cs="Arial"/>
          <w:sz w:val="14"/>
          <w:szCs w:val="14"/>
        </w:rPr>
      </w:pPr>
      <w:r w:rsidRPr="00011AAA">
        <w:rPr>
          <w:rFonts w:ascii="Verdana" w:hAnsi="Verdana"/>
          <w:b/>
          <w:bCs/>
          <w:iCs/>
          <w:sz w:val="14"/>
          <w:szCs w:val="14"/>
        </w:rPr>
        <w:t xml:space="preserve">WYK.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w:t>
      </w:r>
      <w:r w:rsidRPr="00011AAA">
        <w:rPr>
          <w:rFonts w:ascii="Verdana" w:hAnsi="Verdana"/>
          <w:b/>
          <w:bCs/>
          <w:iCs/>
          <w:sz w:val="14"/>
          <w:szCs w:val="14"/>
        </w:rPr>
        <w:fldChar w:fldCharType="end"/>
      </w:r>
      <w:r w:rsidRPr="00011AAA">
        <w:rPr>
          <w:rFonts w:ascii="Verdana" w:hAnsi="Verdana"/>
          <w:b/>
          <w:bCs/>
          <w:iCs/>
          <w:sz w:val="14"/>
          <w:szCs w:val="14"/>
        </w:rPr>
        <w:t>.</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PROGNOZA DOCHODÓW M.ST. WARSZAWY Z UDZIAŁU W PIT NA LATA 2022-2050 </w:t>
      </w:r>
      <w:r>
        <w:rPr>
          <w:rFonts w:ascii="Verdana" w:hAnsi="Verdana" w:cs="Arial"/>
          <w:b/>
          <w:bCs/>
          <w:iCs/>
          <w:sz w:val="14"/>
          <w:szCs w:val="14"/>
        </w:rPr>
        <w:br/>
        <w:t xml:space="preserve">    W WARUNKACH PROGRAMU POLSKI ŁAD NA TLE LAT 2019-2021</w:t>
      </w:r>
      <w:r>
        <w:rPr>
          <w:rFonts w:ascii="Verdana" w:hAnsi="Verdana" w:cs="Arial"/>
          <w:bCs/>
          <w:iCs/>
          <w:sz w:val="14"/>
          <w:szCs w:val="14"/>
        </w:rPr>
        <w:t xml:space="preserve"> [w mln zł]</w:t>
      </w:r>
    </w:p>
    <w:p w:rsidR="007F07DD" w:rsidRPr="007C1DF2" w:rsidRDefault="007F07DD" w:rsidP="007F07DD">
      <w:pPr>
        <w:spacing w:before="120" w:after="120"/>
        <w:jc w:val="both"/>
        <w:rPr>
          <w:rFonts w:ascii="Verdana" w:hAnsi="Verdana" w:cs="Arial"/>
          <w:b/>
          <w:sz w:val="16"/>
          <w:szCs w:val="16"/>
        </w:rPr>
      </w:pPr>
      <w:r w:rsidRPr="00F002BE">
        <w:rPr>
          <w:noProof/>
        </w:rPr>
        <w:drawing>
          <wp:inline distT="0" distB="0" distL="0" distR="0" wp14:anchorId="71876485" wp14:editId="72284630">
            <wp:extent cx="5760085" cy="473291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732910"/>
                    </a:xfrm>
                    <a:prstGeom prst="rect">
                      <a:avLst/>
                    </a:prstGeom>
                    <a:noFill/>
                    <a:ln>
                      <a:noFill/>
                    </a:ln>
                  </pic:spPr>
                </pic:pic>
              </a:graphicData>
            </a:graphic>
          </wp:inline>
        </w:drawing>
      </w:r>
    </w:p>
    <w:p w:rsidR="007F07DD" w:rsidRPr="00295200" w:rsidRDefault="007F07DD" w:rsidP="007F07DD">
      <w:pPr>
        <w:tabs>
          <w:tab w:val="left" w:pos="360"/>
        </w:tabs>
        <w:spacing w:after="20"/>
        <w:jc w:val="both"/>
        <w:rPr>
          <w:rFonts w:ascii="Verdana" w:hAnsi="Verdana"/>
          <w:b/>
          <w:sz w:val="16"/>
          <w:szCs w:val="16"/>
        </w:rPr>
      </w:pPr>
      <w:r>
        <w:rPr>
          <w:rFonts w:ascii="Verdana" w:hAnsi="Verdana"/>
          <w:sz w:val="16"/>
          <w:szCs w:val="16"/>
        </w:rPr>
        <w:t xml:space="preserve">Negatywne dla dochodów bieżących m.st. Warszawy z udziału w PIT skutki Programu Polski Ład, szacowane </w:t>
      </w:r>
      <w:r>
        <w:rPr>
          <w:rFonts w:ascii="Verdana" w:hAnsi="Verdana"/>
          <w:sz w:val="16"/>
          <w:szCs w:val="16"/>
        </w:rPr>
        <w:br/>
        <w:t xml:space="preserve">na </w:t>
      </w:r>
      <w:r w:rsidRPr="00A62ED3">
        <w:rPr>
          <w:rFonts w:ascii="Verdana" w:hAnsi="Verdana"/>
          <w:b/>
          <w:sz w:val="16"/>
          <w:szCs w:val="16"/>
        </w:rPr>
        <w:t>1,416 mld zł</w:t>
      </w:r>
      <w:r>
        <w:rPr>
          <w:rFonts w:ascii="Verdana" w:hAnsi="Verdana"/>
          <w:sz w:val="16"/>
          <w:szCs w:val="16"/>
        </w:rPr>
        <w:t xml:space="preserve"> rocznie, nałożą się na już występujące ubytki dochodów w konsekwencji decyzji legislacyjnych podjętych w 2019 r. </w:t>
      </w:r>
      <w:r>
        <w:rPr>
          <w:rFonts w:ascii="Verdana" w:hAnsi="Verdana" w:cs="Verdana"/>
          <w:b/>
          <w:sz w:val="16"/>
          <w:szCs w:val="16"/>
        </w:rPr>
        <w:t>O</w:t>
      </w:r>
      <w:r w:rsidRPr="00BA78CB">
        <w:rPr>
          <w:rFonts w:ascii="Verdana" w:hAnsi="Verdana" w:cs="Verdana"/>
          <w:b/>
          <w:sz w:val="16"/>
          <w:szCs w:val="16"/>
        </w:rPr>
        <w:t xml:space="preserve"> systemow</w:t>
      </w:r>
      <w:r>
        <w:rPr>
          <w:rFonts w:ascii="Verdana" w:hAnsi="Verdana" w:cs="Verdana"/>
          <w:b/>
          <w:sz w:val="16"/>
          <w:szCs w:val="16"/>
        </w:rPr>
        <w:t>ym ograniczeniu</w:t>
      </w:r>
      <w:r w:rsidRPr="00BA78CB">
        <w:rPr>
          <w:rFonts w:ascii="Verdana" w:hAnsi="Verdana" w:cs="Verdana"/>
          <w:b/>
          <w:sz w:val="16"/>
          <w:szCs w:val="16"/>
        </w:rPr>
        <w:t xml:space="preserve"> dochodów z PIT w konsekwencji wprowadzonych </w:t>
      </w:r>
      <w:r>
        <w:rPr>
          <w:rFonts w:ascii="Verdana" w:hAnsi="Verdana" w:cs="Verdana"/>
          <w:b/>
          <w:sz w:val="16"/>
          <w:szCs w:val="16"/>
        </w:rPr>
        <w:br/>
      </w:r>
      <w:r w:rsidRPr="00BA78CB">
        <w:rPr>
          <w:rFonts w:ascii="Verdana" w:hAnsi="Verdana" w:cs="Verdana"/>
          <w:b/>
          <w:sz w:val="16"/>
          <w:szCs w:val="16"/>
        </w:rPr>
        <w:t>w 2019 r.</w:t>
      </w:r>
      <w:r w:rsidRPr="00956C7A">
        <w:rPr>
          <w:rFonts w:ascii="Verdana" w:hAnsi="Verdana" w:cs="Verdana"/>
          <w:sz w:val="16"/>
          <w:szCs w:val="16"/>
        </w:rPr>
        <w:t xml:space="preserve"> </w:t>
      </w:r>
      <w:r>
        <w:rPr>
          <w:rFonts w:ascii="Verdana" w:hAnsi="Verdana" w:cs="Verdana"/>
          <w:b/>
          <w:sz w:val="16"/>
          <w:szCs w:val="16"/>
        </w:rPr>
        <w:t xml:space="preserve">poprzednich </w:t>
      </w:r>
      <w:r w:rsidRPr="00BA78CB">
        <w:rPr>
          <w:rFonts w:ascii="Verdana" w:hAnsi="Verdana" w:cs="Verdana"/>
          <w:b/>
          <w:sz w:val="16"/>
          <w:szCs w:val="16"/>
        </w:rPr>
        <w:t xml:space="preserve">zmian legislacyjnych </w:t>
      </w:r>
      <w:r>
        <w:rPr>
          <w:rFonts w:ascii="Verdana" w:hAnsi="Verdana"/>
          <w:b/>
          <w:sz w:val="16"/>
          <w:szCs w:val="16"/>
        </w:rPr>
        <w:t xml:space="preserve">świadczą </w:t>
      </w:r>
      <w:r w:rsidRPr="00A62ED3">
        <w:rPr>
          <w:rFonts w:ascii="Verdana" w:hAnsi="Verdana"/>
          <w:b/>
          <w:sz w:val="16"/>
          <w:szCs w:val="16"/>
        </w:rPr>
        <w:t>wnioski z analizy</w:t>
      </w:r>
      <w:r>
        <w:rPr>
          <w:rFonts w:ascii="Verdana" w:hAnsi="Verdana"/>
          <w:sz w:val="16"/>
          <w:szCs w:val="16"/>
        </w:rPr>
        <w:t xml:space="preserve"> </w:t>
      </w:r>
      <w:r w:rsidRPr="00BA78CB">
        <w:rPr>
          <w:rFonts w:ascii="Verdana" w:hAnsi="Verdana" w:cs="Verdana"/>
          <w:b/>
          <w:sz w:val="16"/>
          <w:szCs w:val="16"/>
        </w:rPr>
        <w:t xml:space="preserve">dynamiki dochodów </w:t>
      </w:r>
      <w:r>
        <w:rPr>
          <w:rFonts w:ascii="Verdana" w:hAnsi="Verdana" w:cs="Verdana"/>
          <w:b/>
          <w:sz w:val="16"/>
          <w:szCs w:val="16"/>
        </w:rPr>
        <w:br/>
      </w:r>
      <w:r w:rsidRPr="00BA78CB">
        <w:rPr>
          <w:rFonts w:ascii="Verdana" w:hAnsi="Verdana" w:cs="Verdana"/>
          <w:b/>
          <w:sz w:val="16"/>
          <w:szCs w:val="16"/>
        </w:rPr>
        <w:t>m.st. Warszawy z udziału w PIT na przestrzeni dwóch lat</w:t>
      </w:r>
      <w:r>
        <w:rPr>
          <w:rFonts w:ascii="Verdana" w:hAnsi="Verdana" w:cs="Verdana"/>
          <w:b/>
          <w:sz w:val="16"/>
          <w:szCs w:val="16"/>
        </w:rPr>
        <w:t xml:space="preserve"> 2021/2019</w:t>
      </w:r>
      <w:r w:rsidRPr="003237DF">
        <w:rPr>
          <w:rFonts w:ascii="Verdana" w:hAnsi="Verdana" w:cs="Verdana"/>
          <w:b/>
          <w:sz w:val="16"/>
          <w:szCs w:val="16"/>
        </w:rPr>
        <w:t xml:space="preserve"> </w:t>
      </w:r>
      <w:r>
        <w:rPr>
          <w:rFonts w:ascii="Verdana" w:hAnsi="Verdana" w:cs="Verdana"/>
          <w:b/>
          <w:sz w:val="16"/>
          <w:szCs w:val="16"/>
        </w:rPr>
        <w:t>w zestawieniu z sytuacją</w:t>
      </w:r>
      <w:r w:rsidRPr="00BA78CB">
        <w:rPr>
          <w:rFonts w:ascii="Verdana" w:hAnsi="Verdana" w:cs="Verdana"/>
          <w:b/>
          <w:sz w:val="16"/>
          <w:szCs w:val="16"/>
        </w:rPr>
        <w:t xml:space="preserve"> na rynku pracy w tym okresie</w:t>
      </w:r>
      <w:r>
        <w:rPr>
          <w:rFonts w:ascii="Verdana" w:hAnsi="Verdana" w:cs="Verdana"/>
          <w:b/>
          <w:sz w:val="16"/>
          <w:szCs w:val="16"/>
        </w:rPr>
        <w:t xml:space="preserve">, tj. porównanie dynamiki dochodów m.st. Warszawy z udziału w PIT </w:t>
      </w:r>
      <w:r>
        <w:rPr>
          <w:rFonts w:ascii="Verdana" w:hAnsi="Verdana" w:cs="Verdana"/>
          <w:b/>
          <w:sz w:val="16"/>
          <w:szCs w:val="16"/>
        </w:rPr>
        <w:br/>
        <w:t xml:space="preserve">w </w:t>
      </w:r>
      <w:r w:rsidRPr="00CB453E">
        <w:rPr>
          <w:rFonts w:ascii="Verdana" w:hAnsi="Verdana" w:cs="Verdana"/>
          <w:b/>
          <w:sz w:val="16"/>
          <w:szCs w:val="16"/>
        </w:rPr>
        <w:t>I</w:t>
      </w:r>
      <w:r>
        <w:rPr>
          <w:rFonts w:ascii="Verdana" w:hAnsi="Verdana" w:cs="Verdana"/>
          <w:b/>
          <w:sz w:val="16"/>
          <w:szCs w:val="16"/>
        </w:rPr>
        <w:t xml:space="preserve">-III kwartale 2021 r. do I-III kwartału </w:t>
      </w:r>
      <w:r w:rsidRPr="00CB453E">
        <w:rPr>
          <w:rFonts w:ascii="Verdana" w:hAnsi="Verdana" w:cs="Verdana"/>
          <w:b/>
          <w:sz w:val="16"/>
          <w:szCs w:val="16"/>
        </w:rPr>
        <w:t>2019 r.</w:t>
      </w:r>
      <w:r>
        <w:rPr>
          <w:rFonts w:ascii="Verdana" w:hAnsi="Verdana" w:cs="Verdana"/>
          <w:b/>
          <w:sz w:val="16"/>
          <w:szCs w:val="16"/>
        </w:rPr>
        <w:t xml:space="preserve"> z dynamiką wynagrodzeń w gospodarce w tym okresie. </w:t>
      </w:r>
      <w:r>
        <w:rPr>
          <w:rFonts w:ascii="Verdana" w:hAnsi="Verdana"/>
          <w:sz w:val="16"/>
          <w:szCs w:val="16"/>
        </w:rPr>
        <w:t>Wzrost wynagrodzeń w sektorze przedsiębiorstw w okresie styczeń-wrzesień 2021 r.</w:t>
      </w:r>
      <w:r w:rsidRPr="0011718A">
        <w:rPr>
          <w:rFonts w:ascii="Verdana" w:hAnsi="Verdana"/>
          <w:sz w:val="16"/>
          <w:szCs w:val="16"/>
        </w:rPr>
        <w:t xml:space="preserve"> </w:t>
      </w:r>
      <w:r>
        <w:rPr>
          <w:rFonts w:ascii="Verdana" w:hAnsi="Verdana"/>
          <w:sz w:val="16"/>
          <w:szCs w:val="16"/>
        </w:rPr>
        <w:t xml:space="preserve">w stosunku do analogicznego okresu 2019 r. (celowo pominięty obarczony głębokimi skutkami pandemii rok 2020), który wyniósł </w:t>
      </w:r>
      <w:r w:rsidRPr="00DA1E5B">
        <w:rPr>
          <w:rFonts w:ascii="Verdana" w:hAnsi="Verdana"/>
          <w:b/>
          <w:sz w:val="16"/>
          <w:szCs w:val="16"/>
        </w:rPr>
        <w:t>13,2%</w:t>
      </w:r>
      <w:r>
        <w:rPr>
          <w:rFonts w:ascii="Verdana" w:hAnsi="Verdana"/>
          <w:sz w:val="16"/>
          <w:szCs w:val="16"/>
        </w:rPr>
        <w:t>, był przeszło dwukrotnie wyższy niż</w:t>
      </w:r>
      <w:r>
        <w:rPr>
          <w:rFonts w:ascii="Verdana" w:hAnsi="Verdana"/>
          <w:b/>
          <w:sz w:val="16"/>
          <w:szCs w:val="16"/>
        </w:rPr>
        <w:t xml:space="preserve"> </w:t>
      </w:r>
      <w:r w:rsidRPr="00C95842">
        <w:rPr>
          <w:rFonts w:ascii="Verdana" w:hAnsi="Verdana"/>
          <w:sz w:val="16"/>
          <w:szCs w:val="16"/>
        </w:rPr>
        <w:t>wzrost dochodów</w:t>
      </w:r>
      <w:r>
        <w:rPr>
          <w:rFonts w:ascii="Verdana" w:hAnsi="Verdana"/>
          <w:sz w:val="16"/>
          <w:szCs w:val="16"/>
        </w:rPr>
        <w:t xml:space="preserve"> m.st. Warszawy z udziału w PIT w tym okresie wynoszący </w:t>
      </w:r>
      <w:r w:rsidRPr="00DA1E5B">
        <w:rPr>
          <w:rFonts w:ascii="Verdana" w:hAnsi="Verdana"/>
          <w:b/>
          <w:sz w:val="16"/>
          <w:szCs w:val="16"/>
        </w:rPr>
        <w:t>5,9%</w:t>
      </w:r>
      <w:r>
        <w:rPr>
          <w:rFonts w:ascii="Verdana" w:hAnsi="Verdana"/>
          <w:sz w:val="16"/>
          <w:szCs w:val="16"/>
        </w:rPr>
        <w:t xml:space="preserve">. </w:t>
      </w:r>
      <w:r w:rsidRPr="00086608">
        <w:rPr>
          <w:rFonts w:ascii="Verdana" w:hAnsi="Verdana"/>
          <w:sz w:val="16"/>
          <w:szCs w:val="16"/>
        </w:rPr>
        <w:t>Powyższe relacje</w:t>
      </w:r>
      <w:r>
        <w:rPr>
          <w:rFonts w:ascii="Verdana" w:hAnsi="Verdana"/>
          <w:sz w:val="16"/>
          <w:szCs w:val="16"/>
        </w:rPr>
        <w:t xml:space="preserve"> obrazuje wykres nr 2. Rozdźwięk między wyższą dynamiką wynagrodzeń (+13,2%) a niższą dynamiką dochodów z udziału w PIT (+5,9%) uwidacznia negatywny wpływ zmian systemowych podjętych w 2019 r. na dochody m.st. Warszawy z udziału w PIT, które to zmiany polegały </w:t>
      </w:r>
      <w:r w:rsidRPr="00956C7A">
        <w:rPr>
          <w:rFonts w:ascii="Verdana" w:hAnsi="Verdana" w:cs="Verdana"/>
          <w:sz w:val="16"/>
          <w:szCs w:val="16"/>
        </w:rPr>
        <w:t xml:space="preserve">na: </w:t>
      </w:r>
      <w:r w:rsidRPr="00956C7A">
        <w:rPr>
          <w:rFonts w:ascii="Verdana" w:hAnsi="Verdana"/>
          <w:sz w:val="16"/>
          <w:szCs w:val="16"/>
        </w:rPr>
        <w:lastRenderedPageBreak/>
        <w:t>obniżeniu stawki podatku z 18% do 17%,</w:t>
      </w:r>
      <w:r>
        <w:rPr>
          <w:rFonts w:ascii="Verdana" w:hAnsi="Verdana"/>
          <w:sz w:val="16"/>
          <w:szCs w:val="16"/>
        </w:rPr>
        <w:t xml:space="preserve"> </w:t>
      </w:r>
      <w:r w:rsidRPr="00285178">
        <w:rPr>
          <w:rFonts w:ascii="Verdana" w:hAnsi="Verdana"/>
          <w:sz w:val="16"/>
          <w:szCs w:val="16"/>
        </w:rPr>
        <w:t>podwyższeniu kosztów uzyskania przychodu,</w:t>
      </w:r>
      <w:r>
        <w:rPr>
          <w:rFonts w:ascii="Verdana" w:hAnsi="Verdana"/>
          <w:sz w:val="16"/>
          <w:szCs w:val="16"/>
        </w:rPr>
        <w:t xml:space="preserve"> </w:t>
      </w:r>
      <w:r w:rsidRPr="00285178">
        <w:rPr>
          <w:rFonts w:ascii="Verdana" w:hAnsi="Verdana"/>
          <w:sz w:val="16"/>
          <w:szCs w:val="16"/>
        </w:rPr>
        <w:t>zwolnieniu z podatku osó</w:t>
      </w:r>
      <w:r>
        <w:rPr>
          <w:rFonts w:ascii="Verdana" w:hAnsi="Verdana"/>
          <w:sz w:val="16"/>
          <w:szCs w:val="16"/>
        </w:rPr>
        <w:t xml:space="preserve">b w wieku poniżej 26. roku życia. Ponadto od stycznia 2021 r. obowiązuje </w:t>
      </w:r>
      <w:r>
        <w:rPr>
          <w:rFonts w:ascii="Verdana" w:hAnsi="Verdana" w:cs="Verdana"/>
          <w:sz w:val="16"/>
          <w:szCs w:val="16"/>
        </w:rPr>
        <w:t>podwyższenie</w:t>
      </w:r>
      <w:r w:rsidRPr="00BA78CB">
        <w:rPr>
          <w:rFonts w:ascii="Verdana" w:hAnsi="Verdana" w:cs="Verdana"/>
          <w:sz w:val="16"/>
          <w:szCs w:val="16"/>
        </w:rPr>
        <w:t xml:space="preserve"> z 250 tys. euro do 2 mln euro limitu przychodu umożliwiającego podatnikom prowadzącym pozarolniczą działalność gospodarczą skorzystanie z uproszczonej zryczałtowanej formy opodatkowania</w:t>
      </w:r>
      <w:r>
        <w:rPr>
          <w:rStyle w:val="Odwoanieprzypisudolnego"/>
          <w:rFonts w:ascii="Verdana" w:hAnsi="Verdana"/>
          <w:sz w:val="16"/>
          <w:szCs w:val="16"/>
        </w:rPr>
        <w:footnoteReference w:id="5"/>
      </w:r>
      <w:r>
        <w:rPr>
          <w:rFonts w:ascii="Verdana" w:hAnsi="Verdana" w:cs="Verdana"/>
          <w:sz w:val="16"/>
          <w:szCs w:val="16"/>
        </w:rPr>
        <w:t xml:space="preserve">. </w:t>
      </w:r>
      <w:r>
        <w:rPr>
          <w:rFonts w:ascii="Verdana" w:hAnsi="Verdana"/>
          <w:b/>
          <w:sz w:val="16"/>
          <w:szCs w:val="16"/>
        </w:rPr>
        <w:t>Przedstawione powyżej</w:t>
      </w:r>
      <w:r w:rsidRPr="008F2487">
        <w:rPr>
          <w:rFonts w:ascii="Verdana" w:hAnsi="Verdana"/>
          <w:b/>
          <w:sz w:val="16"/>
          <w:szCs w:val="16"/>
        </w:rPr>
        <w:t xml:space="preserve"> </w:t>
      </w:r>
      <w:r>
        <w:rPr>
          <w:rFonts w:ascii="Verdana" w:hAnsi="Verdana"/>
          <w:b/>
          <w:sz w:val="16"/>
          <w:szCs w:val="16"/>
        </w:rPr>
        <w:t>skutki</w:t>
      </w:r>
      <w:r w:rsidRPr="008F2487">
        <w:rPr>
          <w:rFonts w:ascii="Verdana" w:hAnsi="Verdana"/>
          <w:b/>
          <w:sz w:val="16"/>
          <w:szCs w:val="16"/>
        </w:rPr>
        <w:t xml:space="preserve"> oddziaływania zmian systemowych w PIT wprowadzonych w 2019 r. na dochody</w:t>
      </w:r>
      <w:r>
        <w:rPr>
          <w:rFonts w:ascii="Verdana" w:hAnsi="Verdana"/>
          <w:b/>
          <w:sz w:val="16"/>
          <w:szCs w:val="16"/>
        </w:rPr>
        <w:t xml:space="preserve"> m.st. Warszawy </w:t>
      </w:r>
      <w:r>
        <w:rPr>
          <w:rFonts w:ascii="Verdana" w:hAnsi="Verdana"/>
          <w:b/>
          <w:sz w:val="16"/>
          <w:szCs w:val="16"/>
        </w:rPr>
        <w:br/>
        <w:t>z udziału w PIT</w:t>
      </w:r>
      <w:r w:rsidRPr="008F2487">
        <w:rPr>
          <w:rFonts w:ascii="Verdana" w:hAnsi="Verdana"/>
          <w:b/>
          <w:sz w:val="16"/>
          <w:szCs w:val="16"/>
        </w:rPr>
        <w:t xml:space="preserve"> </w:t>
      </w:r>
      <w:r>
        <w:rPr>
          <w:rFonts w:ascii="Verdana" w:hAnsi="Verdana"/>
          <w:b/>
          <w:sz w:val="16"/>
          <w:szCs w:val="16"/>
        </w:rPr>
        <w:t>zostaną pogłębione przez</w:t>
      </w:r>
      <w:r w:rsidRPr="008F2487">
        <w:rPr>
          <w:rFonts w:ascii="Verdana" w:hAnsi="Verdana"/>
          <w:b/>
          <w:sz w:val="16"/>
          <w:szCs w:val="16"/>
        </w:rPr>
        <w:t xml:space="preserve"> negatywne dla dochodów Miasta skutki zmian w podatku PIT przewidziane w rządowym Programie</w:t>
      </w:r>
      <w:r>
        <w:rPr>
          <w:rFonts w:ascii="Verdana" w:hAnsi="Verdana"/>
          <w:b/>
          <w:sz w:val="16"/>
          <w:szCs w:val="16"/>
        </w:rPr>
        <w:t xml:space="preserve"> Polski Ład. </w:t>
      </w:r>
      <w:r w:rsidRPr="00295200">
        <w:rPr>
          <w:rFonts w:ascii="Verdana" w:hAnsi="Verdana"/>
          <w:b/>
          <w:sz w:val="16"/>
          <w:szCs w:val="16"/>
        </w:rPr>
        <w:t xml:space="preserve">Roczny ubytek dochodów z udziału w PIT </w:t>
      </w:r>
      <w:r>
        <w:rPr>
          <w:rFonts w:ascii="Verdana" w:hAnsi="Verdana"/>
          <w:b/>
          <w:sz w:val="16"/>
          <w:szCs w:val="16"/>
        </w:rPr>
        <w:br/>
      </w:r>
      <w:r w:rsidRPr="00295200">
        <w:rPr>
          <w:rFonts w:ascii="Verdana" w:hAnsi="Verdana"/>
          <w:b/>
          <w:sz w:val="16"/>
          <w:szCs w:val="16"/>
        </w:rPr>
        <w:t xml:space="preserve">m.st. Warszawy na skutek rozwiązań Programu Polski Ład szacowany jest na 1,416 mld zł wobec </w:t>
      </w:r>
      <w:r>
        <w:rPr>
          <w:rFonts w:ascii="Verdana" w:hAnsi="Verdana"/>
          <w:b/>
          <w:sz w:val="16"/>
          <w:szCs w:val="16"/>
        </w:rPr>
        <w:br/>
      </w:r>
      <w:r w:rsidRPr="00295200">
        <w:rPr>
          <w:rFonts w:ascii="Verdana" w:hAnsi="Verdana"/>
          <w:b/>
          <w:sz w:val="16"/>
          <w:szCs w:val="16"/>
        </w:rPr>
        <w:t xml:space="preserve">890 mln zł </w:t>
      </w:r>
      <w:r>
        <w:rPr>
          <w:rFonts w:ascii="Verdana" w:hAnsi="Verdana"/>
          <w:b/>
          <w:sz w:val="16"/>
          <w:szCs w:val="16"/>
        </w:rPr>
        <w:t xml:space="preserve">negatywnych wcześniejszych </w:t>
      </w:r>
      <w:r w:rsidRPr="00295200">
        <w:rPr>
          <w:rFonts w:ascii="Verdana" w:hAnsi="Verdana"/>
          <w:b/>
          <w:sz w:val="16"/>
          <w:szCs w:val="16"/>
        </w:rPr>
        <w:t>konsekwencji zmian w PIT wprowadzonych w 2019 r.</w:t>
      </w:r>
    </w:p>
    <w:p w:rsidR="007F07DD" w:rsidRPr="000A6485" w:rsidRDefault="007F07DD" w:rsidP="007F07DD">
      <w:pPr>
        <w:tabs>
          <w:tab w:val="left" w:pos="540"/>
        </w:tabs>
        <w:spacing w:before="120" w:after="60" w:line="240" w:lineRule="auto"/>
        <w:ind w:left="567" w:hanging="567"/>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w:t>
      </w:r>
      <w:r w:rsidRPr="000A6485">
        <w:rPr>
          <w:rFonts w:ascii="Verdana" w:hAnsi="Verdana" w:cs="Arial"/>
          <w:b/>
          <w:bCs/>
          <w:sz w:val="14"/>
          <w:szCs w:val="14"/>
        </w:rPr>
        <w:fldChar w:fldCharType="end"/>
      </w:r>
      <w:r w:rsidRPr="000A6485">
        <w:rPr>
          <w:rFonts w:ascii="Verdana" w:hAnsi="Verdana" w:cs="Arial"/>
          <w:b/>
          <w:bCs/>
          <w:sz w:val="14"/>
          <w:szCs w:val="14"/>
        </w:rPr>
        <w:t xml:space="preserve">  REALIZACJA DOCHODÓW Z PIT W M.ST. WARSZAWA W OKRESIE STY</w:t>
      </w:r>
      <w:r>
        <w:rPr>
          <w:rFonts w:ascii="Verdana" w:hAnsi="Verdana" w:cs="Arial"/>
          <w:b/>
          <w:bCs/>
          <w:sz w:val="14"/>
          <w:szCs w:val="14"/>
        </w:rPr>
        <w:t>CZEŃ-WRZESIEŃ W LATACH 2019-</w:t>
      </w:r>
      <w:r>
        <w:rPr>
          <w:rFonts w:ascii="Verdana" w:hAnsi="Verdana" w:cs="Arial"/>
          <w:b/>
          <w:bCs/>
          <w:sz w:val="14"/>
          <w:szCs w:val="14"/>
        </w:rPr>
        <w:br/>
        <w:t xml:space="preserve">  2021 NA TLE ZMIAN W POZIOMIE WYNAGRODZEŃ I ZATRUDNIENIA W SEKTORZE PRZEDSIĘBIORSTW</w:t>
      </w:r>
    </w:p>
    <w:p w:rsidR="007F07DD" w:rsidRPr="00926B8B" w:rsidRDefault="007F07DD" w:rsidP="007F07DD">
      <w:pPr>
        <w:spacing w:before="60" w:after="60"/>
        <w:jc w:val="both"/>
        <w:rPr>
          <w:rFonts w:ascii="Verdana" w:hAnsi="Verdana"/>
          <w:sz w:val="16"/>
          <w:szCs w:val="16"/>
        </w:rPr>
      </w:pPr>
      <w:r w:rsidRPr="009B2AD4">
        <w:rPr>
          <w:noProof/>
        </w:rPr>
        <w:drawing>
          <wp:inline distT="0" distB="0" distL="0" distR="0" wp14:anchorId="0E1993A8" wp14:editId="06423D05">
            <wp:extent cx="5760085" cy="2792422"/>
            <wp:effectExtent l="0" t="0" r="0" b="825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2792422"/>
                    </a:xfrm>
                    <a:prstGeom prst="rect">
                      <a:avLst/>
                    </a:prstGeom>
                    <a:noFill/>
                    <a:ln>
                      <a:noFill/>
                    </a:ln>
                  </pic:spPr>
                </pic:pic>
              </a:graphicData>
            </a:graphic>
          </wp:inline>
        </w:drawing>
      </w:r>
    </w:p>
    <w:p w:rsidR="007F07DD" w:rsidRPr="003E72D6" w:rsidRDefault="007F07DD" w:rsidP="007F07DD">
      <w:pPr>
        <w:pStyle w:val="Akapitzlist"/>
        <w:numPr>
          <w:ilvl w:val="0"/>
          <w:numId w:val="65"/>
        </w:numPr>
        <w:tabs>
          <w:tab w:val="left" w:pos="284"/>
        </w:tabs>
        <w:spacing w:before="240" w:after="60"/>
        <w:ind w:left="284" w:hanging="284"/>
        <w:contextualSpacing w:val="0"/>
        <w:rPr>
          <w:rFonts w:ascii="Verdana" w:hAnsi="Verdana" w:cs="Arial"/>
          <w:b/>
          <w:i/>
          <w:sz w:val="16"/>
          <w:szCs w:val="16"/>
        </w:rPr>
      </w:pPr>
      <w:r w:rsidRPr="003E72D6">
        <w:rPr>
          <w:rFonts w:ascii="Verdana" w:hAnsi="Verdana" w:cs="Arial"/>
          <w:b/>
          <w:sz w:val="16"/>
          <w:szCs w:val="16"/>
        </w:rPr>
        <w:t xml:space="preserve">SKUTKI USTAWY Z 14 PAŹDZIERNIKA 2021 R. </w:t>
      </w:r>
      <w:r w:rsidRPr="003E72D6">
        <w:rPr>
          <w:rFonts w:ascii="Verdana" w:hAnsi="Verdana" w:cs="Arial"/>
          <w:b/>
          <w:i/>
          <w:sz w:val="16"/>
          <w:szCs w:val="16"/>
        </w:rPr>
        <w:t>O ZMIANIE USTAWY O DOCHODACH JEDNOSTEK SAMORZĄDU TERYTORIALNEGO ORAZ NIEKTÓRYCH INNYCH USTAW</w:t>
      </w:r>
      <w:r w:rsidRPr="003E72D6">
        <w:rPr>
          <w:rFonts w:ascii="Verdana" w:hAnsi="Verdana" w:cs="Arial"/>
          <w:b/>
          <w:sz w:val="16"/>
          <w:szCs w:val="16"/>
        </w:rPr>
        <w:t xml:space="preserve"> (DZ.U. POZ. 1927)</w:t>
      </w:r>
    </w:p>
    <w:p w:rsidR="007F07DD" w:rsidRPr="00850028" w:rsidRDefault="007F07DD" w:rsidP="007F07DD">
      <w:pPr>
        <w:spacing w:before="120" w:after="60"/>
        <w:ind w:firstLine="567"/>
        <w:jc w:val="both"/>
        <w:rPr>
          <w:rFonts w:ascii="Verdana" w:hAnsi="Verdana"/>
          <w:b/>
          <w:iCs/>
          <w:sz w:val="16"/>
          <w:szCs w:val="16"/>
        </w:rPr>
      </w:pPr>
      <w:r w:rsidRPr="002E5706">
        <w:rPr>
          <w:rFonts w:ascii="Verdana" w:hAnsi="Verdana"/>
          <w:iCs/>
          <w:sz w:val="16"/>
          <w:szCs w:val="16"/>
        </w:rPr>
        <w:t xml:space="preserve">Główne </w:t>
      </w:r>
      <w:r>
        <w:rPr>
          <w:rFonts w:ascii="Verdana" w:hAnsi="Verdana"/>
          <w:iCs/>
          <w:sz w:val="16"/>
          <w:szCs w:val="16"/>
        </w:rPr>
        <w:t>zmiany zawarte w ustawie z 14.10.2021 r. oddziałujące na gospodarkę budżetową jednostek samorządu terytorialnego, przewidują:</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iCs/>
          <w:sz w:val="16"/>
          <w:szCs w:val="16"/>
        </w:rPr>
        <w:t xml:space="preserve">przekazanie samorządom w 2021 r. na poczet  wydatków 2022 r. </w:t>
      </w:r>
      <w:r w:rsidRPr="00264257">
        <w:rPr>
          <w:rFonts w:ascii="Verdana" w:hAnsi="Verdana"/>
          <w:b/>
          <w:iCs/>
          <w:sz w:val="16"/>
          <w:szCs w:val="16"/>
        </w:rPr>
        <w:t xml:space="preserve">dodatkowej kwoty subwencji </w:t>
      </w:r>
      <w:r>
        <w:rPr>
          <w:rFonts w:ascii="Verdana" w:hAnsi="Verdana"/>
          <w:b/>
          <w:iCs/>
          <w:sz w:val="16"/>
          <w:szCs w:val="16"/>
        </w:rPr>
        <w:br/>
      </w:r>
      <w:r w:rsidRPr="00264257">
        <w:rPr>
          <w:rFonts w:ascii="Verdana" w:hAnsi="Verdana"/>
          <w:b/>
          <w:iCs/>
          <w:sz w:val="16"/>
          <w:szCs w:val="16"/>
        </w:rPr>
        <w:t>w wysokości 8 mld zł, z tego 468 mln zł dla m.st. Warszawy</w:t>
      </w:r>
      <w:r>
        <w:rPr>
          <w:rFonts w:ascii="Verdana" w:hAnsi="Verdana"/>
          <w:iCs/>
          <w:sz w:val="16"/>
          <w:szCs w:val="16"/>
        </w:rPr>
        <w:t>,</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iCs/>
          <w:sz w:val="16"/>
          <w:szCs w:val="16"/>
        </w:rPr>
        <w:t xml:space="preserve">wprowadzenie od 2023 r. </w:t>
      </w:r>
      <w:r w:rsidRPr="00264257">
        <w:rPr>
          <w:rFonts w:ascii="Verdana" w:hAnsi="Verdana"/>
          <w:b/>
          <w:iCs/>
          <w:sz w:val="16"/>
          <w:szCs w:val="16"/>
        </w:rPr>
        <w:t>nowej subwencji tzw. rozwojowej w ogólnej kwocie</w:t>
      </w:r>
      <w:r>
        <w:rPr>
          <w:rFonts w:ascii="Verdana" w:hAnsi="Verdana"/>
          <w:iCs/>
          <w:sz w:val="16"/>
          <w:szCs w:val="16"/>
        </w:rPr>
        <w:t xml:space="preserve"> </w:t>
      </w:r>
      <w:r w:rsidRPr="00264257">
        <w:rPr>
          <w:rFonts w:ascii="Verdana" w:hAnsi="Verdana"/>
          <w:b/>
          <w:iCs/>
          <w:sz w:val="16"/>
          <w:szCs w:val="16"/>
        </w:rPr>
        <w:t>3-4 mld zł rocznie</w:t>
      </w:r>
      <w:r>
        <w:rPr>
          <w:rFonts w:ascii="Verdana" w:hAnsi="Verdana"/>
          <w:iCs/>
          <w:sz w:val="16"/>
          <w:szCs w:val="16"/>
        </w:rPr>
        <w:t xml:space="preserve">, w której </w:t>
      </w:r>
      <w:r w:rsidRPr="00264257">
        <w:rPr>
          <w:rFonts w:ascii="Verdana" w:hAnsi="Verdana"/>
          <w:b/>
          <w:iCs/>
          <w:sz w:val="16"/>
          <w:szCs w:val="16"/>
        </w:rPr>
        <w:t>partycypacja m.st. Warszawy</w:t>
      </w:r>
      <w:r>
        <w:rPr>
          <w:rFonts w:ascii="Verdana" w:hAnsi="Verdana"/>
          <w:iCs/>
          <w:sz w:val="16"/>
          <w:szCs w:val="16"/>
        </w:rPr>
        <w:t xml:space="preserve"> jak się szacuje </w:t>
      </w:r>
      <w:r w:rsidRPr="00264257">
        <w:rPr>
          <w:rFonts w:ascii="Verdana" w:hAnsi="Verdana"/>
          <w:b/>
          <w:iCs/>
          <w:sz w:val="16"/>
          <w:szCs w:val="16"/>
        </w:rPr>
        <w:t>wyniesie ok.</w:t>
      </w:r>
      <w:r>
        <w:rPr>
          <w:rFonts w:ascii="Verdana" w:hAnsi="Verdana"/>
          <w:iCs/>
          <w:sz w:val="16"/>
          <w:szCs w:val="16"/>
        </w:rPr>
        <w:t xml:space="preserve"> </w:t>
      </w:r>
      <w:r w:rsidRPr="00264257">
        <w:rPr>
          <w:rFonts w:ascii="Verdana" w:hAnsi="Verdana"/>
          <w:b/>
          <w:iCs/>
          <w:sz w:val="16"/>
          <w:szCs w:val="16"/>
        </w:rPr>
        <w:t>40 mln zł</w:t>
      </w:r>
      <w:r>
        <w:rPr>
          <w:rFonts w:ascii="Verdana" w:hAnsi="Verdana"/>
          <w:iCs/>
          <w:sz w:val="16"/>
          <w:szCs w:val="16"/>
        </w:rPr>
        <w:t xml:space="preserve"> z puli 60% kwoty subwencji przekazywanej wszystkim samorządom, natomiast beneficjentami pozostałych 40% będą jednostki samorządu terytorialnego o ponadprzeciętnej dynamice wydatków majątkowych w przeliczeniu na jednego mieszkańca oraz charakteryzujące się przewyższającymi średnią wydatkami majątkowymi przypadającymi na jednego mieszkańca,</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sidRPr="00084A62">
        <w:rPr>
          <w:rFonts w:ascii="Verdana" w:hAnsi="Verdana"/>
          <w:b/>
          <w:iCs/>
          <w:sz w:val="16"/>
          <w:szCs w:val="16"/>
        </w:rPr>
        <w:t xml:space="preserve">przekazywanie samorządom w 12 równych </w:t>
      </w:r>
      <w:r>
        <w:rPr>
          <w:rFonts w:ascii="Verdana" w:hAnsi="Verdana"/>
          <w:b/>
          <w:iCs/>
          <w:sz w:val="16"/>
          <w:szCs w:val="16"/>
        </w:rPr>
        <w:t xml:space="preserve">miesięcznych </w:t>
      </w:r>
      <w:r w:rsidRPr="00084A62">
        <w:rPr>
          <w:rFonts w:ascii="Verdana" w:hAnsi="Verdana"/>
          <w:b/>
          <w:iCs/>
          <w:sz w:val="16"/>
          <w:szCs w:val="16"/>
        </w:rPr>
        <w:t xml:space="preserve">ratach w ciągu roku zaplanowanych przez Ministerstwo Finansów dochodów z udziałów w podatkach dochodowych od osób fizycznych PIT i prawnych CIT, z rozliczeniem po dwóch latach przekazanych środków </w:t>
      </w:r>
      <w:r>
        <w:rPr>
          <w:rFonts w:ascii="Verdana" w:hAnsi="Verdana"/>
          <w:b/>
          <w:iCs/>
          <w:sz w:val="16"/>
          <w:szCs w:val="16"/>
        </w:rPr>
        <w:br/>
      </w:r>
      <w:r w:rsidRPr="00084A62">
        <w:rPr>
          <w:rFonts w:ascii="Verdana" w:hAnsi="Verdana"/>
          <w:b/>
          <w:iCs/>
          <w:sz w:val="16"/>
          <w:szCs w:val="16"/>
        </w:rPr>
        <w:t>w odniesieniu do rzeczywistej realizacji dochodów</w:t>
      </w:r>
      <w:r>
        <w:rPr>
          <w:rFonts w:ascii="Verdana" w:hAnsi="Verdana"/>
          <w:iCs/>
          <w:sz w:val="16"/>
          <w:szCs w:val="16"/>
        </w:rPr>
        <w:t xml:space="preserve"> (wykonanie dochodów niższe od planu spowoduje </w:t>
      </w:r>
      <w:r>
        <w:rPr>
          <w:rFonts w:ascii="Verdana" w:hAnsi="Verdana"/>
          <w:iCs/>
          <w:sz w:val="16"/>
          <w:szCs w:val="16"/>
        </w:rPr>
        <w:lastRenderedPageBreak/>
        <w:t>odpowiednie pomniejszenie dochodów JST natomiast realizacja przewyższająca plan podwyższy dochody JST),</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sidRPr="00084A62">
        <w:rPr>
          <w:rFonts w:ascii="Verdana" w:hAnsi="Verdana"/>
          <w:b/>
          <w:iCs/>
          <w:sz w:val="16"/>
          <w:szCs w:val="16"/>
        </w:rPr>
        <w:t>wyznaczanie wpłaty JST do budżetu państwa na rzecz subwencji ogólnej w części równoważącej (tzw. Janosikowe)</w:t>
      </w:r>
      <w:r>
        <w:rPr>
          <w:rFonts w:ascii="Verdana" w:hAnsi="Verdana"/>
          <w:iCs/>
          <w:sz w:val="16"/>
          <w:szCs w:val="16"/>
        </w:rPr>
        <w:t xml:space="preserve">, stanowiącej mechanizm wyrównywania dochodów JST poprzez przekazywanie środków przez samorządy o ponadprzeciętnych dochodach w przeliczeniu na jednego mieszkańca na rzecz samorządów plasujących się poniżej średniej, </w:t>
      </w:r>
      <w:r w:rsidRPr="00084A62">
        <w:rPr>
          <w:rFonts w:ascii="Verdana" w:hAnsi="Verdana"/>
          <w:b/>
          <w:iCs/>
          <w:sz w:val="16"/>
          <w:szCs w:val="16"/>
        </w:rPr>
        <w:t xml:space="preserve">w oparciu o planowane na rok budżetowy a nie wykonane w roku poprzedzającym o dwa lata rok budżetowy dochody z PIT </w:t>
      </w:r>
      <w:r>
        <w:rPr>
          <w:rFonts w:ascii="Verdana" w:hAnsi="Verdana"/>
          <w:b/>
          <w:iCs/>
          <w:sz w:val="16"/>
          <w:szCs w:val="16"/>
        </w:rPr>
        <w:br/>
      </w:r>
      <w:r w:rsidRPr="00084A62">
        <w:rPr>
          <w:rFonts w:ascii="Verdana" w:hAnsi="Verdana"/>
          <w:b/>
          <w:iCs/>
          <w:sz w:val="16"/>
          <w:szCs w:val="16"/>
        </w:rPr>
        <w:t>i CIT, co</w:t>
      </w:r>
      <w:r>
        <w:rPr>
          <w:rFonts w:ascii="Verdana" w:hAnsi="Verdana"/>
          <w:iCs/>
          <w:sz w:val="16"/>
          <w:szCs w:val="16"/>
        </w:rPr>
        <w:t xml:space="preserve"> </w:t>
      </w:r>
      <w:r w:rsidRPr="00264257">
        <w:rPr>
          <w:rFonts w:ascii="Verdana" w:hAnsi="Verdana"/>
          <w:b/>
          <w:iCs/>
          <w:sz w:val="16"/>
          <w:szCs w:val="16"/>
        </w:rPr>
        <w:t xml:space="preserve">w przypadku m.st. Warszawy skutkuje podniesieniem w 2022 r. kwoty wpłaty </w:t>
      </w:r>
      <w:r>
        <w:rPr>
          <w:rFonts w:ascii="Verdana" w:hAnsi="Verdana"/>
          <w:b/>
          <w:iCs/>
          <w:sz w:val="16"/>
          <w:szCs w:val="16"/>
        </w:rPr>
        <w:br/>
        <w:t xml:space="preserve">do budżetu państwa </w:t>
      </w:r>
      <w:r w:rsidRPr="00264257">
        <w:rPr>
          <w:rFonts w:ascii="Verdana" w:hAnsi="Verdana"/>
          <w:b/>
          <w:iCs/>
          <w:sz w:val="16"/>
          <w:szCs w:val="16"/>
        </w:rPr>
        <w:t>o</w:t>
      </w:r>
      <w:r>
        <w:rPr>
          <w:rFonts w:ascii="Verdana" w:hAnsi="Verdana"/>
          <w:iCs/>
          <w:sz w:val="16"/>
          <w:szCs w:val="16"/>
        </w:rPr>
        <w:t xml:space="preserve"> </w:t>
      </w:r>
      <w:r w:rsidRPr="00264257">
        <w:rPr>
          <w:rFonts w:ascii="Verdana" w:hAnsi="Verdana"/>
          <w:b/>
          <w:iCs/>
          <w:sz w:val="16"/>
          <w:szCs w:val="16"/>
        </w:rPr>
        <w:t>100 mln zł</w:t>
      </w:r>
      <w:r>
        <w:rPr>
          <w:rFonts w:ascii="Verdana" w:hAnsi="Verdana"/>
          <w:b/>
          <w:iCs/>
          <w:sz w:val="16"/>
          <w:szCs w:val="16"/>
        </w:rPr>
        <w:t xml:space="preserve"> w stosunku do wysokości wpłaty na 2022 r. w warunkach stanu prawnego sprzed zmian,</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cs="Arial"/>
          <w:b/>
          <w:sz w:val="16"/>
          <w:szCs w:val="16"/>
        </w:rPr>
        <w:t>czasowe</w:t>
      </w:r>
      <w:r>
        <w:rPr>
          <w:rFonts w:ascii="Verdana" w:hAnsi="Verdana"/>
          <w:b/>
          <w:iCs/>
          <w:sz w:val="16"/>
          <w:szCs w:val="16"/>
        </w:rPr>
        <w:t>, ograniczone</w:t>
      </w:r>
      <w:r w:rsidRPr="00637609">
        <w:rPr>
          <w:rFonts w:ascii="Verdana" w:hAnsi="Verdana"/>
          <w:b/>
          <w:iCs/>
          <w:sz w:val="16"/>
          <w:szCs w:val="16"/>
        </w:rPr>
        <w:t xml:space="preserve"> do lat 2022-2025, </w:t>
      </w:r>
      <w:r>
        <w:rPr>
          <w:rFonts w:ascii="Verdana" w:hAnsi="Verdana"/>
          <w:b/>
          <w:iCs/>
          <w:sz w:val="16"/>
          <w:szCs w:val="16"/>
        </w:rPr>
        <w:t>zmiany w</w:t>
      </w:r>
      <w:r w:rsidRPr="00637609">
        <w:rPr>
          <w:rFonts w:ascii="Verdana" w:hAnsi="Verdana"/>
          <w:b/>
          <w:iCs/>
          <w:sz w:val="16"/>
          <w:szCs w:val="16"/>
        </w:rPr>
        <w:t xml:space="preserve"> ustawowych reguł</w:t>
      </w:r>
      <w:r>
        <w:rPr>
          <w:rFonts w:ascii="Verdana" w:hAnsi="Verdana"/>
          <w:b/>
          <w:iCs/>
          <w:sz w:val="16"/>
          <w:szCs w:val="16"/>
        </w:rPr>
        <w:t>ach</w:t>
      </w:r>
      <w:r w:rsidRPr="00637609">
        <w:rPr>
          <w:rFonts w:ascii="Verdana" w:hAnsi="Verdana"/>
          <w:b/>
          <w:iCs/>
          <w:sz w:val="16"/>
          <w:szCs w:val="16"/>
        </w:rPr>
        <w:t xml:space="preserve"> fiskalnych odnoszących się do finansów samorządów</w:t>
      </w:r>
      <w:r>
        <w:rPr>
          <w:rFonts w:ascii="Verdana" w:hAnsi="Verdana"/>
          <w:iCs/>
          <w:sz w:val="16"/>
          <w:szCs w:val="16"/>
        </w:rPr>
        <w:t xml:space="preserve">, a mianowicie reguły wydatkowej w zakresie wydatków bieżących (art. 242 </w:t>
      </w:r>
      <w:r w:rsidRPr="005E5293">
        <w:rPr>
          <w:rFonts w:ascii="Verdana" w:hAnsi="Verdana"/>
          <w:i/>
          <w:iCs/>
          <w:sz w:val="16"/>
          <w:szCs w:val="16"/>
        </w:rPr>
        <w:t>ustawy o finansach publicznych</w:t>
      </w:r>
      <w:r>
        <w:rPr>
          <w:rFonts w:ascii="Verdana" w:hAnsi="Verdana"/>
          <w:iCs/>
          <w:sz w:val="16"/>
          <w:szCs w:val="16"/>
        </w:rPr>
        <w:t xml:space="preserve">) oraz reguły indywidualnego limitu obsługi długu </w:t>
      </w:r>
      <w:r>
        <w:rPr>
          <w:rFonts w:ascii="Verdana" w:hAnsi="Verdana"/>
          <w:iCs/>
          <w:sz w:val="16"/>
          <w:szCs w:val="16"/>
        </w:rPr>
        <w:br/>
        <w:t xml:space="preserve">(art. 243 </w:t>
      </w:r>
      <w:r w:rsidRPr="005E5293">
        <w:rPr>
          <w:rFonts w:ascii="Verdana" w:hAnsi="Verdana"/>
          <w:i/>
          <w:iCs/>
          <w:sz w:val="16"/>
          <w:szCs w:val="16"/>
        </w:rPr>
        <w:t>ustawy o finansach publicznych</w:t>
      </w:r>
      <w:r>
        <w:rPr>
          <w:rFonts w:ascii="Verdana" w:hAnsi="Verdana"/>
          <w:iCs/>
          <w:sz w:val="16"/>
          <w:szCs w:val="16"/>
        </w:rPr>
        <w:t>),</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cs="Arial"/>
          <w:b/>
          <w:sz w:val="16"/>
          <w:szCs w:val="16"/>
        </w:rPr>
        <w:t xml:space="preserve">wprowadzenie od 2023 r. </w:t>
      </w:r>
      <w:r w:rsidRPr="00637609">
        <w:rPr>
          <w:rFonts w:ascii="Verdana" w:hAnsi="Verdana" w:cs="Arial"/>
          <w:b/>
          <w:sz w:val="16"/>
          <w:szCs w:val="16"/>
        </w:rPr>
        <w:t xml:space="preserve">poziomu referencyjnego dochodów z PIT i CIT </w:t>
      </w:r>
      <w:r>
        <w:rPr>
          <w:rFonts w:ascii="Verdana" w:hAnsi="Verdana" w:cs="Arial"/>
          <w:b/>
          <w:sz w:val="16"/>
          <w:szCs w:val="16"/>
        </w:rPr>
        <w:t>dla typów JST bez odniesienia do poszczególnych JST</w:t>
      </w:r>
      <w:r w:rsidRPr="00637609">
        <w:rPr>
          <w:rFonts w:ascii="Verdana" w:hAnsi="Verdana" w:cs="Arial"/>
          <w:b/>
          <w:sz w:val="16"/>
          <w:szCs w:val="16"/>
        </w:rPr>
        <w:t xml:space="preserve">, wyznaczającego minimalny poziom dochodów </w:t>
      </w:r>
      <w:r>
        <w:rPr>
          <w:rFonts w:ascii="Verdana" w:hAnsi="Verdana" w:cs="Arial"/>
          <w:b/>
          <w:sz w:val="16"/>
          <w:szCs w:val="16"/>
        </w:rPr>
        <w:br/>
      </w:r>
      <w:r w:rsidRPr="00637609">
        <w:rPr>
          <w:rFonts w:ascii="Verdana" w:hAnsi="Verdana" w:cs="Arial"/>
          <w:b/>
          <w:sz w:val="16"/>
          <w:szCs w:val="16"/>
        </w:rPr>
        <w:t>z powyższych źródeł na dany rok</w:t>
      </w:r>
      <w:r>
        <w:rPr>
          <w:rFonts w:ascii="Verdana" w:hAnsi="Verdana" w:cs="Arial"/>
          <w:b/>
          <w:sz w:val="16"/>
          <w:szCs w:val="16"/>
        </w:rPr>
        <w:t>.</w:t>
      </w:r>
    </w:p>
    <w:p w:rsidR="007F07DD" w:rsidRDefault="007F07DD" w:rsidP="007F07DD">
      <w:pPr>
        <w:spacing w:before="120" w:after="60"/>
        <w:ind w:firstLine="567"/>
        <w:jc w:val="both"/>
        <w:rPr>
          <w:rFonts w:ascii="Verdana" w:hAnsi="Verdana"/>
          <w:iCs/>
          <w:sz w:val="16"/>
          <w:szCs w:val="16"/>
        </w:rPr>
      </w:pPr>
    </w:p>
    <w:p w:rsidR="007F07DD" w:rsidRPr="00AF125A" w:rsidRDefault="007F07DD" w:rsidP="007F07DD">
      <w:pPr>
        <w:spacing w:before="60" w:after="60"/>
        <w:ind w:firstLine="567"/>
        <w:jc w:val="both"/>
        <w:rPr>
          <w:rFonts w:ascii="Verdana" w:hAnsi="Verdana"/>
          <w:b/>
          <w:iCs/>
          <w:sz w:val="16"/>
          <w:szCs w:val="16"/>
        </w:rPr>
      </w:pPr>
      <w:r>
        <w:rPr>
          <w:rFonts w:ascii="Verdana" w:hAnsi="Verdana" w:cs="Arial"/>
          <w:b/>
          <w:sz w:val="16"/>
          <w:szCs w:val="16"/>
        </w:rPr>
        <w:t xml:space="preserve">Rozwiązania przewidziane w rządowym Programie Polski Ład </w:t>
      </w:r>
      <w:r w:rsidRPr="00BD28E8">
        <w:rPr>
          <w:rFonts w:ascii="Verdana" w:hAnsi="Verdana"/>
          <w:b/>
          <w:iCs/>
          <w:sz w:val="16"/>
          <w:szCs w:val="16"/>
        </w:rPr>
        <w:t xml:space="preserve">nie </w:t>
      </w:r>
      <w:r>
        <w:rPr>
          <w:rFonts w:ascii="Verdana" w:hAnsi="Verdana"/>
          <w:b/>
          <w:iCs/>
          <w:sz w:val="16"/>
          <w:szCs w:val="16"/>
        </w:rPr>
        <w:t>ustanawiają</w:t>
      </w:r>
      <w:r w:rsidRPr="007A7C90">
        <w:rPr>
          <w:rFonts w:ascii="Verdana" w:hAnsi="Verdana"/>
          <w:b/>
          <w:iCs/>
          <w:sz w:val="16"/>
          <w:szCs w:val="16"/>
        </w:rPr>
        <w:t xml:space="preserve"> trwałego mechanizmu rekompensaty </w:t>
      </w:r>
      <w:r>
        <w:rPr>
          <w:rFonts w:ascii="Verdana" w:hAnsi="Verdana"/>
          <w:b/>
          <w:iCs/>
          <w:sz w:val="16"/>
          <w:szCs w:val="16"/>
        </w:rPr>
        <w:t xml:space="preserve">ubytku dochodów własnych JST z </w:t>
      </w:r>
      <w:r w:rsidRPr="007A7C90">
        <w:rPr>
          <w:rFonts w:ascii="Verdana" w:hAnsi="Verdana"/>
          <w:b/>
          <w:iCs/>
          <w:sz w:val="16"/>
          <w:szCs w:val="16"/>
        </w:rPr>
        <w:t>tytułu zmian podatkowych w PIT</w:t>
      </w:r>
      <w:r>
        <w:rPr>
          <w:rFonts w:ascii="Verdana" w:hAnsi="Verdana"/>
          <w:b/>
          <w:iCs/>
          <w:sz w:val="16"/>
          <w:szCs w:val="16"/>
        </w:rPr>
        <w:t>,</w:t>
      </w:r>
      <w:r w:rsidRPr="007A7C90">
        <w:rPr>
          <w:rFonts w:ascii="Verdana" w:hAnsi="Verdana"/>
          <w:b/>
          <w:iCs/>
          <w:sz w:val="16"/>
          <w:szCs w:val="16"/>
        </w:rPr>
        <w:t xml:space="preserve"> będących </w:t>
      </w:r>
      <w:r>
        <w:rPr>
          <w:rFonts w:ascii="Verdana" w:hAnsi="Verdana"/>
          <w:b/>
          <w:iCs/>
          <w:sz w:val="16"/>
          <w:szCs w:val="16"/>
        </w:rPr>
        <w:t xml:space="preserve">z punktu widzenia finansowania JST, </w:t>
      </w:r>
      <w:r w:rsidRPr="007A7C90">
        <w:rPr>
          <w:rFonts w:ascii="Verdana" w:hAnsi="Verdana"/>
          <w:b/>
          <w:iCs/>
          <w:sz w:val="16"/>
          <w:szCs w:val="16"/>
        </w:rPr>
        <w:t>zasadniczym elementem Programu Polski Ład</w:t>
      </w:r>
      <w:r>
        <w:rPr>
          <w:rFonts w:ascii="Verdana" w:hAnsi="Verdana"/>
          <w:iCs/>
          <w:sz w:val="16"/>
          <w:szCs w:val="16"/>
        </w:rPr>
        <w:t>.</w:t>
      </w:r>
    </w:p>
    <w:p w:rsidR="007F07DD" w:rsidRPr="00E600B6" w:rsidRDefault="007F07DD" w:rsidP="007F07DD">
      <w:pPr>
        <w:spacing w:before="60" w:after="60"/>
        <w:jc w:val="both"/>
        <w:rPr>
          <w:rFonts w:ascii="Verdana" w:hAnsi="Verdana"/>
          <w:iCs/>
          <w:sz w:val="16"/>
          <w:szCs w:val="16"/>
        </w:rPr>
      </w:pPr>
      <w:r>
        <w:rPr>
          <w:rFonts w:ascii="Verdana" w:hAnsi="Verdana"/>
          <w:b/>
          <w:iCs/>
          <w:sz w:val="16"/>
          <w:szCs w:val="16"/>
        </w:rPr>
        <w:t>W 2021 r. przewidziane jest przekazanie samorządom jednorazowo zwiększonej o</w:t>
      </w:r>
      <w:r w:rsidRPr="00BD0809">
        <w:rPr>
          <w:rFonts w:ascii="Verdana" w:hAnsi="Verdana"/>
          <w:b/>
          <w:iCs/>
          <w:sz w:val="16"/>
          <w:szCs w:val="16"/>
        </w:rPr>
        <w:t xml:space="preserve"> 8 mld zł </w:t>
      </w:r>
      <w:r>
        <w:rPr>
          <w:rFonts w:ascii="Verdana" w:hAnsi="Verdana"/>
          <w:b/>
          <w:iCs/>
          <w:sz w:val="16"/>
          <w:szCs w:val="16"/>
        </w:rPr>
        <w:t>subwencji. Przyjęty sposób podziału tych środków</w:t>
      </w:r>
      <w:r w:rsidRPr="00BD0809">
        <w:rPr>
          <w:rFonts w:ascii="Verdana" w:hAnsi="Verdana"/>
          <w:b/>
          <w:iCs/>
          <w:sz w:val="16"/>
          <w:szCs w:val="16"/>
        </w:rPr>
        <w:t xml:space="preserve"> pomniejsza możliwości takiej rekompensaty dla </w:t>
      </w:r>
      <w:r w:rsidR="001E3AA0">
        <w:rPr>
          <w:rFonts w:ascii="Verdana" w:hAnsi="Verdana"/>
          <w:b/>
          <w:iCs/>
          <w:sz w:val="16"/>
          <w:szCs w:val="16"/>
        </w:rPr>
        <w:br/>
      </w:r>
      <w:r w:rsidRPr="00BD0809">
        <w:rPr>
          <w:rFonts w:ascii="Verdana" w:hAnsi="Verdana"/>
          <w:b/>
          <w:iCs/>
          <w:sz w:val="16"/>
          <w:szCs w:val="16"/>
        </w:rPr>
        <w:t>m.st. Warszawy, gdyż wprowadzono  przepis ustanawiający górny pułap kwoty możliwej do uzyskania przez gminę na poziomie 5% dodatkowych dochodów wszystkich gmin</w:t>
      </w:r>
      <w:r>
        <w:rPr>
          <w:rFonts w:ascii="Verdana" w:hAnsi="Verdana"/>
          <w:b/>
          <w:iCs/>
          <w:sz w:val="16"/>
          <w:szCs w:val="16"/>
        </w:rPr>
        <w:t xml:space="preserve"> oraz</w:t>
      </w:r>
      <w:r w:rsidRPr="00BD0809">
        <w:rPr>
          <w:rFonts w:ascii="Verdana" w:hAnsi="Verdana"/>
          <w:b/>
          <w:iCs/>
          <w:sz w:val="16"/>
          <w:szCs w:val="16"/>
        </w:rPr>
        <w:t xml:space="preserve"> dla powiatów 10% </w:t>
      </w:r>
      <w:r>
        <w:rPr>
          <w:rFonts w:ascii="Verdana" w:hAnsi="Verdana"/>
          <w:b/>
          <w:iCs/>
          <w:sz w:val="16"/>
          <w:szCs w:val="16"/>
        </w:rPr>
        <w:t>(w przypadku</w:t>
      </w:r>
      <w:r w:rsidRPr="00BD0809">
        <w:rPr>
          <w:rFonts w:ascii="Verdana" w:hAnsi="Verdana"/>
          <w:b/>
          <w:iCs/>
          <w:sz w:val="16"/>
          <w:szCs w:val="16"/>
        </w:rPr>
        <w:t xml:space="preserve"> województw 15%</w:t>
      </w:r>
      <w:r>
        <w:rPr>
          <w:rFonts w:ascii="Verdana" w:hAnsi="Verdana"/>
          <w:b/>
          <w:iCs/>
          <w:sz w:val="16"/>
          <w:szCs w:val="16"/>
        </w:rPr>
        <w:t>)</w:t>
      </w:r>
      <w:r w:rsidRPr="00BD0809">
        <w:rPr>
          <w:rFonts w:ascii="Verdana" w:hAnsi="Verdana"/>
          <w:b/>
          <w:iCs/>
          <w:sz w:val="16"/>
          <w:szCs w:val="16"/>
        </w:rPr>
        <w:t>.</w:t>
      </w:r>
      <w:r w:rsidRPr="00E600B6">
        <w:rPr>
          <w:rFonts w:ascii="Verdana" w:hAnsi="Verdana"/>
          <w:iCs/>
          <w:sz w:val="16"/>
          <w:szCs w:val="16"/>
        </w:rPr>
        <w:t xml:space="preserve"> </w:t>
      </w:r>
      <w:r>
        <w:rPr>
          <w:rFonts w:ascii="Verdana" w:hAnsi="Verdana"/>
          <w:iCs/>
          <w:sz w:val="16"/>
          <w:szCs w:val="16"/>
        </w:rPr>
        <w:t>Wprowadzony limit pomniejsza środki</w:t>
      </w:r>
      <w:r w:rsidRPr="00E600B6">
        <w:rPr>
          <w:rFonts w:ascii="Verdana" w:hAnsi="Verdana"/>
          <w:iCs/>
          <w:sz w:val="16"/>
          <w:szCs w:val="16"/>
        </w:rPr>
        <w:t xml:space="preserve"> dla Warszawy o 108 mln zł. Drugim czynnikiem ograniczającym kwotę możliwą do uzyskania przez JST jest wprowadzenie do algorytmu podziału środków korekty z tytułu „zamożności” powodującej obniżenie śro</w:t>
      </w:r>
      <w:r>
        <w:rPr>
          <w:rFonts w:ascii="Verdana" w:hAnsi="Verdana"/>
          <w:iCs/>
          <w:sz w:val="16"/>
          <w:szCs w:val="16"/>
        </w:rPr>
        <w:t xml:space="preserve">dków dla Warszawy dodatkowo </w:t>
      </w:r>
      <w:r w:rsidR="001E3AA0">
        <w:rPr>
          <w:rFonts w:ascii="Verdana" w:hAnsi="Verdana"/>
          <w:iCs/>
          <w:sz w:val="16"/>
          <w:szCs w:val="16"/>
        </w:rPr>
        <w:br/>
      </w:r>
      <w:r>
        <w:rPr>
          <w:rFonts w:ascii="Verdana" w:hAnsi="Verdana"/>
          <w:iCs/>
          <w:sz w:val="16"/>
          <w:szCs w:val="16"/>
        </w:rPr>
        <w:t>o 31</w:t>
      </w:r>
      <w:r w:rsidRPr="00E600B6">
        <w:rPr>
          <w:rFonts w:ascii="Verdana" w:hAnsi="Verdana"/>
          <w:iCs/>
          <w:sz w:val="16"/>
          <w:szCs w:val="16"/>
        </w:rPr>
        <w:t>7 mln zł. Łącznie w wyniku zastosowania w algorytmie górnego pułapu oraz korekty z tytułu „zamożności”</w:t>
      </w:r>
      <w:r>
        <w:rPr>
          <w:rFonts w:ascii="Verdana" w:hAnsi="Verdana"/>
          <w:iCs/>
          <w:sz w:val="16"/>
          <w:szCs w:val="16"/>
        </w:rPr>
        <w:t xml:space="preserve">, m.st. Warszawa w podziale </w:t>
      </w:r>
      <w:r w:rsidRPr="00E600B6">
        <w:rPr>
          <w:rFonts w:ascii="Verdana" w:hAnsi="Verdana"/>
          <w:iCs/>
          <w:sz w:val="16"/>
          <w:szCs w:val="16"/>
        </w:rPr>
        <w:t xml:space="preserve">jednorazowej rekompensaty zostanie pozbawione </w:t>
      </w:r>
      <w:r>
        <w:rPr>
          <w:rFonts w:ascii="Verdana" w:hAnsi="Verdana"/>
          <w:iCs/>
          <w:sz w:val="16"/>
          <w:szCs w:val="16"/>
        </w:rPr>
        <w:t xml:space="preserve">kwoty 425 mln zł. </w:t>
      </w:r>
      <w:r w:rsidRPr="00E600B6">
        <w:rPr>
          <w:rFonts w:ascii="Verdana" w:hAnsi="Verdana"/>
          <w:b/>
          <w:iCs/>
          <w:sz w:val="16"/>
          <w:szCs w:val="16"/>
        </w:rPr>
        <w:t xml:space="preserve">Ostatecznie </w:t>
      </w:r>
      <w:r w:rsidR="001E3AA0">
        <w:rPr>
          <w:rFonts w:ascii="Verdana" w:hAnsi="Verdana"/>
          <w:b/>
          <w:iCs/>
          <w:sz w:val="16"/>
          <w:szCs w:val="16"/>
        </w:rPr>
        <w:br/>
      </w:r>
      <w:r w:rsidRPr="00E600B6">
        <w:rPr>
          <w:rFonts w:ascii="Verdana" w:hAnsi="Verdana"/>
          <w:b/>
          <w:iCs/>
          <w:sz w:val="16"/>
          <w:szCs w:val="16"/>
        </w:rPr>
        <w:t xml:space="preserve">w wyniku wprowadzenia do algorytmu podziału kwoty 8 mld zł czynnika „zamożności” i górnego limitu otrzymywanej kwoty, pierwotna kwota przynależna Warszawie w wysokości 893 mln zł ulega obniżeniu </w:t>
      </w:r>
      <w:r>
        <w:rPr>
          <w:rFonts w:ascii="Verdana" w:hAnsi="Verdana"/>
          <w:b/>
          <w:iCs/>
          <w:sz w:val="16"/>
          <w:szCs w:val="16"/>
        </w:rPr>
        <w:t>do 468 mln zł, tj. o 425 mln zł</w:t>
      </w:r>
      <w:r w:rsidRPr="00B66094">
        <w:rPr>
          <w:rFonts w:ascii="Verdana" w:hAnsi="Verdana"/>
          <w:iCs/>
          <w:sz w:val="16"/>
          <w:szCs w:val="16"/>
        </w:rPr>
        <w:t>.</w:t>
      </w:r>
      <w:r w:rsidRPr="00E600B6">
        <w:rPr>
          <w:rFonts w:ascii="Verdana" w:hAnsi="Verdana"/>
          <w:iCs/>
          <w:sz w:val="16"/>
          <w:szCs w:val="16"/>
        </w:rPr>
        <w:t xml:space="preserve"> </w:t>
      </w:r>
    </w:p>
    <w:p w:rsidR="007F07DD" w:rsidRDefault="007F07DD" w:rsidP="007F07DD">
      <w:pPr>
        <w:spacing w:before="60" w:after="60"/>
        <w:jc w:val="both"/>
        <w:rPr>
          <w:rFonts w:ascii="Verdana" w:hAnsi="Verdana"/>
          <w:iCs/>
          <w:sz w:val="16"/>
          <w:szCs w:val="16"/>
        </w:rPr>
      </w:pPr>
      <w:r w:rsidRPr="00324667">
        <w:rPr>
          <w:rFonts w:ascii="Verdana" w:hAnsi="Verdana"/>
          <w:b/>
          <w:iCs/>
          <w:sz w:val="16"/>
          <w:szCs w:val="16"/>
        </w:rPr>
        <w:t>W ustawie przewidziano także wprowadzenie od 2023 r. części rozwojowej (inwestycyjnej) subwencji ogólnej dla gmin, powiatów i województw w wysokości 3–4 mld zł w kwotach zmiennych w latach.</w:t>
      </w:r>
      <w:r w:rsidRPr="00E600B6">
        <w:rPr>
          <w:rFonts w:ascii="Verdana" w:hAnsi="Verdana"/>
          <w:iCs/>
          <w:sz w:val="16"/>
          <w:szCs w:val="16"/>
        </w:rPr>
        <w:t xml:space="preserve"> </w:t>
      </w:r>
      <w:r w:rsidRPr="0043267F">
        <w:rPr>
          <w:rFonts w:ascii="Verdana" w:hAnsi="Verdana"/>
          <w:iCs/>
          <w:sz w:val="16"/>
          <w:szCs w:val="16"/>
        </w:rPr>
        <w:t xml:space="preserve">W ramach podziału środków z subwencji rozwojowej </w:t>
      </w:r>
      <w:r>
        <w:rPr>
          <w:rFonts w:ascii="Verdana" w:hAnsi="Verdana"/>
          <w:iCs/>
          <w:sz w:val="16"/>
          <w:szCs w:val="16"/>
        </w:rPr>
        <w:t>ustalono</w:t>
      </w:r>
      <w:r w:rsidRPr="0043267F">
        <w:rPr>
          <w:rFonts w:ascii="Verdana" w:hAnsi="Verdana"/>
          <w:iCs/>
          <w:sz w:val="16"/>
          <w:szCs w:val="16"/>
        </w:rPr>
        <w:t xml:space="preserve"> maksymalny pułap kwot możliwych do uzyskania. </w:t>
      </w:r>
      <w:r>
        <w:rPr>
          <w:rFonts w:ascii="Verdana" w:hAnsi="Verdana"/>
          <w:iCs/>
          <w:sz w:val="16"/>
          <w:szCs w:val="16"/>
        </w:rPr>
        <w:t>Limit ten</w:t>
      </w:r>
      <w:r w:rsidRPr="00E600B6">
        <w:rPr>
          <w:rFonts w:ascii="Verdana" w:hAnsi="Verdana"/>
          <w:iCs/>
          <w:sz w:val="16"/>
          <w:szCs w:val="16"/>
        </w:rPr>
        <w:t xml:space="preserve"> dla gmin wyniesie 3% łącznej kwoty 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 xml:space="preserve">Partycypacja w pozostałych 40%, określanych mianem premii aktywizującej i premii inwestycyjnej, uwarunkowana jest osiągnięciem przez daną JST ponadprzeciętnej dynamiki rok do roku wydatków majątkowych </w:t>
      </w:r>
      <w:r>
        <w:rPr>
          <w:rFonts w:ascii="Verdana" w:hAnsi="Verdana"/>
          <w:iCs/>
          <w:sz w:val="16"/>
          <w:szCs w:val="16"/>
        </w:rPr>
        <w:t xml:space="preserve">w przeliczeniu na jednego mieszkańca </w:t>
      </w:r>
      <w:r w:rsidRPr="00E600B6">
        <w:rPr>
          <w:rFonts w:ascii="Verdana" w:hAnsi="Verdana"/>
          <w:iCs/>
          <w:sz w:val="16"/>
          <w:szCs w:val="16"/>
        </w:rPr>
        <w:t xml:space="preserve">lub przewyższającego średnią poziomu wydatków </w:t>
      </w:r>
      <w:r>
        <w:rPr>
          <w:rFonts w:ascii="Verdana" w:hAnsi="Verdana"/>
          <w:iCs/>
          <w:sz w:val="16"/>
          <w:szCs w:val="16"/>
        </w:rPr>
        <w:t>majątkowych</w:t>
      </w:r>
      <w:r w:rsidRPr="00E600B6">
        <w:rPr>
          <w:rFonts w:ascii="Verdana" w:hAnsi="Verdana"/>
          <w:iCs/>
          <w:sz w:val="16"/>
          <w:szCs w:val="16"/>
        </w:rPr>
        <w:t xml:space="preserve"> w przeliczeniu na jednego mieszkańca, gdzie punktem odniesienia są wyniki ogółem dla gmin i powiatów.</w:t>
      </w:r>
    </w:p>
    <w:p w:rsidR="007F07DD" w:rsidRDefault="007F07DD" w:rsidP="007F07DD">
      <w:pPr>
        <w:spacing w:before="60" w:after="60"/>
        <w:jc w:val="both"/>
        <w:rPr>
          <w:rFonts w:ascii="Verdana" w:hAnsi="Verdana" w:cs="Arial"/>
          <w:sz w:val="16"/>
          <w:szCs w:val="16"/>
        </w:rPr>
      </w:pPr>
    </w:p>
    <w:p w:rsidR="007F07DD" w:rsidRDefault="007F07DD" w:rsidP="007F07DD">
      <w:pPr>
        <w:spacing w:before="60" w:after="60"/>
        <w:jc w:val="both"/>
        <w:rPr>
          <w:rFonts w:ascii="Verdana" w:hAnsi="Verdana" w:cs="Arial"/>
          <w:sz w:val="16"/>
          <w:szCs w:val="16"/>
        </w:rPr>
      </w:pPr>
    </w:p>
    <w:p w:rsidR="007F07DD" w:rsidRPr="00C91956" w:rsidRDefault="007F07DD" w:rsidP="007F07DD">
      <w:pPr>
        <w:spacing w:before="60" w:after="240"/>
        <w:jc w:val="both"/>
        <w:rPr>
          <w:rFonts w:ascii="Verdana" w:hAnsi="Verdana" w:cs="Arial"/>
          <w:sz w:val="16"/>
          <w:szCs w:val="16"/>
        </w:rPr>
      </w:pPr>
      <w:r>
        <w:rPr>
          <w:rFonts w:ascii="Verdana" w:hAnsi="Verdana" w:cs="Arial"/>
          <w:sz w:val="16"/>
          <w:szCs w:val="16"/>
        </w:rPr>
        <w:lastRenderedPageBreak/>
        <w:t xml:space="preserve">Podsumowując, w 2021 r. jednostki samorządu terytorialnego na poczet 2022 r. otrzymają dodatkowe środki </w:t>
      </w:r>
      <w:r>
        <w:rPr>
          <w:rFonts w:ascii="Verdana" w:hAnsi="Verdana" w:cs="Arial"/>
          <w:sz w:val="16"/>
          <w:szCs w:val="16"/>
        </w:rPr>
        <w:br/>
        <w:t xml:space="preserve">w formie subwencji w kwocie </w:t>
      </w:r>
      <w:r w:rsidRPr="00525B9A">
        <w:rPr>
          <w:rFonts w:ascii="Verdana" w:hAnsi="Verdana" w:cs="Arial"/>
          <w:b/>
          <w:sz w:val="16"/>
          <w:szCs w:val="16"/>
        </w:rPr>
        <w:t>8 mld zł</w:t>
      </w:r>
      <w:r>
        <w:rPr>
          <w:rFonts w:ascii="Verdana" w:hAnsi="Verdana" w:cs="Arial"/>
          <w:sz w:val="16"/>
          <w:szCs w:val="16"/>
        </w:rPr>
        <w:t xml:space="preserve"> przy stracie dochodów z udziału w PIT w 2022 r. szacowanej w Ocenach Skutków Regulacji ustawy z 29.10.2021 r. na kwotę </w:t>
      </w:r>
      <w:r w:rsidRPr="00525B9A">
        <w:rPr>
          <w:rFonts w:ascii="Verdana" w:hAnsi="Verdana" w:cs="Arial"/>
          <w:b/>
          <w:sz w:val="16"/>
          <w:szCs w:val="16"/>
        </w:rPr>
        <w:t>13,5-15,4 mld zł</w:t>
      </w:r>
      <w:r>
        <w:rPr>
          <w:rFonts w:ascii="Verdana" w:hAnsi="Verdana" w:cs="Arial"/>
          <w:sz w:val="16"/>
          <w:szCs w:val="16"/>
        </w:rPr>
        <w:t xml:space="preserve">. W przypadku m.st. Warszawy dodatkowa kwota subwencji wyniesie </w:t>
      </w:r>
      <w:r w:rsidRPr="00525B9A">
        <w:rPr>
          <w:rFonts w:ascii="Verdana" w:hAnsi="Verdana" w:cs="Arial"/>
          <w:b/>
          <w:sz w:val="16"/>
          <w:szCs w:val="16"/>
        </w:rPr>
        <w:t>468 mln zł</w:t>
      </w:r>
      <w:r>
        <w:rPr>
          <w:rFonts w:ascii="Verdana" w:hAnsi="Verdana" w:cs="Arial"/>
          <w:sz w:val="16"/>
          <w:szCs w:val="16"/>
        </w:rPr>
        <w:t xml:space="preserve"> wobec ubytku dochodów szacowanego na </w:t>
      </w:r>
      <w:r w:rsidRPr="00525B9A">
        <w:rPr>
          <w:rFonts w:ascii="Verdana" w:hAnsi="Verdana" w:cs="Arial"/>
          <w:b/>
          <w:sz w:val="16"/>
          <w:szCs w:val="16"/>
        </w:rPr>
        <w:t>1,416 mld zł</w:t>
      </w:r>
      <w:r>
        <w:rPr>
          <w:rFonts w:ascii="Verdana" w:hAnsi="Verdana" w:cs="Arial"/>
          <w:sz w:val="16"/>
          <w:szCs w:val="16"/>
        </w:rPr>
        <w:t xml:space="preserve">. Począwszy od 2023 r. wprowadzona zostanie nowa subwencja rozwojowa na poziomie </w:t>
      </w:r>
      <w:r w:rsidRPr="00525B9A">
        <w:rPr>
          <w:rFonts w:ascii="Verdana" w:hAnsi="Verdana" w:cs="Arial"/>
          <w:b/>
          <w:sz w:val="16"/>
          <w:szCs w:val="16"/>
        </w:rPr>
        <w:t>3-4 mld zł rocznie</w:t>
      </w:r>
      <w:r>
        <w:rPr>
          <w:rFonts w:ascii="Verdana" w:hAnsi="Verdana" w:cs="Arial"/>
          <w:sz w:val="16"/>
          <w:szCs w:val="16"/>
        </w:rPr>
        <w:t xml:space="preserve"> dla wszystkich JST, w tym m.st. Warszawa może liczyć na ok. </w:t>
      </w:r>
      <w:r w:rsidRPr="00525B9A">
        <w:rPr>
          <w:rFonts w:ascii="Verdana" w:hAnsi="Verdana" w:cs="Arial"/>
          <w:b/>
          <w:sz w:val="16"/>
          <w:szCs w:val="16"/>
        </w:rPr>
        <w:t>40 mln zł</w:t>
      </w:r>
      <w:r>
        <w:rPr>
          <w:rFonts w:ascii="Verdana" w:hAnsi="Verdana" w:cs="Arial"/>
          <w:sz w:val="16"/>
          <w:szCs w:val="16"/>
        </w:rPr>
        <w:t xml:space="preserve"> rocznie pochodzących z części podstawowej subwencji rozwojowej. Łącznie w okresie 10 lat (lata 2022-2031) dla jednostek samorządu terytorialnego przewidziano dodatkową kwotę subwencji wynoszącą </w:t>
      </w:r>
      <w:r w:rsidRPr="00525B9A">
        <w:rPr>
          <w:rFonts w:ascii="Verdana" w:hAnsi="Verdana" w:cs="Arial"/>
          <w:b/>
          <w:sz w:val="16"/>
          <w:szCs w:val="16"/>
        </w:rPr>
        <w:t>35 mld zł</w:t>
      </w:r>
      <w:r>
        <w:rPr>
          <w:rFonts w:ascii="Verdana" w:hAnsi="Verdana" w:cs="Arial"/>
          <w:sz w:val="16"/>
          <w:szCs w:val="16"/>
        </w:rPr>
        <w:t xml:space="preserve"> przy ubytku dochodów z udziału w PIT na poziomie </w:t>
      </w:r>
      <w:r>
        <w:rPr>
          <w:rFonts w:ascii="Verdana" w:hAnsi="Verdana" w:cs="Arial"/>
          <w:sz w:val="16"/>
          <w:szCs w:val="16"/>
        </w:rPr>
        <w:br/>
      </w:r>
      <w:r w:rsidRPr="00525B9A">
        <w:rPr>
          <w:rFonts w:ascii="Verdana" w:hAnsi="Verdana" w:cs="Arial"/>
          <w:b/>
          <w:sz w:val="16"/>
          <w:szCs w:val="16"/>
        </w:rPr>
        <w:t>125-145 mld zł</w:t>
      </w:r>
      <w:r>
        <w:rPr>
          <w:rFonts w:ascii="Verdana" w:hAnsi="Verdana" w:cs="Arial"/>
          <w:sz w:val="16"/>
          <w:szCs w:val="16"/>
        </w:rPr>
        <w:t xml:space="preserve">, a w przypadku m.st. Warszawy łączna kwota dodatkowych subwencji na przestrzeni 10 lat szacowana jest na </w:t>
      </w:r>
      <w:r w:rsidRPr="00C91956">
        <w:rPr>
          <w:rFonts w:ascii="Verdana" w:hAnsi="Verdana" w:cs="Arial"/>
          <w:b/>
          <w:sz w:val="16"/>
          <w:szCs w:val="16"/>
        </w:rPr>
        <w:t>828 mln zł</w:t>
      </w:r>
      <w:r>
        <w:rPr>
          <w:rFonts w:ascii="Verdana" w:hAnsi="Verdana" w:cs="Arial"/>
          <w:sz w:val="16"/>
          <w:szCs w:val="16"/>
        </w:rPr>
        <w:t xml:space="preserve"> wobec ubytku dochodów z udziału w PIT na poziomie </w:t>
      </w:r>
      <w:r>
        <w:rPr>
          <w:rFonts w:ascii="Verdana" w:hAnsi="Verdana" w:cs="Arial"/>
          <w:b/>
          <w:sz w:val="16"/>
          <w:szCs w:val="16"/>
        </w:rPr>
        <w:t>14,2</w:t>
      </w:r>
      <w:r w:rsidRPr="00525B9A">
        <w:rPr>
          <w:rFonts w:ascii="Verdana" w:hAnsi="Verdana" w:cs="Arial"/>
          <w:b/>
          <w:sz w:val="16"/>
          <w:szCs w:val="16"/>
        </w:rPr>
        <w:t xml:space="preserve"> mld zł</w:t>
      </w:r>
      <w:r>
        <w:rPr>
          <w:rFonts w:ascii="Verdana" w:hAnsi="Verdana" w:cs="Arial"/>
          <w:sz w:val="16"/>
          <w:szCs w:val="16"/>
        </w:rPr>
        <w:t>.</w:t>
      </w:r>
    </w:p>
    <w:p w:rsidR="007F07DD" w:rsidRDefault="007F07DD" w:rsidP="007F07DD">
      <w:pPr>
        <w:spacing w:before="120" w:after="60"/>
        <w:jc w:val="both"/>
        <w:rPr>
          <w:rFonts w:ascii="Verdana" w:hAnsi="Verdana" w:cs="Arial"/>
          <w:sz w:val="16"/>
          <w:szCs w:val="16"/>
        </w:rPr>
      </w:pPr>
      <w:r>
        <w:rPr>
          <w:rFonts w:ascii="Verdana" w:hAnsi="Verdana" w:cs="Arial"/>
          <w:noProof/>
          <w:sz w:val="16"/>
          <w:szCs w:val="16"/>
        </w:rPr>
        <mc:AlternateContent>
          <mc:Choice Requires="wps">
            <w:drawing>
              <wp:anchor distT="0" distB="0" distL="114300" distR="114300" simplePos="0" relativeHeight="251705344" behindDoc="0" locked="0" layoutInCell="1" allowOverlap="1" wp14:anchorId="362BAA01" wp14:editId="4425C340">
                <wp:simplePos x="0" y="0"/>
                <wp:positionH relativeFrom="column">
                  <wp:posOffset>10160</wp:posOffset>
                </wp:positionH>
                <wp:positionV relativeFrom="paragraph">
                  <wp:posOffset>57785</wp:posOffset>
                </wp:positionV>
                <wp:extent cx="5715000" cy="1579418"/>
                <wp:effectExtent l="0" t="0" r="19050" b="20955"/>
                <wp:wrapNone/>
                <wp:docPr id="11" name="Pole tekstowe 11"/>
                <wp:cNvGraphicFramePr/>
                <a:graphic xmlns:a="http://schemas.openxmlformats.org/drawingml/2006/main">
                  <a:graphicData uri="http://schemas.microsoft.com/office/word/2010/wordprocessingShape">
                    <wps:wsp>
                      <wps:cNvSpPr txBox="1"/>
                      <wps:spPr>
                        <a:xfrm>
                          <a:off x="0" y="0"/>
                          <a:ext cx="5715000" cy="1579418"/>
                        </a:xfrm>
                        <a:prstGeom prst="rect">
                          <a:avLst/>
                        </a:prstGeom>
                        <a:solidFill>
                          <a:schemeClr val="lt1"/>
                        </a:solidFill>
                        <a:ln w="15875">
                          <a:solidFill>
                            <a:prstClr val="black"/>
                          </a:solidFill>
                        </a:ln>
                      </wps:spPr>
                      <wps:txbx>
                        <w:txbxContent>
                          <w:p w:rsidR="0043105E" w:rsidRPr="0043267F" w:rsidRDefault="0043105E" w:rsidP="007F07DD">
                            <w:pPr>
                              <w:spacing w:before="120" w:after="120"/>
                              <w:jc w:val="center"/>
                              <w:rPr>
                                <w:rFonts w:ascii="Verdana" w:hAnsi="Verdana"/>
                                <w:b/>
                                <w:sz w:val="16"/>
                                <w:szCs w:val="16"/>
                              </w:rPr>
                            </w:pPr>
                            <w:r w:rsidRPr="0043267F">
                              <w:rPr>
                                <w:rFonts w:ascii="Verdana" w:hAnsi="Verdana"/>
                                <w:b/>
                                <w:sz w:val="16"/>
                                <w:szCs w:val="16"/>
                              </w:rPr>
                              <w:t xml:space="preserve">Kwoty rekompensat ubytku dochodów JST z </w:t>
                            </w:r>
                            <w:r>
                              <w:rPr>
                                <w:rFonts w:ascii="Verdana" w:hAnsi="Verdana"/>
                                <w:b/>
                                <w:sz w:val="16"/>
                                <w:szCs w:val="16"/>
                              </w:rPr>
                              <w:t xml:space="preserve">udziału w </w:t>
                            </w:r>
                            <w:r w:rsidRPr="0043267F">
                              <w:rPr>
                                <w:rFonts w:ascii="Verdana" w:hAnsi="Verdana"/>
                                <w:b/>
                                <w:sz w:val="16"/>
                                <w:szCs w:val="16"/>
                              </w:rPr>
                              <w:t xml:space="preserve">PIT przewidziane </w:t>
                            </w:r>
                            <w:r w:rsidRPr="0043267F">
                              <w:rPr>
                                <w:rFonts w:ascii="Verdana" w:hAnsi="Verdana"/>
                                <w:b/>
                                <w:sz w:val="16"/>
                                <w:szCs w:val="16"/>
                              </w:rPr>
                              <w:br/>
                              <w:t>w rządowym Programie Polski Ład</w:t>
                            </w:r>
                          </w:p>
                          <w:p w:rsidR="0043105E" w:rsidRDefault="0043105E" w:rsidP="007F07DD">
                            <w:pPr>
                              <w:jc w:val="center"/>
                              <w:rPr>
                                <w:rFonts w:ascii="Verdana" w:hAnsi="Verdana"/>
                                <w:sz w:val="16"/>
                                <w:szCs w:val="16"/>
                              </w:rPr>
                            </w:pPr>
                            <w:r>
                              <w:rPr>
                                <w:rFonts w:ascii="Verdana" w:hAnsi="Verdana"/>
                                <w:sz w:val="16"/>
                                <w:szCs w:val="16"/>
                              </w:rPr>
                              <w:t xml:space="preserve">                                                 W 2022 r.               Łącznie w okresie najbliższych 10 lat, tj. 2022-2031</w:t>
                            </w:r>
                          </w:p>
                          <w:p w:rsidR="0043105E" w:rsidRPr="0010367A" w:rsidRDefault="0043105E" w:rsidP="007F07DD">
                            <w:pPr>
                              <w:rPr>
                                <w:rFonts w:ascii="Verdana" w:hAnsi="Verdana"/>
                                <w:sz w:val="20"/>
                                <w:szCs w:val="20"/>
                              </w:rPr>
                            </w:pPr>
                            <w:r>
                              <w:rPr>
                                <w:rFonts w:ascii="Verdana" w:hAnsi="Verdana"/>
                                <w:b/>
                                <w:sz w:val="20"/>
                                <w:szCs w:val="20"/>
                              </w:rPr>
                              <w:t xml:space="preserve">  </w:t>
                            </w:r>
                            <w:r w:rsidRPr="00992901">
                              <w:rPr>
                                <w:rFonts w:ascii="Verdana" w:hAnsi="Verdana"/>
                                <w:sz w:val="16"/>
                                <w:szCs w:val="16"/>
                              </w:rPr>
                              <w:t>JST ogółem</w:t>
                            </w:r>
                            <w:r w:rsidRPr="00992901">
                              <w:rPr>
                                <w:rFonts w:ascii="Verdana" w:hAnsi="Verdana"/>
                                <w:b/>
                                <w:sz w:val="16"/>
                                <w:szCs w:val="16"/>
                              </w:rPr>
                              <w:t xml:space="preserve"> </w:t>
                            </w:r>
                            <w:r>
                              <w:rPr>
                                <w:rFonts w:ascii="Verdana" w:hAnsi="Verdana"/>
                                <w:b/>
                                <w:sz w:val="20"/>
                                <w:szCs w:val="20"/>
                              </w:rPr>
                              <w:t xml:space="preserve">                     </w:t>
                            </w:r>
                            <w:r w:rsidRPr="007A13EE">
                              <w:rPr>
                                <w:rFonts w:ascii="Verdana" w:hAnsi="Verdana"/>
                                <w:b/>
                                <w:color w:val="C00000"/>
                                <w:sz w:val="20"/>
                                <w:szCs w:val="20"/>
                              </w:rPr>
                              <w:t xml:space="preserve">8 </w:t>
                            </w:r>
                            <w:r w:rsidRPr="007A13EE">
                              <w:rPr>
                                <w:rFonts w:ascii="Verdana" w:hAnsi="Verdana"/>
                                <w:b/>
                                <w:color w:val="C00000"/>
                                <w:sz w:val="16"/>
                                <w:szCs w:val="16"/>
                              </w:rPr>
                              <w:t>mld zł</w:t>
                            </w:r>
                            <w:r w:rsidRPr="007A13EE">
                              <w:rPr>
                                <w:rFonts w:ascii="Verdana" w:hAnsi="Verdana"/>
                                <w:b/>
                                <w:color w:val="C00000"/>
                                <w:sz w:val="20"/>
                                <w:szCs w:val="20"/>
                              </w:rPr>
                              <w:t xml:space="preserve"> </w:t>
                            </w:r>
                            <w:r w:rsidRPr="0010367A">
                              <w:rPr>
                                <w:rFonts w:ascii="Verdana" w:hAnsi="Verdana"/>
                                <w:sz w:val="20"/>
                                <w:szCs w:val="20"/>
                              </w:rPr>
                              <w:t>(52</w:t>
                            </w:r>
                            <w:r>
                              <w:rPr>
                                <w:rFonts w:ascii="Verdana" w:hAnsi="Verdana"/>
                                <w:sz w:val="20"/>
                                <w:szCs w:val="20"/>
                              </w:rPr>
                              <w:t>-59</w:t>
                            </w:r>
                            <w:r w:rsidRPr="0010367A">
                              <w:rPr>
                                <w:rFonts w:ascii="Verdana" w:hAnsi="Verdana"/>
                                <w:sz w:val="20"/>
                                <w:szCs w:val="20"/>
                              </w:rPr>
                              <w:t>%)</w:t>
                            </w:r>
                            <w:r>
                              <w:rPr>
                                <w:rFonts w:ascii="Verdana" w:hAnsi="Verdana"/>
                                <w:sz w:val="20"/>
                                <w:szCs w:val="20"/>
                              </w:rPr>
                              <w:t>*</w:t>
                            </w:r>
                            <w:r>
                              <w:rPr>
                                <w:rFonts w:ascii="Verdana" w:hAnsi="Verdana"/>
                                <w:b/>
                                <w:sz w:val="20"/>
                                <w:szCs w:val="20"/>
                              </w:rPr>
                              <w:t xml:space="preserve">                 </w:t>
                            </w:r>
                            <w:r w:rsidRPr="007A13EE">
                              <w:rPr>
                                <w:rFonts w:ascii="Verdana" w:hAnsi="Verdana"/>
                                <w:b/>
                                <w:color w:val="C00000"/>
                                <w:sz w:val="20"/>
                                <w:szCs w:val="20"/>
                              </w:rPr>
                              <w:t xml:space="preserve">35 </w:t>
                            </w:r>
                            <w:r w:rsidRPr="007A13EE">
                              <w:rPr>
                                <w:rFonts w:ascii="Verdana" w:hAnsi="Verdana"/>
                                <w:b/>
                                <w:color w:val="C00000"/>
                                <w:sz w:val="16"/>
                                <w:szCs w:val="16"/>
                              </w:rPr>
                              <w:t xml:space="preserve">mld zł </w:t>
                            </w:r>
                            <w:r>
                              <w:rPr>
                                <w:rFonts w:ascii="Verdana" w:hAnsi="Verdana"/>
                                <w:sz w:val="20"/>
                                <w:szCs w:val="20"/>
                              </w:rPr>
                              <w:t>(24-28%)*</w:t>
                            </w:r>
                          </w:p>
                          <w:p w:rsidR="0043105E" w:rsidRDefault="0043105E" w:rsidP="007F07DD">
                            <w:pPr>
                              <w:rPr>
                                <w:rFonts w:ascii="Verdana" w:hAnsi="Verdana"/>
                                <w:sz w:val="20"/>
                                <w:szCs w:val="20"/>
                              </w:rPr>
                            </w:pPr>
                            <w:r>
                              <w:rPr>
                                <w:rFonts w:ascii="Verdana" w:hAnsi="Verdana"/>
                                <w:sz w:val="16"/>
                                <w:szCs w:val="16"/>
                              </w:rPr>
                              <w:t xml:space="preserve">   w tym m.st. Warszawa     </w:t>
                            </w:r>
                            <w:r w:rsidRPr="007A13EE">
                              <w:rPr>
                                <w:rFonts w:ascii="Verdana" w:hAnsi="Verdana"/>
                                <w:b/>
                                <w:color w:val="C00000"/>
                                <w:sz w:val="20"/>
                                <w:szCs w:val="20"/>
                              </w:rPr>
                              <w:t xml:space="preserve">468 </w:t>
                            </w:r>
                            <w:r w:rsidRPr="007A13EE">
                              <w:rPr>
                                <w:rFonts w:ascii="Verdana" w:hAnsi="Verdana"/>
                                <w:b/>
                                <w:color w:val="C00000"/>
                                <w:sz w:val="16"/>
                                <w:szCs w:val="16"/>
                              </w:rPr>
                              <w:t>mln zł</w:t>
                            </w:r>
                            <w:r w:rsidRPr="007A13EE">
                              <w:rPr>
                                <w:rFonts w:ascii="Verdana" w:hAnsi="Verdana"/>
                                <w:b/>
                                <w:color w:val="C00000"/>
                                <w:sz w:val="20"/>
                                <w:szCs w:val="20"/>
                              </w:rPr>
                              <w:t xml:space="preserve"> </w:t>
                            </w:r>
                            <w:r w:rsidRPr="0010367A">
                              <w:rPr>
                                <w:rFonts w:ascii="Verdana" w:hAnsi="Verdana"/>
                                <w:sz w:val="20"/>
                                <w:szCs w:val="20"/>
                              </w:rPr>
                              <w:t>(</w:t>
                            </w:r>
                            <w:r>
                              <w:rPr>
                                <w:rFonts w:ascii="Verdana" w:hAnsi="Verdana"/>
                                <w:sz w:val="20"/>
                                <w:szCs w:val="20"/>
                              </w:rPr>
                              <w:t>33</w:t>
                            </w:r>
                            <w:r w:rsidRPr="0010367A">
                              <w:rPr>
                                <w:rFonts w:ascii="Verdana" w:hAnsi="Verdana"/>
                                <w:sz w:val="20"/>
                                <w:szCs w:val="20"/>
                              </w:rPr>
                              <w:t>%)</w:t>
                            </w:r>
                            <w:r>
                              <w:rPr>
                                <w:rFonts w:ascii="Verdana" w:hAnsi="Verdana"/>
                                <w:sz w:val="20"/>
                                <w:szCs w:val="20"/>
                              </w:rPr>
                              <w:t>*</w:t>
                            </w:r>
                            <w:r>
                              <w:rPr>
                                <w:rFonts w:ascii="Verdana" w:hAnsi="Verdana"/>
                                <w:b/>
                                <w:sz w:val="20"/>
                                <w:szCs w:val="20"/>
                              </w:rPr>
                              <w:t xml:space="preserve">                   </w:t>
                            </w:r>
                            <w:r w:rsidRPr="007A13EE">
                              <w:rPr>
                                <w:rFonts w:ascii="Verdana" w:hAnsi="Verdana"/>
                                <w:b/>
                                <w:color w:val="C00000"/>
                                <w:sz w:val="20"/>
                                <w:szCs w:val="20"/>
                              </w:rPr>
                              <w:t xml:space="preserve">828 </w:t>
                            </w:r>
                            <w:r w:rsidRPr="007A13EE">
                              <w:rPr>
                                <w:rFonts w:ascii="Verdana" w:hAnsi="Verdana"/>
                                <w:b/>
                                <w:color w:val="C00000"/>
                                <w:sz w:val="16"/>
                                <w:szCs w:val="16"/>
                              </w:rPr>
                              <w:t xml:space="preserve">mln zł  </w:t>
                            </w:r>
                            <w:r w:rsidRPr="0010367A">
                              <w:rPr>
                                <w:rFonts w:ascii="Verdana" w:hAnsi="Verdana"/>
                                <w:sz w:val="20"/>
                                <w:szCs w:val="20"/>
                              </w:rPr>
                              <w:t>(</w:t>
                            </w:r>
                            <w:r>
                              <w:rPr>
                                <w:rFonts w:ascii="Verdana" w:hAnsi="Verdana"/>
                                <w:sz w:val="20"/>
                                <w:szCs w:val="20"/>
                              </w:rPr>
                              <w:t>5,8</w:t>
                            </w:r>
                            <w:r w:rsidRPr="0010367A">
                              <w:rPr>
                                <w:rFonts w:ascii="Verdana" w:hAnsi="Verdana"/>
                                <w:sz w:val="20"/>
                                <w:szCs w:val="20"/>
                              </w:rPr>
                              <w:t>%)</w:t>
                            </w:r>
                            <w:r>
                              <w:rPr>
                                <w:rFonts w:ascii="Verdana" w:hAnsi="Verdana"/>
                                <w:sz w:val="20"/>
                                <w:szCs w:val="20"/>
                              </w:rPr>
                              <w:t>*</w:t>
                            </w:r>
                          </w:p>
                          <w:p w:rsidR="0043105E" w:rsidRPr="00742AD8" w:rsidRDefault="0043105E" w:rsidP="007F07DD">
                            <w:pPr>
                              <w:spacing w:before="120"/>
                              <w:rPr>
                                <w:rFonts w:ascii="Verdana" w:hAnsi="Verdana"/>
                                <w:b/>
                                <w:sz w:val="14"/>
                                <w:szCs w:val="14"/>
                              </w:rPr>
                            </w:pPr>
                            <w:r w:rsidRPr="00742AD8">
                              <w:rPr>
                                <w:rFonts w:ascii="Verdana" w:hAnsi="Verdana"/>
                                <w:sz w:val="16"/>
                                <w:szCs w:val="16"/>
                              </w:rPr>
                              <w:t xml:space="preserve">* </w:t>
                            </w:r>
                            <w:r w:rsidRPr="00742AD8">
                              <w:rPr>
                                <w:rFonts w:ascii="Verdana" w:hAnsi="Verdana"/>
                                <w:sz w:val="14"/>
                                <w:szCs w:val="14"/>
                              </w:rPr>
                              <w:t>Kwoty rekompen</w:t>
                            </w:r>
                            <w:r>
                              <w:rPr>
                                <w:rFonts w:ascii="Verdana" w:hAnsi="Verdana"/>
                                <w:sz w:val="14"/>
                                <w:szCs w:val="14"/>
                              </w:rPr>
                              <w:t>sat w relacji do kwot ubytków</w:t>
                            </w:r>
                            <w:r w:rsidRPr="00742AD8">
                              <w:rPr>
                                <w:rFonts w:ascii="Verdana" w:hAnsi="Verdana"/>
                                <w:sz w:val="14"/>
                                <w:szCs w:val="14"/>
                              </w:rPr>
                              <w:t xml:space="preserve"> dochodów z 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AA01" id="Pole tekstowe 11" o:spid="_x0000_s1027" type="#_x0000_t202" style="position:absolute;left:0;text-align:left;margin-left:.8pt;margin-top:4.55pt;width:450pt;height:12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" fillcolor="white [3201]" strokeweight="1.25pt">
                <v:textbox>
                  <w:txbxContent>
                    <w:p w:rsidR="0043105E" w:rsidRPr="0043267F" w:rsidRDefault="0043105E" w:rsidP="007F07DD">
                      <w:pPr>
                        <w:spacing w:before="120" w:after="120"/>
                        <w:jc w:val="center"/>
                        <w:rPr>
                          <w:rFonts w:ascii="Verdana" w:hAnsi="Verdana"/>
                          <w:b/>
                          <w:sz w:val="16"/>
                          <w:szCs w:val="16"/>
                        </w:rPr>
                      </w:pPr>
                      <w:r w:rsidRPr="0043267F">
                        <w:rPr>
                          <w:rFonts w:ascii="Verdana" w:hAnsi="Verdana"/>
                          <w:b/>
                          <w:sz w:val="16"/>
                          <w:szCs w:val="16"/>
                        </w:rPr>
                        <w:t xml:space="preserve">Kwoty rekompensat ubytku dochodów JST z </w:t>
                      </w:r>
                      <w:r>
                        <w:rPr>
                          <w:rFonts w:ascii="Verdana" w:hAnsi="Verdana"/>
                          <w:b/>
                          <w:sz w:val="16"/>
                          <w:szCs w:val="16"/>
                        </w:rPr>
                        <w:t xml:space="preserve">udziału w </w:t>
                      </w:r>
                      <w:r w:rsidRPr="0043267F">
                        <w:rPr>
                          <w:rFonts w:ascii="Verdana" w:hAnsi="Verdana"/>
                          <w:b/>
                          <w:sz w:val="16"/>
                          <w:szCs w:val="16"/>
                        </w:rPr>
                        <w:t xml:space="preserve">PIT przewidziane </w:t>
                      </w:r>
                      <w:r w:rsidRPr="0043267F">
                        <w:rPr>
                          <w:rFonts w:ascii="Verdana" w:hAnsi="Verdana"/>
                          <w:b/>
                          <w:sz w:val="16"/>
                          <w:szCs w:val="16"/>
                        </w:rPr>
                        <w:br/>
                        <w:t>w rządowym Programie Polski Ład</w:t>
                      </w:r>
                    </w:p>
                    <w:p w:rsidR="0043105E" w:rsidRDefault="0043105E" w:rsidP="007F07DD">
                      <w:pPr>
                        <w:jc w:val="center"/>
                        <w:rPr>
                          <w:rFonts w:ascii="Verdana" w:hAnsi="Verdana"/>
                          <w:sz w:val="16"/>
                          <w:szCs w:val="16"/>
                        </w:rPr>
                      </w:pPr>
                      <w:r>
                        <w:rPr>
                          <w:rFonts w:ascii="Verdana" w:hAnsi="Verdana"/>
                          <w:sz w:val="16"/>
                          <w:szCs w:val="16"/>
                        </w:rPr>
                        <w:t xml:space="preserve">                                                 W 2022 r.               Łącznie w okresie najbliższych 10 lat, tj. 2022-2031</w:t>
                      </w:r>
                    </w:p>
                    <w:p w:rsidR="0043105E" w:rsidRPr="0010367A" w:rsidRDefault="0043105E" w:rsidP="007F07DD">
                      <w:pPr>
                        <w:rPr>
                          <w:rFonts w:ascii="Verdana" w:hAnsi="Verdana"/>
                          <w:sz w:val="20"/>
                          <w:szCs w:val="20"/>
                        </w:rPr>
                      </w:pPr>
                      <w:r>
                        <w:rPr>
                          <w:rFonts w:ascii="Verdana" w:hAnsi="Verdana"/>
                          <w:b/>
                          <w:sz w:val="20"/>
                          <w:szCs w:val="20"/>
                        </w:rPr>
                        <w:t xml:space="preserve">  </w:t>
                      </w:r>
                      <w:r w:rsidRPr="00992901">
                        <w:rPr>
                          <w:rFonts w:ascii="Verdana" w:hAnsi="Verdana"/>
                          <w:sz w:val="16"/>
                          <w:szCs w:val="16"/>
                        </w:rPr>
                        <w:t>JST ogółem</w:t>
                      </w:r>
                      <w:r w:rsidRPr="00992901">
                        <w:rPr>
                          <w:rFonts w:ascii="Verdana" w:hAnsi="Verdana"/>
                          <w:b/>
                          <w:sz w:val="16"/>
                          <w:szCs w:val="16"/>
                        </w:rPr>
                        <w:t xml:space="preserve"> </w:t>
                      </w:r>
                      <w:r>
                        <w:rPr>
                          <w:rFonts w:ascii="Verdana" w:hAnsi="Verdana"/>
                          <w:b/>
                          <w:sz w:val="20"/>
                          <w:szCs w:val="20"/>
                        </w:rPr>
                        <w:t xml:space="preserve">                     </w:t>
                      </w:r>
                      <w:r w:rsidRPr="007A13EE">
                        <w:rPr>
                          <w:rFonts w:ascii="Verdana" w:hAnsi="Verdana"/>
                          <w:b/>
                          <w:color w:val="C00000"/>
                          <w:sz w:val="20"/>
                          <w:szCs w:val="20"/>
                        </w:rPr>
                        <w:t xml:space="preserve">8 </w:t>
                      </w:r>
                      <w:r w:rsidRPr="007A13EE">
                        <w:rPr>
                          <w:rFonts w:ascii="Verdana" w:hAnsi="Verdana"/>
                          <w:b/>
                          <w:color w:val="C00000"/>
                          <w:sz w:val="16"/>
                          <w:szCs w:val="16"/>
                        </w:rPr>
                        <w:t>mld zł</w:t>
                      </w:r>
                      <w:r w:rsidRPr="007A13EE">
                        <w:rPr>
                          <w:rFonts w:ascii="Verdana" w:hAnsi="Verdana"/>
                          <w:b/>
                          <w:color w:val="C00000"/>
                          <w:sz w:val="20"/>
                          <w:szCs w:val="20"/>
                        </w:rPr>
                        <w:t xml:space="preserve"> </w:t>
                      </w:r>
                      <w:r w:rsidRPr="0010367A">
                        <w:rPr>
                          <w:rFonts w:ascii="Verdana" w:hAnsi="Verdana"/>
                          <w:sz w:val="20"/>
                          <w:szCs w:val="20"/>
                        </w:rPr>
                        <w:t>(52</w:t>
                      </w:r>
                      <w:r>
                        <w:rPr>
                          <w:rFonts w:ascii="Verdana" w:hAnsi="Verdana"/>
                          <w:sz w:val="20"/>
                          <w:szCs w:val="20"/>
                        </w:rPr>
                        <w:t>-59</w:t>
                      </w:r>
                      <w:r w:rsidRPr="0010367A">
                        <w:rPr>
                          <w:rFonts w:ascii="Verdana" w:hAnsi="Verdana"/>
                          <w:sz w:val="20"/>
                          <w:szCs w:val="20"/>
                        </w:rPr>
                        <w:t>%)</w:t>
                      </w:r>
                      <w:r>
                        <w:rPr>
                          <w:rFonts w:ascii="Verdana" w:hAnsi="Verdana"/>
                          <w:sz w:val="20"/>
                          <w:szCs w:val="20"/>
                        </w:rPr>
                        <w:t>*</w:t>
                      </w:r>
                      <w:r>
                        <w:rPr>
                          <w:rFonts w:ascii="Verdana" w:hAnsi="Verdana"/>
                          <w:b/>
                          <w:sz w:val="20"/>
                          <w:szCs w:val="20"/>
                        </w:rPr>
                        <w:t xml:space="preserve">                 </w:t>
                      </w:r>
                      <w:r w:rsidRPr="007A13EE">
                        <w:rPr>
                          <w:rFonts w:ascii="Verdana" w:hAnsi="Verdana"/>
                          <w:b/>
                          <w:color w:val="C00000"/>
                          <w:sz w:val="20"/>
                          <w:szCs w:val="20"/>
                        </w:rPr>
                        <w:t xml:space="preserve">35 </w:t>
                      </w:r>
                      <w:r w:rsidRPr="007A13EE">
                        <w:rPr>
                          <w:rFonts w:ascii="Verdana" w:hAnsi="Verdana"/>
                          <w:b/>
                          <w:color w:val="C00000"/>
                          <w:sz w:val="16"/>
                          <w:szCs w:val="16"/>
                        </w:rPr>
                        <w:t xml:space="preserve">mld zł </w:t>
                      </w:r>
                      <w:r>
                        <w:rPr>
                          <w:rFonts w:ascii="Verdana" w:hAnsi="Verdana"/>
                          <w:sz w:val="20"/>
                          <w:szCs w:val="20"/>
                        </w:rPr>
                        <w:t>(24-28%)*</w:t>
                      </w:r>
                    </w:p>
                    <w:p w:rsidR="0043105E" w:rsidRDefault="0043105E" w:rsidP="007F07DD">
                      <w:pPr>
                        <w:rPr>
                          <w:rFonts w:ascii="Verdana" w:hAnsi="Verdana"/>
                          <w:sz w:val="20"/>
                          <w:szCs w:val="20"/>
                        </w:rPr>
                      </w:pPr>
                      <w:r>
                        <w:rPr>
                          <w:rFonts w:ascii="Verdana" w:hAnsi="Verdana"/>
                          <w:sz w:val="16"/>
                          <w:szCs w:val="16"/>
                        </w:rPr>
                        <w:t xml:space="preserve">   w tym m.st. Warszawa     </w:t>
                      </w:r>
                      <w:r w:rsidRPr="007A13EE">
                        <w:rPr>
                          <w:rFonts w:ascii="Verdana" w:hAnsi="Verdana"/>
                          <w:b/>
                          <w:color w:val="C00000"/>
                          <w:sz w:val="20"/>
                          <w:szCs w:val="20"/>
                        </w:rPr>
                        <w:t xml:space="preserve">468 </w:t>
                      </w:r>
                      <w:r w:rsidRPr="007A13EE">
                        <w:rPr>
                          <w:rFonts w:ascii="Verdana" w:hAnsi="Verdana"/>
                          <w:b/>
                          <w:color w:val="C00000"/>
                          <w:sz w:val="16"/>
                          <w:szCs w:val="16"/>
                        </w:rPr>
                        <w:t>mln zł</w:t>
                      </w:r>
                      <w:r w:rsidRPr="007A13EE">
                        <w:rPr>
                          <w:rFonts w:ascii="Verdana" w:hAnsi="Verdana"/>
                          <w:b/>
                          <w:color w:val="C00000"/>
                          <w:sz w:val="20"/>
                          <w:szCs w:val="20"/>
                        </w:rPr>
                        <w:t xml:space="preserve"> </w:t>
                      </w:r>
                      <w:r w:rsidRPr="0010367A">
                        <w:rPr>
                          <w:rFonts w:ascii="Verdana" w:hAnsi="Verdana"/>
                          <w:sz w:val="20"/>
                          <w:szCs w:val="20"/>
                        </w:rPr>
                        <w:t>(</w:t>
                      </w:r>
                      <w:r>
                        <w:rPr>
                          <w:rFonts w:ascii="Verdana" w:hAnsi="Verdana"/>
                          <w:sz w:val="20"/>
                          <w:szCs w:val="20"/>
                        </w:rPr>
                        <w:t>33</w:t>
                      </w:r>
                      <w:r w:rsidRPr="0010367A">
                        <w:rPr>
                          <w:rFonts w:ascii="Verdana" w:hAnsi="Verdana"/>
                          <w:sz w:val="20"/>
                          <w:szCs w:val="20"/>
                        </w:rPr>
                        <w:t>%)</w:t>
                      </w:r>
                      <w:r>
                        <w:rPr>
                          <w:rFonts w:ascii="Verdana" w:hAnsi="Verdana"/>
                          <w:sz w:val="20"/>
                          <w:szCs w:val="20"/>
                        </w:rPr>
                        <w:t>*</w:t>
                      </w:r>
                      <w:r>
                        <w:rPr>
                          <w:rFonts w:ascii="Verdana" w:hAnsi="Verdana"/>
                          <w:b/>
                          <w:sz w:val="20"/>
                          <w:szCs w:val="20"/>
                        </w:rPr>
                        <w:t xml:space="preserve">                   </w:t>
                      </w:r>
                      <w:r w:rsidRPr="007A13EE">
                        <w:rPr>
                          <w:rFonts w:ascii="Verdana" w:hAnsi="Verdana"/>
                          <w:b/>
                          <w:color w:val="C00000"/>
                          <w:sz w:val="20"/>
                          <w:szCs w:val="20"/>
                        </w:rPr>
                        <w:t xml:space="preserve">828 </w:t>
                      </w:r>
                      <w:r w:rsidRPr="007A13EE">
                        <w:rPr>
                          <w:rFonts w:ascii="Verdana" w:hAnsi="Verdana"/>
                          <w:b/>
                          <w:color w:val="C00000"/>
                          <w:sz w:val="16"/>
                          <w:szCs w:val="16"/>
                        </w:rPr>
                        <w:t xml:space="preserve">mln zł  </w:t>
                      </w:r>
                      <w:r w:rsidRPr="0010367A">
                        <w:rPr>
                          <w:rFonts w:ascii="Verdana" w:hAnsi="Verdana"/>
                          <w:sz w:val="20"/>
                          <w:szCs w:val="20"/>
                        </w:rPr>
                        <w:t>(</w:t>
                      </w:r>
                      <w:r>
                        <w:rPr>
                          <w:rFonts w:ascii="Verdana" w:hAnsi="Verdana"/>
                          <w:sz w:val="20"/>
                          <w:szCs w:val="20"/>
                        </w:rPr>
                        <w:t>5,8</w:t>
                      </w:r>
                      <w:r w:rsidRPr="0010367A">
                        <w:rPr>
                          <w:rFonts w:ascii="Verdana" w:hAnsi="Verdana"/>
                          <w:sz w:val="20"/>
                          <w:szCs w:val="20"/>
                        </w:rPr>
                        <w:t>%)</w:t>
                      </w:r>
                      <w:r>
                        <w:rPr>
                          <w:rFonts w:ascii="Verdana" w:hAnsi="Verdana"/>
                          <w:sz w:val="20"/>
                          <w:szCs w:val="20"/>
                        </w:rPr>
                        <w:t>*</w:t>
                      </w:r>
                    </w:p>
                    <w:p w:rsidR="0043105E" w:rsidRPr="00742AD8" w:rsidRDefault="0043105E" w:rsidP="007F07DD">
                      <w:pPr>
                        <w:spacing w:before="120"/>
                        <w:rPr>
                          <w:rFonts w:ascii="Verdana" w:hAnsi="Verdana"/>
                          <w:b/>
                          <w:sz w:val="14"/>
                          <w:szCs w:val="14"/>
                        </w:rPr>
                      </w:pPr>
                      <w:r w:rsidRPr="00742AD8">
                        <w:rPr>
                          <w:rFonts w:ascii="Verdana" w:hAnsi="Verdana"/>
                          <w:sz w:val="16"/>
                          <w:szCs w:val="16"/>
                        </w:rPr>
                        <w:t xml:space="preserve">* </w:t>
                      </w:r>
                      <w:r w:rsidRPr="00742AD8">
                        <w:rPr>
                          <w:rFonts w:ascii="Verdana" w:hAnsi="Verdana"/>
                          <w:sz w:val="14"/>
                          <w:szCs w:val="14"/>
                        </w:rPr>
                        <w:t>Kwoty rekompen</w:t>
                      </w:r>
                      <w:r>
                        <w:rPr>
                          <w:rFonts w:ascii="Verdana" w:hAnsi="Verdana"/>
                          <w:sz w:val="14"/>
                          <w:szCs w:val="14"/>
                        </w:rPr>
                        <w:t>sat w relacji do kwot ubytków</w:t>
                      </w:r>
                      <w:r w:rsidRPr="00742AD8">
                        <w:rPr>
                          <w:rFonts w:ascii="Verdana" w:hAnsi="Verdana"/>
                          <w:sz w:val="14"/>
                          <w:szCs w:val="14"/>
                        </w:rPr>
                        <w:t xml:space="preserve"> dochodów z PIT</w:t>
                      </w:r>
                    </w:p>
                  </w:txbxContent>
                </v:textbox>
              </v:shape>
            </w:pict>
          </mc:Fallback>
        </mc:AlternateContent>
      </w: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120" w:after="60"/>
        <w:jc w:val="both"/>
        <w:rPr>
          <w:rFonts w:ascii="Verdana" w:hAnsi="Verdana" w:cs="Arial"/>
          <w:sz w:val="16"/>
          <w:szCs w:val="16"/>
        </w:rPr>
      </w:pPr>
    </w:p>
    <w:p w:rsidR="007F07DD" w:rsidRDefault="007F07DD" w:rsidP="007F07DD">
      <w:pPr>
        <w:spacing w:before="240" w:after="60"/>
        <w:ind w:firstLine="567"/>
        <w:jc w:val="both"/>
        <w:rPr>
          <w:rFonts w:ascii="Verdana" w:hAnsi="Verdana"/>
          <w:iCs/>
          <w:sz w:val="16"/>
          <w:szCs w:val="16"/>
        </w:rPr>
      </w:pPr>
      <w:r>
        <w:rPr>
          <w:rFonts w:ascii="Verdana" w:hAnsi="Verdana"/>
          <w:iCs/>
          <w:sz w:val="16"/>
          <w:szCs w:val="16"/>
        </w:rPr>
        <w:t>Zgodnie z pismami Ministerstwa Finansów z 14.10.2021 r. znak:</w:t>
      </w:r>
      <w:r w:rsidRPr="004C7C9A">
        <w:t xml:space="preserve"> </w:t>
      </w:r>
      <w:r w:rsidRPr="004C7C9A">
        <w:rPr>
          <w:rFonts w:ascii="Verdana" w:hAnsi="Verdana"/>
          <w:iCs/>
          <w:sz w:val="16"/>
          <w:szCs w:val="16"/>
        </w:rPr>
        <w:t>ST3.4750.31.2021</w:t>
      </w:r>
      <w:r>
        <w:rPr>
          <w:rFonts w:ascii="Verdana" w:hAnsi="Verdana"/>
          <w:iCs/>
          <w:sz w:val="16"/>
          <w:szCs w:val="16"/>
        </w:rPr>
        <w:t xml:space="preserve"> i ST8.4750.5.2021 </w:t>
      </w:r>
      <w:r w:rsidRPr="00237789">
        <w:rPr>
          <w:rFonts w:ascii="Verdana" w:hAnsi="Verdana"/>
          <w:b/>
          <w:iCs/>
          <w:sz w:val="16"/>
          <w:szCs w:val="16"/>
        </w:rPr>
        <w:t>planowane na 2022 r. dochody m.st. Warszawy</w:t>
      </w:r>
      <w:r>
        <w:rPr>
          <w:rFonts w:ascii="Verdana" w:hAnsi="Verdana"/>
          <w:iCs/>
          <w:sz w:val="16"/>
          <w:szCs w:val="16"/>
        </w:rPr>
        <w:t xml:space="preserve"> z udziałów w podatkach dochodowych wynoszą:</w:t>
      </w:r>
    </w:p>
    <w:p w:rsidR="007F07DD" w:rsidRPr="00DD1D71" w:rsidRDefault="007F07DD" w:rsidP="007F07DD">
      <w:pPr>
        <w:pStyle w:val="Akapitzlist"/>
        <w:numPr>
          <w:ilvl w:val="0"/>
          <w:numId w:val="66"/>
        </w:numPr>
        <w:spacing w:before="60" w:after="60"/>
        <w:ind w:left="567" w:hanging="283"/>
        <w:jc w:val="both"/>
        <w:rPr>
          <w:rFonts w:ascii="Verdana" w:hAnsi="Verdana"/>
          <w:iCs/>
          <w:sz w:val="16"/>
          <w:szCs w:val="16"/>
        </w:rPr>
      </w:pPr>
      <w:r w:rsidRPr="00DD1D71">
        <w:rPr>
          <w:rFonts w:ascii="Verdana" w:hAnsi="Verdana"/>
          <w:b/>
          <w:iCs/>
          <w:sz w:val="16"/>
          <w:szCs w:val="16"/>
        </w:rPr>
        <w:t>6,084 mld zł</w:t>
      </w:r>
      <w:r w:rsidRPr="00DD1D71">
        <w:rPr>
          <w:rFonts w:ascii="Verdana" w:hAnsi="Verdana"/>
          <w:iCs/>
          <w:sz w:val="16"/>
          <w:szCs w:val="16"/>
        </w:rPr>
        <w:t xml:space="preserve"> </w:t>
      </w:r>
      <w:r w:rsidRPr="00DD1D71">
        <w:rPr>
          <w:rFonts w:ascii="Verdana" w:hAnsi="Verdana"/>
          <w:b/>
          <w:iCs/>
          <w:sz w:val="16"/>
          <w:szCs w:val="16"/>
        </w:rPr>
        <w:t>z udziału w PIT</w:t>
      </w:r>
      <w:r w:rsidRPr="00DD1D71">
        <w:rPr>
          <w:rFonts w:ascii="Verdana" w:hAnsi="Verdana"/>
          <w:iCs/>
          <w:sz w:val="16"/>
          <w:szCs w:val="16"/>
        </w:rPr>
        <w:t xml:space="preserve">, co oznacza </w:t>
      </w:r>
      <w:r w:rsidRPr="00DD1D71">
        <w:rPr>
          <w:rFonts w:ascii="Verdana" w:hAnsi="Verdana"/>
          <w:b/>
          <w:iCs/>
          <w:sz w:val="16"/>
          <w:szCs w:val="16"/>
        </w:rPr>
        <w:t>spadek</w:t>
      </w:r>
      <w:r w:rsidRPr="00DD1D71">
        <w:rPr>
          <w:rFonts w:ascii="Verdana" w:hAnsi="Verdana"/>
          <w:iCs/>
          <w:sz w:val="16"/>
          <w:szCs w:val="16"/>
        </w:rPr>
        <w:t xml:space="preserve"> w stosunku do przewidywanego wykonania </w:t>
      </w:r>
      <w:r>
        <w:rPr>
          <w:rFonts w:ascii="Verdana" w:hAnsi="Verdana"/>
          <w:iCs/>
          <w:sz w:val="16"/>
          <w:szCs w:val="16"/>
        </w:rPr>
        <w:br/>
      </w:r>
      <w:r w:rsidRPr="00DD1D71">
        <w:rPr>
          <w:rFonts w:ascii="Verdana" w:hAnsi="Verdana"/>
          <w:iCs/>
          <w:sz w:val="16"/>
          <w:szCs w:val="16"/>
        </w:rPr>
        <w:t xml:space="preserve">w 2021 r. o </w:t>
      </w:r>
      <w:r w:rsidRPr="00DD1D71">
        <w:rPr>
          <w:rFonts w:ascii="Verdana" w:hAnsi="Verdana"/>
          <w:b/>
          <w:iCs/>
          <w:sz w:val="16"/>
          <w:szCs w:val="16"/>
        </w:rPr>
        <w:t>686 mln zł</w:t>
      </w:r>
      <w:r w:rsidRPr="00DD1D71">
        <w:rPr>
          <w:rFonts w:ascii="Verdana" w:hAnsi="Verdana"/>
          <w:iCs/>
          <w:sz w:val="16"/>
          <w:szCs w:val="16"/>
        </w:rPr>
        <w:t xml:space="preserve">, tj. o </w:t>
      </w:r>
      <w:r w:rsidRPr="00DD1D71">
        <w:rPr>
          <w:rFonts w:ascii="Verdana" w:hAnsi="Verdana"/>
          <w:b/>
          <w:iCs/>
          <w:sz w:val="16"/>
          <w:szCs w:val="16"/>
        </w:rPr>
        <w:t>10%</w:t>
      </w:r>
      <w:r w:rsidRPr="00DD1D71">
        <w:rPr>
          <w:rFonts w:ascii="Verdana" w:hAnsi="Verdana"/>
          <w:iCs/>
          <w:sz w:val="16"/>
          <w:szCs w:val="16"/>
        </w:rPr>
        <w:t xml:space="preserve"> (prognozowane wykonanie na 2021 r. wynosi </w:t>
      </w:r>
      <w:r w:rsidRPr="00DD1D71">
        <w:rPr>
          <w:rFonts w:ascii="Verdana" w:hAnsi="Verdana"/>
          <w:b/>
          <w:iCs/>
          <w:sz w:val="16"/>
          <w:szCs w:val="16"/>
        </w:rPr>
        <w:t>6,770 mld zł</w:t>
      </w:r>
      <w:r w:rsidRPr="00DD1D71">
        <w:rPr>
          <w:rFonts w:ascii="Verdana" w:hAnsi="Verdana"/>
          <w:iCs/>
          <w:sz w:val="16"/>
          <w:szCs w:val="16"/>
        </w:rPr>
        <w:t xml:space="preserve"> przy planie </w:t>
      </w:r>
      <w:r w:rsidRPr="00DD1D71">
        <w:rPr>
          <w:rFonts w:ascii="Verdana" w:hAnsi="Verdana"/>
          <w:b/>
          <w:iCs/>
          <w:sz w:val="16"/>
          <w:szCs w:val="16"/>
        </w:rPr>
        <w:t>6,404 mld zł</w:t>
      </w:r>
      <w:r w:rsidRPr="00DD1D71">
        <w:rPr>
          <w:rFonts w:ascii="Verdana" w:hAnsi="Verdana"/>
          <w:iCs/>
          <w:sz w:val="16"/>
          <w:szCs w:val="16"/>
        </w:rPr>
        <w:t>)</w:t>
      </w:r>
      <w:r>
        <w:rPr>
          <w:rFonts w:ascii="Verdana" w:hAnsi="Verdana"/>
          <w:iCs/>
          <w:sz w:val="16"/>
          <w:szCs w:val="16"/>
        </w:rPr>
        <w:t xml:space="preserve"> i ograniczenie dochodów z udziału w PIT o </w:t>
      </w:r>
      <w:r w:rsidRPr="00237789">
        <w:rPr>
          <w:rFonts w:ascii="Verdana" w:hAnsi="Verdana"/>
          <w:b/>
          <w:iCs/>
          <w:sz w:val="16"/>
          <w:szCs w:val="16"/>
        </w:rPr>
        <w:t xml:space="preserve">1,416 mld zł </w:t>
      </w:r>
      <w:r>
        <w:rPr>
          <w:rFonts w:ascii="Verdana" w:hAnsi="Verdana"/>
          <w:iCs/>
          <w:sz w:val="16"/>
          <w:szCs w:val="16"/>
        </w:rPr>
        <w:t xml:space="preserve">w porównaniu do możliwych do uzyskania w 2022 r. w warunkach stanu prawnego sprzed zmian legislacyjnych wprowadzonych </w:t>
      </w:r>
      <w:r>
        <w:rPr>
          <w:rFonts w:ascii="Verdana" w:hAnsi="Verdana" w:cs="Arial"/>
          <w:sz w:val="16"/>
          <w:szCs w:val="16"/>
        </w:rPr>
        <w:t xml:space="preserve">ustawą </w:t>
      </w:r>
      <w:r>
        <w:rPr>
          <w:rFonts w:ascii="Verdana" w:hAnsi="Verdana" w:cs="Arial"/>
          <w:sz w:val="16"/>
          <w:szCs w:val="16"/>
        </w:rPr>
        <w:br/>
        <w:t>z 29</w:t>
      </w:r>
      <w:r w:rsidRPr="00C06E0B">
        <w:rPr>
          <w:rFonts w:ascii="Verdana" w:hAnsi="Verdana" w:cs="Arial"/>
          <w:sz w:val="16"/>
          <w:szCs w:val="16"/>
        </w:rPr>
        <w:t xml:space="preserve">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w:t>
      </w:r>
    </w:p>
    <w:p w:rsidR="007F07DD" w:rsidRPr="00DD1D71" w:rsidRDefault="007F07DD" w:rsidP="007F07DD">
      <w:pPr>
        <w:pStyle w:val="Akapitzlist"/>
        <w:numPr>
          <w:ilvl w:val="0"/>
          <w:numId w:val="66"/>
        </w:numPr>
        <w:spacing w:before="60" w:after="60"/>
        <w:ind w:left="567" w:hanging="283"/>
        <w:jc w:val="both"/>
        <w:rPr>
          <w:rFonts w:ascii="Verdana" w:hAnsi="Verdana"/>
          <w:iCs/>
          <w:sz w:val="16"/>
          <w:szCs w:val="16"/>
        </w:rPr>
      </w:pPr>
      <w:r w:rsidRPr="00DD1D71">
        <w:rPr>
          <w:rFonts w:ascii="Verdana" w:hAnsi="Verdana"/>
          <w:b/>
          <w:iCs/>
          <w:sz w:val="16"/>
          <w:szCs w:val="16"/>
        </w:rPr>
        <w:t>1,365 mld zł</w:t>
      </w:r>
      <w:r w:rsidRPr="00DD1D71">
        <w:rPr>
          <w:rFonts w:ascii="Verdana" w:hAnsi="Verdana"/>
          <w:iCs/>
          <w:sz w:val="16"/>
          <w:szCs w:val="16"/>
        </w:rPr>
        <w:t xml:space="preserve"> </w:t>
      </w:r>
      <w:r w:rsidRPr="00DD1D71">
        <w:rPr>
          <w:rFonts w:ascii="Verdana" w:hAnsi="Verdana"/>
          <w:b/>
          <w:iCs/>
          <w:sz w:val="16"/>
          <w:szCs w:val="16"/>
        </w:rPr>
        <w:t>z udziału w CIT</w:t>
      </w:r>
      <w:r w:rsidRPr="00DD1D71">
        <w:rPr>
          <w:rFonts w:ascii="Verdana" w:hAnsi="Verdana"/>
          <w:iCs/>
          <w:sz w:val="16"/>
          <w:szCs w:val="16"/>
        </w:rPr>
        <w:t xml:space="preserve">, co oznacza </w:t>
      </w:r>
      <w:r w:rsidRPr="00DD1D71">
        <w:rPr>
          <w:rFonts w:ascii="Verdana" w:hAnsi="Verdana"/>
          <w:b/>
          <w:iCs/>
          <w:sz w:val="16"/>
          <w:szCs w:val="16"/>
        </w:rPr>
        <w:t>wzrost</w:t>
      </w:r>
      <w:r w:rsidRPr="00DD1D71">
        <w:rPr>
          <w:rFonts w:ascii="Verdana" w:hAnsi="Verdana"/>
          <w:iCs/>
          <w:sz w:val="16"/>
          <w:szCs w:val="16"/>
        </w:rPr>
        <w:t xml:space="preserve"> w stosunku do przewidywanego wykonania w 2021 r. o </w:t>
      </w:r>
      <w:r w:rsidRPr="00DD1D71">
        <w:rPr>
          <w:rFonts w:ascii="Verdana" w:hAnsi="Verdana"/>
          <w:b/>
          <w:iCs/>
          <w:sz w:val="16"/>
          <w:szCs w:val="16"/>
        </w:rPr>
        <w:t>345 mln zł</w:t>
      </w:r>
      <w:r w:rsidRPr="00DD1D71">
        <w:rPr>
          <w:rFonts w:ascii="Verdana" w:hAnsi="Verdana"/>
          <w:iCs/>
          <w:sz w:val="16"/>
          <w:szCs w:val="16"/>
        </w:rPr>
        <w:t xml:space="preserve">, tj. o </w:t>
      </w:r>
      <w:r w:rsidRPr="00DD1D71">
        <w:rPr>
          <w:rFonts w:ascii="Verdana" w:hAnsi="Verdana"/>
          <w:b/>
          <w:iCs/>
          <w:sz w:val="16"/>
          <w:szCs w:val="16"/>
        </w:rPr>
        <w:t>34%</w:t>
      </w:r>
      <w:r w:rsidRPr="00DD1D71">
        <w:rPr>
          <w:rFonts w:ascii="Verdana" w:hAnsi="Verdana"/>
          <w:iCs/>
          <w:sz w:val="16"/>
          <w:szCs w:val="16"/>
        </w:rPr>
        <w:t xml:space="preserve"> (prognozowane wykonanie na 2021 r. wynosi </w:t>
      </w:r>
      <w:r w:rsidRPr="00DD1D71">
        <w:rPr>
          <w:rFonts w:ascii="Verdana" w:hAnsi="Verdana"/>
          <w:b/>
          <w:iCs/>
          <w:sz w:val="16"/>
          <w:szCs w:val="16"/>
        </w:rPr>
        <w:t>1,020 mld zł</w:t>
      </w:r>
      <w:r w:rsidRPr="00DD1D71">
        <w:rPr>
          <w:rFonts w:ascii="Verdana" w:hAnsi="Verdana"/>
          <w:iCs/>
          <w:sz w:val="16"/>
          <w:szCs w:val="16"/>
        </w:rPr>
        <w:t xml:space="preserve"> przy planie </w:t>
      </w:r>
      <w:r>
        <w:rPr>
          <w:rFonts w:ascii="Verdana" w:hAnsi="Verdana"/>
          <w:iCs/>
          <w:sz w:val="16"/>
          <w:szCs w:val="16"/>
        </w:rPr>
        <w:br/>
      </w:r>
      <w:r w:rsidRPr="00DD1D71">
        <w:rPr>
          <w:rFonts w:ascii="Verdana" w:hAnsi="Verdana"/>
          <w:b/>
          <w:iCs/>
          <w:sz w:val="16"/>
          <w:szCs w:val="16"/>
        </w:rPr>
        <w:t>905 mln zł</w:t>
      </w:r>
      <w:r w:rsidRPr="00DD1D71">
        <w:rPr>
          <w:rFonts w:ascii="Verdana" w:hAnsi="Verdana"/>
          <w:iCs/>
          <w:sz w:val="16"/>
          <w:szCs w:val="16"/>
        </w:rPr>
        <w:t>).</w:t>
      </w:r>
    </w:p>
    <w:p w:rsidR="007F07DD" w:rsidRDefault="007F07DD" w:rsidP="007F07DD">
      <w:pPr>
        <w:spacing w:before="60" w:after="60"/>
        <w:jc w:val="both"/>
        <w:rPr>
          <w:rFonts w:ascii="Verdana" w:hAnsi="Verdana"/>
          <w:iCs/>
          <w:sz w:val="16"/>
          <w:szCs w:val="16"/>
        </w:rPr>
      </w:pPr>
      <w:r>
        <w:rPr>
          <w:rFonts w:ascii="Verdana" w:hAnsi="Verdana"/>
          <w:iCs/>
          <w:sz w:val="16"/>
          <w:szCs w:val="16"/>
        </w:rPr>
        <w:t xml:space="preserve">W zakresie udziału w podatku dochodowym od osób prawnych (CIT) zaplanowany przez Ministerstwo Finansów na 2022 r. poziom dochodów m.st. Warszawy wynosi </w:t>
      </w:r>
      <w:r w:rsidRPr="00964F33">
        <w:rPr>
          <w:rFonts w:ascii="Verdana" w:hAnsi="Verdana"/>
          <w:b/>
          <w:iCs/>
          <w:sz w:val="16"/>
          <w:szCs w:val="16"/>
        </w:rPr>
        <w:t>1,365 mld zł</w:t>
      </w:r>
      <w:r>
        <w:rPr>
          <w:rFonts w:ascii="Verdana" w:hAnsi="Verdana"/>
          <w:iCs/>
          <w:sz w:val="16"/>
          <w:szCs w:val="16"/>
        </w:rPr>
        <w:t xml:space="preserve">. Realizacja dochodów na tym poziomie oznacza wzrost w stosunku do wykonania 2020 r. i przewidywanego wykonania 2021 r. o </w:t>
      </w:r>
      <w:r w:rsidRPr="00964F33">
        <w:rPr>
          <w:rFonts w:ascii="Verdana" w:hAnsi="Verdana"/>
          <w:b/>
          <w:iCs/>
          <w:sz w:val="16"/>
          <w:szCs w:val="16"/>
        </w:rPr>
        <w:t>34%</w:t>
      </w:r>
      <w:r>
        <w:rPr>
          <w:rFonts w:ascii="Verdana" w:hAnsi="Verdana"/>
          <w:iCs/>
          <w:sz w:val="16"/>
          <w:szCs w:val="16"/>
        </w:rPr>
        <w:t xml:space="preserve">, co obrazuje poniższy wykres nr 3. </w:t>
      </w:r>
      <w:r>
        <w:rPr>
          <w:rFonts w:ascii="Verdana" w:hAnsi="Verdana"/>
          <w:iCs/>
          <w:sz w:val="16"/>
          <w:szCs w:val="16"/>
        </w:rPr>
        <w:br w:type="page"/>
      </w:r>
    </w:p>
    <w:p w:rsidR="007F07DD" w:rsidRPr="00C21AED" w:rsidRDefault="007F07DD" w:rsidP="007F07DD">
      <w:pPr>
        <w:tabs>
          <w:tab w:val="left" w:pos="567"/>
        </w:tabs>
        <w:spacing w:before="120" w:after="60" w:line="240" w:lineRule="auto"/>
        <w:ind w:left="567" w:hanging="567"/>
        <w:rPr>
          <w:rFonts w:ascii="Verdana" w:hAnsi="Verdana" w:cs="Arial"/>
          <w:sz w:val="14"/>
          <w:szCs w:val="14"/>
        </w:rPr>
      </w:pPr>
      <w:r w:rsidRPr="00011AAA">
        <w:rPr>
          <w:rFonts w:ascii="Verdana" w:hAnsi="Verdana"/>
          <w:b/>
          <w:bCs/>
          <w:iCs/>
          <w:sz w:val="14"/>
          <w:szCs w:val="14"/>
        </w:rPr>
        <w:lastRenderedPageBreak/>
        <w:t xml:space="preserve">WYK.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3</w:t>
      </w:r>
      <w:r w:rsidRPr="00011AAA">
        <w:rPr>
          <w:rFonts w:ascii="Verdana" w:hAnsi="Verdana"/>
          <w:b/>
          <w:bCs/>
          <w:iCs/>
          <w:sz w:val="14"/>
          <w:szCs w:val="14"/>
        </w:rPr>
        <w:fldChar w:fldCharType="end"/>
      </w:r>
      <w:r w:rsidRPr="00011AAA">
        <w:rPr>
          <w:rFonts w:ascii="Verdana" w:hAnsi="Verdana"/>
          <w:b/>
          <w:bCs/>
          <w:iCs/>
          <w:sz w:val="14"/>
          <w:szCs w:val="14"/>
        </w:rPr>
        <w:t>.</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PROGNOZA DOCHODÓW M.ST. WARSZAWY Z UDZIAŁU W CIT NA LATA 2022-2026 </w:t>
      </w:r>
      <w:r>
        <w:rPr>
          <w:rFonts w:ascii="Verdana" w:hAnsi="Verdana" w:cs="Arial"/>
          <w:b/>
          <w:bCs/>
          <w:iCs/>
          <w:sz w:val="14"/>
          <w:szCs w:val="14"/>
        </w:rPr>
        <w:br/>
        <w:t xml:space="preserve">    NA TLE LAT 2019-2021</w:t>
      </w:r>
      <w:r>
        <w:rPr>
          <w:rFonts w:ascii="Verdana" w:hAnsi="Verdana" w:cs="Arial"/>
          <w:bCs/>
          <w:iCs/>
          <w:sz w:val="14"/>
          <w:szCs w:val="14"/>
        </w:rPr>
        <w:t xml:space="preserve"> [w mln zł]</w:t>
      </w:r>
    </w:p>
    <w:p w:rsidR="007F07DD" w:rsidRPr="007C1DF2" w:rsidRDefault="007F07DD" w:rsidP="007F07DD">
      <w:pPr>
        <w:spacing w:before="120" w:after="120"/>
        <w:jc w:val="both"/>
        <w:rPr>
          <w:rFonts w:ascii="Verdana" w:hAnsi="Verdana" w:cs="Arial"/>
          <w:b/>
          <w:sz w:val="16"/>
          <w:szCs w:val="16"/>
        </w:rPr>
      </w:pPr>
      <w:r w:rsidRPr="00E824B5">
        <w:rPr>
          <w:noProof/>
        </w:rPr>
        <w:drawing>
          <wp:inline distT="0" distB="0" distL="0" distR="0" wp14:anchorId="77C054C0" wp14:editId="2880362C">
            <wp:extent cx="5760720" cy="4424799"/>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424799"/>
                    </a:xfrm>
                    <a:prstGeom prst="rect">
                      <a:avLst/>
                    </a:prstGeom>
                    <a:noFill/>
                    <a:ln>
                      <a:noFill/>
                    </a:ln>
                  </pic:spPr>
                </pic:pic>
              </a:graphicData>
            </a:graphic>
          </wp:inline>
        </w:drawing>
      </w:r>
    </w:p>
    <w:p w:rsidR="007F07DD" w:rsidRDefault="007F07DD" w:rsidP="007F07DD">
      <w:pPr>
        <w:spacing w:before="120" w:after="60"/>
        <w:jc w:val="both"/>
        <w:rPr>
          <w:rFonts w:ascii="Verdana" w:hAnsi="Verdana" w:cs="Verdana"/>
          <w:color w:val="000000"/>
          <w:sz w:val="16"/>
          <w:szCs w:val="16"/>
        </w:rPr>
      </w:pPr>
      <w:r w:rsidRPr="00B71118">
        <w:rPr>
          <w:rFonts w:ascii="Verdana" w:hAnsi="Verdana" w:cs="Verdana"/>
          <w:b/>
          <w:color w:val="000000"/>
          <w:sz w:val="16"/>
          <w:szCs w:val="16"/>
        </w:rPr>
        <w:t>Dochody z tytułu udziału w</w:t>
      </w:r>
      <w:r w:rsidRPr="000A6485">
        <w:rPr>
          <w:rFonts w:ascii="Verdana" w:hAnsi="Verdana" w:cs="Verdana"/>
          <w:color w:val="000000"/>
          <w:sz w:val="16"/>
          <w:szCs w:val="16"/>
        </w:rPr>
        <w:t xml:space="preserve"> </w:t>
      </w:r>
      <w:r w:rsidRPr="000A6485">
        <w:rPr>
          <w:rFonts w:ascii="Verdana" w:hAnsi="Verdana" w:cs="Verdana"/>
          <w:b/>
          <w:color w:val="000000"/>
          <w:sz w:val="16"/>
          <w:szCs w:val="16"/>
        </w:rPr>
        <w:t>CIT</w:t>
      </w:r>
      <w:r w:rsidRPr="000A6485">
        <w:rPr>
          <w:rFonts w:ascii="Verdana" w:hAnsi="Verdana" w:cs="Verdana"/>
          <w:color w:val="000000"/>
          <w:sz w:val="16"/>
          <w:szCs w:val="16"/>
        </w:rPr>
        <w:t xml:space="preserve"> </w:t>
      </w:r>
      <w:r>
        <w:rPr>
          <w:rFonts w:ascii="Verdana" w:hAnsi="Verdana" w:cs="Verdana"/>
          <w:color w:val="000000"/>
          <w:sz w:val="16"/>
          <w:szCs w:val="16"/>
        </w:rPr>
        <w:t>zrealizowane w m.st. Warszawa w okresie</w:t>
      </w:r>
      <w:r w:rsidRPr="000A6485">
        <w:rPr>
          <w:rFonts w:ascii="Verdana" w:hAnsi="Verdana" w:cs="Verdana"/>
          <w:color w:val="000000"/>
          <w:sz w:val="16"/>
          <w:szCs w:val="16"/>
        </w:rPr>
        <w:t xml:space="preserve"> 9 miesięcy </w:t>
      </w:r>
      <w:r w:rsidRPr="0090283F">
        <w:rPr>
          <w:rFonts w:ascii="Verdana" w:eastAsiaTheme="minorEastAsia" w:hAnsi="Verdana" w:cs="Verdana"/>
          <w:color w:val="000000"/>
          <w:sz w:val="16"/>
          <w:szCs w:val="16"/>
        </w:rPr>
        <w:t>2021</w:t>
      </w:r>
      <w:r w:rsidRPr="000A6485">
        <w:rPr>
          <w:rFonts w:ascii="Verdana" w:hAnsi="Verdana" w:cs="Verdana"/>
          <w:color w:val="000000"/>
          <w:sz w:val="16"/>
          <w:szCs w:val="16"/>
        </w:rPr>
        <w:t xml:space="preserve"> r. wykazują </w:t>
      </w:r>
      <w:r>
        <w:rPr>
          <w:rFonts w:ascii="Verdana" w:hAnsi="Verdana" w:cs="Verdana"/>
          <w:color w:val="000000"/>
          <w:sz w:val="16"/>
          <w:szCs w:val="16"/>
        </w:rPr>
        <w:t xml:space="preserve">poziom zbliżony do wykonania w analogicznym okresie w latach 2019-2020, tj. 742 mln zł w 2021 r. wobec 749 mln zł w 2019 r. i 752 mln zł w 2020 r. Pomimo obserwowanej w okresie 3 kwartałów 2021 r. stagnacji dochodów </w:t>
      </w:r>
      <w:r>
        <w:rPr>
          <w:rFonts w:ascii="Verdana" w:hAnsi="Verdana" w:cs="Verdana"/>
          <w:color w:val="000000"/>
          <w:sz w:val="16"/>
          <w:szCs w:val="16"/>
        </w:rPr>
        <w:br/>
        <w:t xml:space="preserve">z udziału w CIT, Ministerstwo Finansów przewiduje na 2022 r. skokowy wzrost dochodów m.st. Warszawy </w:t>
      </w:r>
      <w:r>
        <w:rPr>
          <w:rFonts w:ascii="Verdana" w:hAnsi="Verdana" w:cs="Verdana"/>
          <w:color w:val="000000"/>
          <w:sz w:val="16"/>
          <w:szCs w:val="16"/>
        </w:rPr>
        <w:br/>
        <w:t xml:space="preserve">z udziału w CIT o ok. 1/3 w stosunku do wykonania w latach 2019-2020 i przewidywanego wykonania w 2021 r. (plan na 2022 r. wynoszący 1,365 mld zł wobec wykonania w latach 2019-2020 odpowiednio 975 mln zł </w:t>
      </w:r>
      <w:r>
        <w:rPr>
          <w:rFonts w:ascii="Verdana" w:hAnsi="Verdana" w:cs="Verdana"/>
          <w:color w:val="000000"/>
          <w:sz w:val="16"/>
          <w:szCs w:val="16"/>
        </w:rPr>
        <w:br/>
        <w:t>i 1,016 mld zł oraz przewidywanego wykonania w 2021 r. na poziomie 1,020 mld zł).</w:t>
      </w:r>
    </w:p>
    <w:p w:rsidR="007F07DD" w:rsidRDefault="007F07DD" w:rsidP="007F07DD">
      <w:pPr>
        <w:spacing w:before="60" w:after="120"/>
        <w:jc w:val="both"/>
        <w:rPr>
          <w:rFonts w:ascii="Verdana" w:hAnsi="Verdana" w:cs="Arial"/>
          <w:b/>
          <w:sz w:val="16"/>
          <w:szCs w:val="16"/>
        </w:rPr>
      </w:pPr>
      <w:r>
        <w:rPr>
          <w:rFonts w:ascii="Verdana" w:hAnsi="Verdana" w:cs="Verdana"/>
          <w:color w:val="000000"/>
          <w:sz w:val="16"/>
          <w:szCs w:val="16"/>
        </w:rPr>
        <w:t xml:space="preserve">Zgodnie z nowymi zasadami przewidzianymi w rządowym Programie Polski Ład, od 2022 r. samorządy będą otrzymywały zaplanowane przez Ministerstwo Finansów dochody z udziałów w PIT i CIT </w:t>
      </w:r>
      <w:r w:rsidRPr="001F4418">
        <w:rPr>
          <w:rFonts w:ascii="Verdana" w:hAnsi="Verdana" w:cs="Verdana"/>
          <w:b/>
          <w:color w:val="000000"/>
          <w:sz w:val="16"/>
          <w:szCs w:val="16"/>
        </w:rPr>
        <w:t xml:space="preserve">w równych </w:t>
      </w:r>
      <w:r>
        <w:rPr>
          <w:rFonts w:ascii="Verdana" w:hAnsi="Verdana" w:cs="Verdana"/>
          <w:b/>
          <w:color w:val="000000"/>
          <w:sz w:val="16"/>
          <w:szCs w:val="16"/>
        </w:rPr>
        <w:br/>
      </w:r>
      <w:r w:rsidRPr="001F4418">
        <w:rPr>
          <w:rFonts w:ascii="Verdana" w:hAnsi="Verdana" w:cs="Verdana"/>
          <w:b/>
          <w:color w:val="000000"/>
          <w:sz w:val="16"/>
          <w:szCs w:val="16"/>
        </w:rPr>
        <w:t>12 miesięcznych ratach</w:t>
      </w:r>
      <w:r>
        <w:rPr>
          <w:rFonts w:ascii="Verdana" w:hAnsi="Verdana" w:cs="Verdana"/>
          <w:color w:val="000000"/>
          <w:sz w:val="16"/>
          <w:szCs w:val="16"/>
        </w:rPr>
        <w:t xml:space="preserve">, z tym że po dwóch latach następować będzie rozliczenie przekazanych środków </w:t>
      </w:r>
      <w:r>
        <w:rPr>
          <w:rFonts w:ascii="Verdana" w:hAnsi="Verdana" w:cs="Verdana"/>
          <w:color w:val="000000"/>
          <w:sz w:val="16"/>
          <w:szCs w:val="16"/>
        </w:rPr>
        <w:br/>
        <w:t xml:space="preserve">w odniesieniu do rzeczywistych wpływów </w:t>
      </w:r>
      <w:r>
        <w:rPr>
          <w:rFonts w:ascii="Verdana" w:hAnsi="Verdana"/>
          <w:iCs/>
          <w:sz w:val="16"/>
          <w:szCs w:val="16"/>
        </w:rPr>
        <w:t>(wykonanie dochodów niższe od planu spowoduje odpowiednie pomniejszenie dochodów JST natomiast realizacja przewyższająca plan podwyższy dochody JST).</w:t>
      </w:r>
    </w:p>
    <w:p w:rsidR="007F07DD" w:rsidRPr="005A24CD" w:rsidRDefault="007F07DD" w:rsidP="007F07DD">
      <w:pPr>
        <w:pStyle w:val="Akapitzlist"/>
        <w:numPr>
          <w:ilvl w:val="0"/>
          <w:numId w:val="64"/>
        </w:numPr>
        <w:spacing w:before="240" w:after="60"/>
        <w:ind w:left="284" w:hanging="284"/>
        <w:rPr>
          <w:rFonts w:ascii="Verdana" w:hAnsi="Verdana" w:cs="Arial"/>
          <w:b/>
          <w:sz w:val="16"/>
          <w:szCs w:val="16"/>
        </w:rPr>
      </w:pPr>
      <w:r w:rsidRPr="005A24CD">
        <w:rPr>
          <w:rFonts w:ascii="Verdana" w:hAnsi="Verdana" w:cs="Arial"/>
          <w:b/>
          <w:sz w:val="16"/>
          <w:szCs w:val="16"/>
        </w:rPr>
        <w:t xml:space="preserve">SKUTKI USTAWY Z 17 WRZEŚNIA 2021 R. </w:t>
      </w:r>
      <w:r w:rsidRPr="005A24CD">
        <w:rPr>
          <w:rFonts w:ascii="Verdana" w:hAnsi="Verdana" w:cs="Arial"/>
          <w:b/>
          <w:i/>
          <w:sz w:val="16"/>
          <w:szCs w:val="16"/>
        </w:rPr>
        <w:t xml:space="preserve">O ZMIANIE USTAWY O POMOCY PAŃSTWA </w:t>
      </w:r>
      <w:r>
        <w:rPr>
          <w:rFonts w:ascii="Verdana" w:hAnsi="Verdana" w:cs="Arial"/>
          <w:b/>
          <w:i/>
          <w:sz w:val="16"/>
          <w:szCs w:val="16"/>
        </w:rPr>
        <w:br/>
      </w:r>
      <w:r w:rsidRPr="005A24CD">
        <w:rPr>
          <w:rFonts w:ascii="Verdana" w:hAnsi="Verdana" w:cs="Arial"/>
          <w:b/>
          <w:i/>
          <w:sz w:val="16"/>
          <w:szCs w:val="16"/>
        </w:rPr>
        <w:t>W WYCHOWANIU DZIECI ORAZ NIEKTÓRYCH INNYCH USTAW</w:t>
      </w:r>
      <w:r>
        <w:rPr>
          <w:rFonts w:ascii="Verdana" w:hAnsi="Verdana" w:cs="Arial"/>
          <w:b/>
          <w:sz w:val="16"/>
          <w:szCs w:val="16"/>
        </w:rPr>
        <w:t xml:space="preserve"> (DZ.U. POZ. 1981)</w:t>
      </w:r>
    </w:p>
    <w:p w:rsidR="007F07DD" w:rsidRDefault="007F07DD" w:rsidP="007F07DD">
      <w:pPr>
        <w:tabs>
          <w:tab w:val="left" w:pos="360"/>
        </w:tabs>
        <w:spacing w:before="120" w:after="60"/>
        <w:ind w:firstLine="425"/>
        <w:jc w:val="both"/>
        <w:rPr>
          <w:rFonts w:ascii="Verdana" w:hAnsi="Verdana"/>
          <w:sz w:val="16"/>
          <w:szCs w:val="16"/>
        </w:rPr>
      </w:pPr>
      <w:r w:rsidRPr="007C1DF2">
        <w:rPr>
          <w:rFonts w:ascii="Verdana" w:hAnsi="Verdana" w:cs="Arial"/>
          <w:b/>
          <w:sz w:val="16"/>
          <w:szCs w:val="16"/>
        </w:rPr>
        <w:t xml:space="preserve">Dochody i wydatki budżetowe </w:t>
      </w:r>
      <w:r>
        <w:rPr>
          <w:rFonts w:ascii="Verdana" w:hAnsi="Verdana" w:cs="Arial"/>
          <w:b/>
          <w:sz w:val="16"/>
          <w:szCs w:val="16"/>
        </w:rPr>
        <w:t xml:space="preserve">m.st. Warszawy </w:t>
      </w:r>
      <w:r w:rsidRPr="007C1DF2">
        <w:rPr>
          <w:rFonts w:ascii="Verdana" w:hAnsi="Verdana" w:cs="Arial"/>
          <w:b/>
          <w:sz w:val="16"/>
          <w:szCs w:val="16"/>
        </w:rPr>
        <w:t xml:space="preserve">związane z Programem „Rodzina 500 Plus” </w:t>
      </w:r>
      <w:r>
        <w:rPr>
          <w:rFonts w:ascii="Verdana" w:hAnsi="Verdana" w:cs="Arial"/>
          <w:b/>
          <w:sz w:val="16"/>
          <w:szCs w:val="16"/>
        </w:rPr>
        <w:t>zaplanowano</w:t>
      </w:r>
      <w:r w:rsidRPr="007C1DF2">
        <w:rPr>
          <w:rFonts w:ascii="Verdana" w:hAnsi="Verdana" w:cs="Arial"/>
          <w:b/>
          <w:sz w:val="16"/>
          <w:szCs w:val="16"/>
        </w:rPr>
        <w:t xml:space="preserve"> </w:t>
      </w:r>
      <w:r>
        <w:rPr>
          <w:rFonts w:ascii="Verdana" w:hAnsi="Verdana" w:cs="Arial"/>
          <w:b/>
          <w:sz w:val="16"/>
          <w:szCs w:val="16"/>
        </w:rPr>
        <w:t>z uwzględnieniem</w:t>
      </w:r>
      <w:r w:rsidRPr="007C1DF2">
        <w:rPr>
          <w:rFonts w:ascii="Verdana" w:hAnsi="Verdana" w:cs="Arial"/>
          <w:b/>
          <w:sz w:val="16"/>
          <w:szCs w:val="16"/>
        </w:rPr>
        <w:t xml:space="preserve"> przejęcia przez Zakład Ubezpieczeń Społecznych od czerwca 2022 r.</w:t>
      </w:r>
      <w:r>
        <w:rPr>
          <w:rFonts w:ascii="Verdana" w:hAnsi="Verdana" w:cs="Arial"/>
          <w:b/>
          <w:sz w:val="16"/>
          <w:szCs w:val="16"/>
        </w:rPr>
        <w:t xml:space="preserve"> </w:t>
      </w:r>
      <w:r w:rsidRPr="007C1DF2">
        <w:rPr>
          <w:rFonts w:ascii="Verdana" w:hAnsi="Verdana" w:cs="Arial"/>
          <w:b/>
          <w:sz w:val="16"/>
          <w:szCs w:val="16"/>
        </w:rPr>
        <w:t xml:space="preserve">realizacji wypłat świadczeń </w:t>
      </w:r>
      <w:r>
        <w:rPr>
          <w:rFonts w:ascii="Verdana" w:hAnsi="Verdana" w:cs="Arial"/>
          <w:b/>
          <w:sz w:val="16"/>
          <w:szCs w:val="16"/>
        </w:rPr>
        <w:t>objętych Programem</w:t>
      </w:r>
      <w:r w:rsidRPr="007C1DF2">
        <w:rPr>
          <w:rFonts w:ascii="Verdana" w:hAnsi="Verdana" w:cs="Arial"/>
          <w:b/>
          <w:sz w:val="16"/>
          <w:szCs w:val="16"/>
        </w:rPr>
        <w:t xml:space="preserve">, co przewiduje ustawa z 17 września 2021 r. </w:t>
      </w:r>
      <w:r>
        <w:rPr>
          <w:rFonts w:ascii="Verdana" w:hAnsi="Verdana" w:cs="Arial"/>
          <w:b/>
          <w:sz w:val="16"/>
          <w:szCs w:val="16"/>
        </w:rPr>
        <w:br/>
      </w:r>
      <w:r w:rsidRPr="007C1DF2">
        <w:rPr>
          <w:rFonts w:ascii="Verdana" w:hAnsi="Verdana" w:cs="Arial"/>
          <w:b/>
          <w:i/>
          <w:sz w:val="16"/>
          <w:szCs w:val="16"/>
        </w:rPr>
        <w:t>o zmianie ustawy o pomocy państwa w wychowaniu dzieci oraz niektórych innych ustaw</w:t>
      </w:r>
      <w:r>
        <w:rPr>
          <w:rFonts w:ascii="Verdana" w:hAnsi="Verdana" w:cs="Arial"/>
          <w:b/>
          <w:sz w:val="16"/>
          <w:szCs w:val="16"/>
        </w:rPr>
        <w:t>.</w:t>
      </w:r>
    </w:p>
    <w:p w:rsidR="007F07DD" w:rsidRDefault="007F07DD" w:rsidP="007F07DD">
      <w:pPr>
        <w:tabs>
          <w:tab w:val="left" w:pos="360"/>
        </w:tabs>
        <w:spacing w:before="60" w:after="60"/>
        <w:jc w:val="both"/>
        <w:rPr>
          <w:rFonts w:ascii="Verdana" w:hAnsi="Verdana"/>
          <w:sz w:val="16"/>
          <w:szCs w:val="16"/>
        </w:rPr>
      </w:pPr>
    </w:p>
    <w:p w:rsidR="007F07DD" w:rsidRDefault="007F07DD" w:rsidP="007F07DD">
      <w:pPr>
        <w:tabs>
          <w:tab w:val="left" w:pos="360"/>
        </w:tabs>
        <w:spacing w:before="60" w:after="60"/>
        <w:jc w:val="both"/>
        <w:rPr>
          <w:rFonts w:ascii="Verdana" w:hAnsi="Verdana"/>
          <w:sz w:val="16"/>
          <w:szCs w:val="16"/>
        </w:rPr>
      </w:pPr>
    </w:p>
    <w:p w:rsidR="007F07DD" w:rsidRDefault="007F07DD" w:rsidP="007F07DD">
      <w:pPr>
        <w:pStyle w:val="Akapitzlist"/>
        <w:tabs>
          <w:tab w:val="left" w:pos="0"/>
        </w:tabs>
        <w:spacing w:before="60" w:after="60"/>
        <w:ind w:left="0"/>
        <w:contextualSpacing w:val="0"/>
        <w:jc w:val="both"/>
        <w:rPr>
          <w:rFonts w:ascii="Verdana" w:hAnsi="Verdana" w:cs="Verdana"/>
          <w:sz w:val="16"/>
          <w:szCs w:val="16"/>
        </w:rPr>
      </w:pPr>
      <w:r>
        <w:rPr>
          <w:rFonts w:ascii="Verdana" w:hAnsi="Verdana"/>
          <w:sz w:val="16"/>
          <w:szCs w:val="16"/>
        </w:rPr>
        <w:lastRenderedPageBreak/>
        <w:t xml:space="preserve">W związku z powyższym dochody i wydatki </w:t>
      </w:r>
      <w:r w:rsidRPr="007D254D">
        <w:rPr>
          <w:rFonts w:ascii="Verdana" w:hAnsi="Verdana" w:cs="Arial"/>
          <w:sz w:val="16"/>
          <w:szCs w:val="16"/>
        </w:rPr>
        <w:t>związane z Programem „Rodzina 500 Plus”</w:t>
      </w:r>
      <w:r>
        <w:rPr>
          <w:rFonts w:ascii="Verdana" w:hAnsi="Verdana" w:cs="Arial"/>
          <w:sz w:val="16"/>
          <w:szCs w:val="16"/>
        </w:rPr>
        <w:t xml:space="preserve"> ujęte w planie na 2022 r. są niższe o </w:t>
      </w:r>
      <w:r>
        <w:rPr>
          <w:rFonts w:ascii="Verdana" w:hAnsi="Verdana" w:cs="Arial"/>
          <w:b/>
          <w:sz w:val="16"/>
          <w:szCs w:val="16"/>
        </w:rPr>
        <w:t>1,187 mld zł</w:t>
      </w:r>
      <w:r>
        <w:rPr>
          <w:rFonts w:ascii="Verdana" w:hAnsi="Verdana" w:cs="Arial"/>
          <w:sz w:val="16"/>
          <w:szCs w:val="16"/>
        </w:rPr>
        <w:t xml:space="preserve"> od zaplanowanych na 2021 r. i wynoszą </w:t>
      </w:r>
      <w:r>
        <w:rPr>
          <w:rFonts w:ascii="Verdana" w:hAnsi="Verdana" w:cs="Arial"/>
          <w:b/>
          <w:sz w:val="16"/>
          <w:szCs w:val="16"/>
        </w:rPr>
        <w:t>835</w:t>
      </w:r>
      <w:r w:rsidRPr="00620295">
        <w:rPr>
          <w:rFonts w:ascii="Verdana" w:hAnsi="Verdana" w:cs="Arial"/>
          <w:b/>
          <w:sz w:val="16"/>
          <w:szCs w:val="16"/>
        </w:rPr>
        <w:t xml:space="preserve"> mln zł</w:t>
      </w:r>
      <w:r>
        <w:rPr>
          <w:rFonts w:ascii="Verdana" w:hAnsi="Verdana" w:cs="Arial"/>
          <w:sz w:val="16"/>
          <w:szCs w:val="16"/>
        </w:rPr>
        <w:t xml:space="preserve"> w 2022 r. wobec </w:t>
      </w:r>
      <w:r>
        <w:rPr>
          <w:rFonts w:ascii="Verdana" w:hAnsi="Verdana" w:cs="Arial"/>
          <w:b/>
          <w:sz w:val="16"/>
          <w:szCs w:val="16"/>
        </w:rPr>
        <w:t xml:space="preserve">2,022 </w:t>
      </w:r>
      <w:r w:rsidRPr="00620295">
        <w:rPr>
          <w:rFonts w:ascii="Verdana" w:hAnsi="Verdana" w:cs="Arial"/>
          <w:b/>
          <w:sz w:val="16"/>
          <w:szCs w:val="16"/>
        </w:rPr>
        <w:t>mld zł</w:t>
      </w:r>
      <w:r>
        <w:rPr>
          <w:rFonts w:ascii="Verdana" w:hAnsi="Verdana" w:cs="Arial"/>
          <w:sz w:val="16"/>
          <w:szCs w:val="16"/>
        </w:rPr>
        <w:t xml:space="preserve"> </w:t>
      </w:r>
      <w:r>
        <w:rPr>
          <w:rFonts w:ascii="Verdana" w:hAnsi="Verdana" w:cs="Arial"/>
          <w:sz w:val="16"/>
          <w:szCs w:val="16"/>
        </w:rPr>
        <w:br/>
        <w:t>w 2021 r.</w:t>
      </w:r>
    </w:p>
    <w:p w:rsidR="007F07DD" w:rsidRPr="005A24CD" w:rsidRDefault="007F07DD" w:rsidP="007F07DD">
      <w:pPr>
        <w:pStyle w:val="Akapitzlist"/>
        <w:numPr>
          <w:ilvl w:val="0"/>
          <w:numId w:val="64"/>
        </w:numPr>
        <w:spacing w:before="240" w:after="60"/>
        <w:ind w:left="284" w:hanging="284"/>
        <w:contextualSpacing w:val="0"/>
        <w:rPr>
          <w:rFonts w:ascii="Verdana" w:hAnsi="Verdana" w:cs="Arial"/>
          <w:b/>
          <w:sz w:val="16"/>
          <w:szCs w:val="16"/>
        </w:rPr>
      </w:pPr>
      <w:r>
        <w:rPr>
          <w:rFonts w:ascii="Verdana" w:hAnsi="Verdana" w:cs="Arial"/>
          <w:b/>
          <w:sz w:val="16"/>
          <w:szCs w:val="16"/>
        </w:rPr>
        <w:t>WPŁYW ZMIAN LEGISLACYJNYCH W SYSTEMIE DOCHODÓW SAMORZĄDÓW</w:t>
      </w:r>
      <w:r>
        <w:rPr>
          <w:rFonts w:ascii="Verdana" w:hAnsi="Verdana" w:cs="Arial"/>
          <w:b/>
          <w:sz w:val="16"/>
          <w:szCs w:val="16"/>
        </w:rPr>
        <w:br/>
        <w:t>NA UWARUNKOWANIA BUDŻETOWE M.ST. WARSZAWY</w:t>
      </w:r>
    </w:p>
    <w:p w:rsidR="007F07DD" w:rsidRPr="004E5077" w:rsidRDefault="007F07DD" w:rsidP="007F07DD">
      <w:pPr>
        <w:spacing w:before="120" w:after="60"/>
        <w:ind w:firstLine="567"/>
        <w:jc w:val="both"/>
        <w:rPr>
          <w:rFonts w:ascii="Verdana" w:hAnsi="Verdana"/>
          <w:iCs/>
          <w:sz w:val="16"/>
          <w:szCs w:val="16"/>
        </w:rPr>
      </w:pPr>
      <w:r w:rsidRPr="004E5077">
        <w:rPr>
          <w:rFonts w:ascii="Verdana" w:hAnsi="Verdana"/>
          <w:iCs/>
          <w:sz w:val="16"/>
          <w:szCs w:val="16"/>
        </w:rPr>
        <w:t xml:space="preserve">Syntetyczne podsumowanie wpływu </w:t>
      </w:r>
      <w:r>
        <w:rPr>
          <w:rFonts w:ascii="Verdana" w:hAnsi="Verdana"/>
          <w:iCs/>
          <w:sz w:val="16"/>
          <w:szCs w:val="16"/>
        </w:rPr>
        <w:t xml:space="preserve">rządowego </w:t>
      </w:r>
      <w:r w:rsidRPr="004E5077">
        <w:rPr>
          <w:rFonts w:ascii="Verdana" w:hAnsi="Verdana"/>
          <w:iCs/>
          <w:sz w:val="16"/>
          <w:szCs w:val="16"/>
        </w:rPr>
        <w:t xml:space="preserve">Programu Polski Ład na dochody m.st. Warszawy </w:t>
      </w:r>
      <w:r>
        <w:rPr>
          <w:rFonts w:ascii="Verdana" w:hAnsi="Verdana"/>
          <w:iCs/>
          <w:sz w:val="16"/>
          <w:szCs w:val="16"/>
        </w:rPr>
        <w:br/>
      </w:r>
      <w:r w:rsidRPr="004E5077">
        <w:rPr>
          <w:rFonts w:ascii="Verdana" w:hAnsi="Verdana"/>
          <w:iCs/>
          <w:sz w:val="16"/>
          <w:szCs w:val="16"/>
        </w:rPr>
        <w:t xml:space="preserve">w perspektywie 10 lat obejmujące </w:t>
      </w:r>
      <w:r>
        <w:rPr>
          <w:rFonts w:ascii="Verdana" w:hAnsi="Verdana"/>
          <w:iCs/>
          <w:sz w:val="16"/>
          <w:szCs w:val="16"/>
        </w:rPr>
        <w:t>lata</w:t>
      </w:r>
      <w:r w:rsidRPr="004E5077">
        <w:rPr>
          <w:rFonts w:ascii="Verdana" w:hAnsi="Verdana"/>
          <w:iCs/>
          <w:sz w:val="16"/>
          <w:szCs w:val="16"/>
        </w:rPr>
        <w:t xml:space="preserve"> 2022-2031 </w:t>
      </w:r>
      <w:r>
        <w:rPr>
          <w:rFonts w:ascii="Verdana" w:hAnsi="Verdana"/>
          <w:iCs/>
          <w:sz w:val="16"/>
          <w:szCs w:val="16"/>
        </w:rPr>
        <w:t>prezentuje poniższa tabela nr 2.</w:t>
      </w:r>
    </w:p>
    <w:p w:rsidR="007F07DD" w:rsidRPr="00E600B6" w:rsidRDefault="007F07DD" w:rsidP="007F07DD">
      <w:pPr>
        <w:spacing w:before="60" w:after="60"/>
        <w:jc w:val="both"/>
        <w:rPr>
          <w:rFonts w:ascii="Verdana" w:hAnsi="Verdana"/>
          <w:iCs/>
          <w:sz w:val="16"/>
          <w:szCs w:val="16"/>
        </w:rPr>
      </w:pPr>
      <w:r w:rsidRPr="00E600B6">
        <w:rPr>
          <w:rFonts w:ascii="Verdana" w:hAnsi="Verdana"/>
          <w:b/>
          <w:iCs/>
          <w:sz w:val="16"/>
          <w:szCs w:val="16"/>
        </w:rPr>
        <w:t>Analiza danych zawartych w tabeli</w:t>
      </w:r>
      <w:r>
        <w:rPr>
          <w:rFonts w:ascii="Verdana" w:hAnsi="Verdana"/>
          <w:b/>
          <w:iCs/>
          <w:sz w:val="16"/>
          <w:szCs w:val="16"/>
        </w:rPr>
        <w:t xml:space="preserve"> nr 2</w:t>
      </w:r>
      <w:r w:rsidRPr="00E600B6">
        <w:rPr>
          <w:rFonts w:ascii="Verdana" w:hAnsi="Verdana"/>
          <w:b/>
          <w:iCs/>
          <w:sz w:val="16"/>
          <w:szCs w:val="16"/>
        </w:rPr>
        <w:t>, wskazuje iż w pierwszym roku oddziaływania Programu Polski Ład,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w:t>
      </w:r>
      <w:r>
        <w:rPr>
          <w:rFonts w:ascii="Verdana" w:hAnsi="Verdana"/>
          <w:b/>
          <w:iCs/>
          <w:sz w:val="16"/>
          <w:szCs w:val="16"/>
        </w:rPr>
        <w:t>1,048 mld</w:t>
      </w:r>
      <w:r w:rsidRPr="00E600B6">
        <w:rPr>
          <w:rFonts w:ascii="Verdana" w:hAnsi="Verdana"/>
          <w:b/>
          <w:iCs/>
          <w:sz w:val="16"/>
          <w:szCs w:val="16"/>
        </w:rPr>
        <w:t xml:space="preserve"> zł</w:t>
      </w:r>
      <w:r>
        <w:rPr>
          <w:rFonts w:ascii="Verdana" w:hAnsi="Verdana"/>
          <w:b/>
          <w:iCs/>
          <w:sz w:val="16"/>
          <w:szCs w:val="16"/>
        </w:rPr>
        <w:t xml:space="preserve"> (z uwzględnieniem wyższej wpłaty na tzw. Janosikowe)</w:t>
      </w:r>
      <w:r w:rsidRPr="00E600B6">
        <w:rPr>
          <w:rFonts w:ascii="Verdana" w:hAnsi="Verdana"/>
          <w:b/>
          <w:iCs/>
          <w:sz w:val="16"/>
          <w:szCs w:val="16"/>
        </w:rPr>
        <w:t xml:space="preserve">, w stosunku do sytuacji, w której nie wprowadzono by takich zmian. W kolejnych </w:t>
      </w:r>
      <w:r>
        <w:rPr>
          <w:rFonts w:ascii="Verdana" w:hAnsi="Verdana"/>
          <w:b/>
          <w:iCs/>
          <w:sz w:val="16"/>
          <w:szCs w:val="16"/>
        </w:rPr>
        <w:t>latach</w:t>
      </w:r>
      <w:r w:rsidRPr="00E600B6">
        <w:rPr>
          <w:rFonts w:ascii="Verdana" w:hAnsi="Verdana"/>
          <w:b/>
          <w:iCs/>
          <w:sz w:val="16"/>
          <w:szCs w:val="16"/>
        </w:rPr>
        <w:t xml:space="preserve"> ubytek dochodów szacowany jest na k</w:t>
      </w:r>
      <w:r>
        <w:rPr>
          <w:rFonts w:ascii="Verdana" w:hAnsi="Verdana"/>
          <w:b/>
          <w:iCs/>
          <w:sz w:val="16"/>
          <w:szCs w:val="16"/>
        </w:rPr>
        <w:t>wotę przeszło 1,3 mld zł w każdym roku</w:t>
      </w:r>
      <w:r w:rsidRPr="00963D95">
        <w:rPr>
          <w:rFonts w:ascii="Verdana" w:hAnsi="Verdana"/>
          <w:iCs/>
          <w:sz w:val="16"/>
          <w:szCs w:val="16"/>
        </w:rPr>
        <w:t>.</w:t>
      </w:r>
    </w:p>
    <w:p w:rsidR="007F07DD" w:rsidRPr="00011AAA" w:rsidRDefault="007F07DD" w:rsidP="007F07DD">
      <w:pPr>
        <w:spacing w:before="60" w:after="60" w:line="240" w:lineRule="auto"/>
        <w:rPr>
          <w:rFonts w:ascii="Verdana" w:hAnsi="Verdana"/>
          <w:b/>
          <w:bCs/>
          <w:iCs/>
          <w:sz w:val="14"/>
          <w:szCs w:val="14"/>
        </w:rPr>
      </w:pPr>
      <w:r w:rsidRPr="00011AAA">
        <w:rPr>
          <w:rFonts w:ascii="Verdana" w:hAnsi="Verdana"/>
          <w:b/>
          <w:bCs/>
          <w:iCs/>
          <w:sz w:val="14"/>
          <w:szCs w:val="14"/>
        </w:rPr>
        <w:t xml:space="preserve">TAB. </w:t>
      </w:r>
      <w:r w:rsidRPr="00011AAA">
        <w:rPr>
          <w:rFonts w:ascii="Verdana" w:hAnsi="Verdana"/>
          <w:b/>
          <w:bCs/>
          <w:iCs/>
          <w:sz w:val="14"/>
          <w:szCs w:val="14"/>
        </w:rPr>
        <w:fldChar w:fldCharType="begin"/>
      </w:r>
      <w:r w:rsidRPr="00011AAA">
        <w:rPr>
          <w:rFonts w:ascii="Verdana" w:hAnsi="Verdana"/>
          <w:b/>
          <w:bCs/>
          <w:iCs/>
          <w:sz w:val="14"/>
          <w:szCs w:val="14"/>
        </w:rPr>
        <w:instrText xml:space="preserve"> SEQ Tab. \* ARABIC </w:instrText>
      </w:r>
      <w:r w:rsidRPr="00011AAA">
        <w:rPr>
          <w:rFonts w:ascii="Verdana" w:hAnsi="Verdana"/>
          <w:b/>
          <w:bCs/>
          <w:iCs/>
          <w:sz w:val="14"/>
          <w:szCs w:val="14"/>
        </w:rPr>
        <w:fldChar w:fldCharType="separate"/>
      </w:r>
      <w:r>
        <w:rPr>
          <w:rFonts w:ascii="Verdana" w:hAnsi="Verdana"/>
          <w:b/>
          <w:bCs/>
          <w:iCs/>
          <w:noProof/>
          <w:sz w:val="14"/>
          <w:szCs w:val="14"/>
        </w:rPr>
        <w:t>2</w:t>
      </w:r>
      <w:r w:rsidRPr="00011AAA">
        <w:rPr>
          <w:rFonts w:ascii="Verdana" w:hAnsi="Verdana"/>
          <w:b/>
          <w:bCs/>
          <w:iCs/>
          <w:sz w:val="14"/>
          <w:szCs w:val="14"/>
        </w:rPr>
        <w:fldChar w:fldCharType="end"/>
      </w:r>
      <w:r w:rsidRPr="00011AAA">
        <w:rPr>
          <w:rFonts w:ascii="Verdana" w:hAnsi="Verdana"/>
          <w:b/>
          <w:bCs/>
          <w:iCs/>
          <w:sz w:val="14"/>
          <w:szCs w:val="14"/>
        </w:rPr>
        <w:t>.</w:t>
      </w:r>
      <w:r w:rsidRPr="00011AAA">
        <w:rPr>
          <w:b/>
          <w:bCs/>
          <w:iCs/>
          <w:sz w:val="14"/>
          <w:szCs w:val="14"/>
        </w:rPr>
        <w:t xml:space="preserve"> </w:t>
      </w:r>
      <w:r>
        <w:rPr>
          <w:rFonts w:ascii="Verdana" w:hAnsi="Verdana" w:cs="Arial"/>
          <w:b/>
          <w:bCs/>
          <w:iCs/>
          <w:sz w:val="14"/>
          <w:szCs w:val="14"/>
        </w:rPr>
        <w:t xml:space="preserve">WPŁYW PROGRAMU POLSKI ŁAD NA DOCHODY M.ST. WARSZAWY W PERSPEKTYWIE 10 LAT, </w:t>
      </w:r>
      <w:r>
        <w:rPr>
          <w:rFonts w:ascii="Verdana" w:hAnsi="Verdana" w:cs="Arial"/>
          <w:b/>
          <w:bCs/>
          <w:iCs/>
          <w:sz w:val="14"/>
          <w:szCs w:val="14"/>
        </w:rPr>
        <w:br/>
        <w:t xml:space="preserve">            TJ. W LATACH 2022-2031</w:t>
      </w:r>
      <w:r w:rsidRPr="00A24779">
        <w:rPr>
          <w:rFonts w:ascii="Verdana" w:hAnsi="Verdana" w:cs="Arial"/>
          <w:sz w:val="14"/>
          <w:szCs w:val="14"/>
        </w:rPr>
        <w:t xml:space="preserve"> [</w:t>
      </w:r>
      <w:r>
        <w:rPr>
          <w:rFonts w:ascii="Verdana" w:hAnsi="Verdana" w:cs="Arial"/>
          <w:sz w:val="14"/>
          <w:szCs w:val="14"/>
        </w:rPr>
        <w:t xml:space="preserve">w </w:t>
      </w:r>
      <w:r w:rsidRPr="00A24779">
        <w:rPr>
          <w:rFonts w:ascii="Verdana" w:hAnsi="Verdana" w:cs="Arial"/>
          <w:sz w:val="14"/>
          <w:szCs w:val="14"/>
        </w:rPr>
        <w:t>mln zł]</w:t>
      </w:r>
    </w:p>
    <w:p w:rsidR="007F07DD" w:rsidRPr="00011AAA" w:rsidRDefault="007F07DD" w:rsidP="007F07DD">
      <w:pPr>
        <w:spacing w:before="60" w:after="60" w:line="240" w:lineRule="auto"/>
        <w:jc w:val="both"/>
        <w:rPr>
          <w:rFonts w:ascii="Verdana" w:hAnsi="Verdana" w:cs="Arial"/>
          <w:iCs/>
          <w:sz w:val="20"/>
        </w:rPr>
      </w:pPr>
      <w:r w:rsidRPr="008211D9">
        <w:rPr>
          <w:noProof/>
        </w:rPr>
        <w:drawing>
          <wp:inline distT="0" distB="0" distL="0" distR="0" wp14:anchorId="59AB0987" wp14:editId="11996E31">
            <wp:extent cx="5760085" cy="2978266"/>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2978266"/>
                    </a:xfrm>
                    <a:prstGeom prst="rect">
                      <a:avLst/>
                    </a:prstGeom>
                    <a:noFill/>
                    <a:ln>
                      <a:noFill/>
                    </a:ln>
                  </pic:spPr>
                </pic:pic>
              </a:graphicData>
            </a:graphic>
          </wp:inline>
        </w:drawing>
      </w:r>
    </w:p>
    <w:p w:rsidR="007F07DD" w:rsidRDefault="007F07DD" w:rsidP="007F07DD">
      <w:pPr>
        <w:spacing w:before="120" w:after="60"/>
        <w:ind w:firstLine="567"/>
        <w:jc w:val="both"/>
        <w:rPr>
          <w:rFonts w:ascii="Verdana" w:hAnsi="Verdana"/>
          <w:iCs/>
          <w:sz w:val="16"/>
          <w:szCs w:val="16"/>
        </w:rPr>
      </w:pPr>
      <w:r w:rsidRPr="000208BA">
        <w:rPr>
          <w:rFonts w:ascii="Verdana" w:hAnsi="Verdana"/>
          <w:b/>
          <w:iCs/>
          <w:sz w:val="16"/>
          <w:szCs w:val="16"/>
        </w:rPr>
        <w:t>Zmiany założone w rządowym Programie Polski Ład staną się kolejnym systemowym uszczupleniem dochodów własnych samorządów.</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w:t>
      </w:r>
      <w:r w:rsidRPr="00C61BE6">
        <w:rPr>
          <w:rFonts w:ascii="Verdana" w:hAnsi="Verdana"/>
          <w:b/>
          <w:iCs/>
          <w:sz w:val="16"/>
          <w:szCs w:val="16"/>
        </w:rPr>
        <w:t>co oznacza że dochody m.st. Warszawy zostają trwale ograniczone o kwotę blisko 2,</w:t>
      </w:r>
      <w:r>
        <w:rPr>
          <w:rFonts w:ascii="Verdana" w:hAnsi="Verdana"/>
          <w:b/>
          <w:iCs/>
          <w:sz w:val="16"/>
          <w:szCs w:val="16"/>
        </w:rPr>
        <w:t>6</w:t>
      </w:r>
      <w:r w:rsidRPr="00C61BE6">
        <w:rPr>
          <w:rFonts w:ascii="Verdana" w:hAnsi="Verdana"/>
          <w:b/>
          <w:iCs/>
          <w:sz w:val="16"/>
          <w:szCs w:val="16"/>
        </w:rPr>
        <w:t xml:space="preserve"> mld zł rocznie od 2022 r.</w:t>
      </w:r>
      <w:r w:rsidRPr="00E600B6">
        <w:rPr>
          <w:rFonts w:ascii="Verdana" w:hAnsi="Verdana"/>
          <w:iCs/>
          <w:sz w:val="16"/>
          <w:szCs w:val="16"/>
        </w:rPr>
        <w:t xml:space="preserve"> (skutki będą złagodzone, </w:t>
      </w:r>
      <w:r>
        <w:rPr>
          <w:rFonts w:ascii="Verdana" w:hAnsi="Verdana"/>
          <w:iCs/>
          <w:sz w:val="16"/>
          <w:szCs w:val="16"/>
        </w:rPr>
        <w:t>w 2022 r. o 46</w:t>
      </w:r>
      <w:r w:rsidRPr="00E600B6">
        <w:rPr>
          <w:rFonts w:ascii="Verdana" w:hAnsi="Verdana"/>
          <w:iCs/>
          <w:sz w:val="16"/>
          <w:szCs w:val="16"/>
        </w:rPr>
        <w:t>8 mln zł poprzez dodatkową jednorazową subwencję, a od 2023 r. o 40 mln zł z uwagi na kwotę podstawową subwencji rozwojowej), jako konsekwencja:</w:t>
      </w:r>
    </w:p>
    <w:p w:rsidR="007F07DD" w:rsidRPr="00E600B6" w:rsidRDefault="007F07DD" w:rsidP="007F07DD">
      <w:pPr>
        <w:pStyle w:val="Akapitzlist"/>
        <w:numPr>
          <w:ilvl w:val="0"/>
          <w:numId w:val="49"/>
        </w:numPr>
        <w:spacing w:before="60" w:after="60"/>
        <w:ind w:left="709" w:hanging="283"/>
        <w:contextualSpacing w:val="0"/>
        <w:jc w:val="both"/>
        <w:rPr>
          <w:rFonts w:ascii="Verdana" w:hAnsi="Verdana"/>
          <w:iCs/>
          <w:sz w:val="16"/>
          <w:szCs w:val="16"/>
        </w:rPr>
      </w:pPr>
      <w:r w:rsidRPr="00E600B6">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E600B6">
        <w:rPr>
          <w:rFonts w:ascii="Verdana" w:hAnsi="Verdana"/>
          <w:iCs/>
          <w:sz w:val="16"/>
          <w:szCs w:val="16"/>
        </w:rPr>
        <w:t>przekształceniowej</w:t>
      </w:r>
      <w:proofErr w:type="spellEnd"/>
      <w:r w:rsidRPr="00E600B6">
        <w:rPr>
          <w:rFonts w:ascii="Verdana" w:hAnsi="Verdana"/>
          <w:iCs/>
          <w:sz w:val="16"/>
          <w:szCs w:val="16"/>
        </w:rPr>
        <w:t xml:space="preserve">, co trwale pozbawiło Miasto dochodów z opłat za użytkowanie wieczyste gruntów w kwocie </w:t>
      </w:r>
      <w:r w:rsidRPr="00E600B6">
        <w:rPr>
          <w:rFonts w:ascii="Verdana" w:hAnsi="Verdana"/>
          <w:b/>
          <w:iCs/>
          <w:sz w:val="16"/>
          <w:szCs w:val="16"/>
        </w:rPr>
        <w:t>330 mln zł rocznie</w:t>
      </w:r>
      <w:r w:rsidRPr="00E600B6">
        <w:rPr>
          <w:rFonts w:ascii="Verdana" w:hAnsi="Verdana"/>
          <w:iCs/>
          <w:sz w:val="16"/>
          <w:szCs w:val="16"/>
        </w:rPr>
        <w:t>,</w:t>
      </w:r>
    </w:p>
    <w:p w:rsidR="007F07DD" w:rsidRDefault="007F07DD" w:rsidP="007F07DD">
      <w:pPr>
        <w:pStyle w:val="Akapitzlist"/>
        <w:numPr>
          <w:ilvl w:val="0"/>
          <w:numId w:val="49"/>
        </w:numPr>
        <w:spacing w:before="60" w:after="60"/>
        <w:ind w:left="709" w:hanging="283"/>
        <w:contextualSpacing w:val="0"/>
        <w:jc w:val="both"/>
        <w:rPr>
          <w:rFonts w:ascii="Verdana" w:hAnsi="Verdana"/>
          <w:iCs/>
          <w:sz w:val="16"/>
          <w:szCs w:val="16"/>
        </w:rPr>
      </w:pPr>
      <w:r w:rsidRPr="00E600B6">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w:t>
      </w:r>
      <w:r>
        <w:rPr>
          <w:rFonts w:ascii="Verdana" w:hAnsi="Verdana"/>
          <w:iCs/>
          <w:sz w:val="16"/>
          <w:szCs w:val="16"/>
        </w:rPr>
        <w:t xml:space="preserve">jak się szacuje </w:t>
      </w:r>
      <w:r w:rsidRPr="00E600B6">
        <w:rPr>
          <w:rFonts w:ascii="Verdana" w:hAnsi="Verdana"/>
          <w:iCs/>
          <w:sz w:val="16"/>
          <w:szCs w:val="16"/>
        </w:rPr>
        <w:t xml:space="preserve">pozbawiło budżet Miasta dochodów w łącznej kwocie </w:t>
      </w:r>
      <w:r w:rsidRPr="00E600B6">
        <w:rPr>
          <w:rFonts w:ascii="Verdana" w:hAnsi="Verdana"/>
          <w:b/>
          <w:iCs/>
          <w:sz w:val="16"/>
          <w:szCs w:val="16"/>
        </w:rPr>
        <w:t>700 mln zł rocznie</w:t>
      </w:r>
      <w:r w:rsidRPr="00E600B6">
        <w:rPr>
          <w:rFonts w:ascii="Verdana" w:hAnsi="Verdana"/>
          <w:iCs/>
          <w:sz w:val="16"/>
          <w:szCs w:val="16"/>
        </w:rPr>
        <w:t>,</w:t>
      </w:r>
    </w:p>
    <w:p w:rsidR="007F07DD" w:rsidRPr="00243A9C" w:rsidRDefault="007F07DD" w:rsidP="007F07DD">
      <w:pPr>
        <w:pStyle w:val="Akapitzlist"/>
        <w:numPr>
          <w:ilvl w:val="0"/>
          <w:numId w:val="49"/>
        </w:numPr>
        <w:spacing w:before="60" w:after="60"/>
        <w:ind w:left="709" w:hanging="283"/>
        <w:contextualSpacing w:val="0"/>
        <w:jc w:val="both"/>
        <w:rPr>
          <w:rFonts w:ascii="Verdana" w:hAnsi="Verdana"/>
          <w:iCs/>
          <w:sz w:val="16"/>
          <w:szCs w:val="16"/>
        </w:rPr>
      </w:pPr>
      <w:r>
        <w:rPr>
          <w:rFonts w:ascii="Verdana" w:hAnsi="Verdana" w:cs="Verdana"/>
          <w:sz w:val="16"/>
          <w:szCs w:val="16"/>
        </w:rPr>
        <w:t>podwyższenia od stycznia 2021 r.</w:t>
      </w:r>
      <w:r w:rsidRPr="00243A9C">
        <w:rPr>
          <w:rFonts w:ascii="Verdana" w:hAnsi="Verdana" w:cs="Verdana"/>
          <w:sz w:val="16"/>
          <w:szCs w:val="16"/>
        </w:rPr>
        <w:t xml:space="preserve"> z 250 tys. euro do 2 mln euro limitu przychodu umożliwiającego podatnikom prowadzącym pozarolniczą działalność gospodarczą skorzystanie z uproszczonej </w:t>
      </w:r>
      <w:r w:rsidRPr="00243A9C">
        <w:rPr>
          <w:rFonts w:ascii="Verdana" w:hAnsi="Verdana" w:cs="Verdana"/>
          <w:sz w:val="16"/>
          <w:szCs w:val="16"/>
        </w:rPr>
        <w:lastRenderedPageBreak/>
        <w:t>zryc</w:t>
      </w:r>
      <w:r>
        <w:rPr>
          <w:rFonts w:ascii="Verdana" w:hAnsi="Verdana" w:cs="Verdana"/>
          <w:sz w:val="16"/>
          <w:szCs w:val="16"/>
        </w:rPr>
        <w:t>załtowanej formy opodatkowania, czego efektem było</w:t>
      </w:r>
      <w:r w:rsidRPr="00243A9C">
        <w:rPr>
          <w:rFonts w:ascii="Verdana" w:hAnsi="Verdana" w:cs="Verdana"/>
          <w:sz w:val="16"/>
          <w:szCs w:val="16"/>
        </w:rPr>
        <w:t xml:space="preserve"> przejście podatników podatku dochodowego od osób fizycznych prowadzących działalność gospodarczą z opodatkowania na zasadach ogólnych, które stanowi podstawę udziału jednostek samorządu terytorialnego we wpływach z podatku dochodowego na zryczałtowany podatek dochodowy, który nie podlega dystryb</w:t>
      </w:r>
      <w:r>
        <w:rPr>
          <w:rFonts w:ascii="Verdana" w:hAnsi="Verdana" w:cs="Verdana"/>
          <w:sz w:val="16"/>
          <w:szCs w:val="16"/>
        </w:rPr>
        <w:t xml:space="preserve">ucji do jednostek samorządowych, </w:t>
      </w:r>
      <w:r w:rsidRPr="00E600B6">
        <w:rPr>
          <w:rFonts w:ascii="Verdana" w:hAnsi="Verdana"/>
          <w:iCs/>
          <w:sz w:val="16"/>
          <w:szCs w:val="16"/>
        </w:rPr>
        <w:t xml:space="preserve">co </w:t>
      </w:r>
      <w:r>
        <w:rPr>
          <w:rFonts w:ascii="Verdana" w:hAnsi="Verdana"/>
          <w:iCs/>
          <w:sz w:val="16"/>
          <w:szCs w:val="16"/>
        </w:rPr>
        <w:t xml:space="preserve">jak się szacuje </w:t>
      </w:r>
      <w:r w:rsidRPr="00E600B6">
        <w:rPr>
          <w:rFonts w:ascii="Verdana" w:hAnsi="Verdana"/>
          <w:iCs/>
          <w:sz w:val="16"/>
          <w:szCs w:val="16"/>
        </w:rPr>
        <w:t xml:space="preserve">pozbawiło budżet Miasta dochodów w łącznej kwocie </w:t>
      </w:r>
      <w:r>
        <w:rPr>
          <w:rFonts w:ascii="Verdana" w:hAnsi="Verdana"/>
          <w:b/>
          <w:iCs/>
          <w:sz w:val="16"/>
          <w:szCs w:val="16"/>
        </w:rPr>
        <w:t>190</w:t>
      </w:r>
      <w:r w:rsidRPr="00E600B6">
        <w:rPr>
          <w:rFonts w:ascii="Verdana" w:hAnsi="Verdana"/>
          <w:b/>
          <w:iCs/>
          <w:sz w:val="16"/>
          <w:szCs w:val="16"/>
        </w:rPr>
        <w:t xml:space="preserve"> mln zł rocznie</w:t>
      </w:r>
      <w:r w:rsidRPr="00E600B6">
        <w:rPr>
          <w:rFonts w:ascii="Verdana" w:hAnsi="Verdana"/>
          <w:iCs/>
          <w:sz w:val="16"/>
          <w:szCs w:val="16"/>
        </w:rPr>
        <w:t>,</w:t>
      </w:r>
    </w:p>
    <w:p w:rsidR="007F07DD" w:rsidRPr="0026159B" w:rsidRDefault="007F07DD" w:rsidP="007F07DD">
      <w:pPr>
        <w:pStyle w:val="Akapitzlist"/>
        <w:numPr>
          <w:ilvl w:val="0"/>
          <w:numId w:val="56"/>
        </w:numPr>
        <w:spacing w:before="60" w:after="120"/>
        <w:ind w:left="709" w:hanging="283"/>
        <w:contextualSpacing w:val="0"/>
        <w:jc w:val="both"/>
        <w:rPr>
          <w:rFonts w:ascii="Verdana" w:hAnsi="Verdana"/>
          <w:iCs/>
          <w:sz w:val="16"/>
          <w:szCs w:val="16"/>
        </w:rPr>
      </w:pPr>
      <w:r w:rsidRPr="0026159B">
        <w:rPr>
          <w:rFonts w:ascii="Verdana" w:hAnsi="Verdana"/>
          <w:iCs/>
          <w:sz w:val="16"/>
          <w:szCs w:val="16"/>
        </w:rPr>
        <w:t xml:space="preserve">przewidzianych w ramach Programu Polski Ład z terminem obowiązywania od 2022 r. zmian w podatku dochodowym od osób fizycznych (PIT), w szczególności polegających na: podwyższeniu do 30 tys. zł „kwoty wolnej” od podatku dla ogółu podatników obliczających podatek wg skali podatkowej, podwyższeniu do 120 tys. zł progu dochodów, po przekroczeniu którego ma zastosowanie 32% stawka podatku, likwidacji możliwości odliczenia składki na ubezpieczenie zdrowotne od podatku, wprowadzeniu ulgi obniżającej </w:t>
      </w:r>
      <w:r>
        <w:rPr>
          <w:rFonts w:ascii="Verdana" w:hAnsi="Verdana"/>
          <w:iCs/>
          <w:sz w:val="16"/>
          <w:szCs w:val="16"/>
        </w:rPr>
        <w:t xml:space="preserve">(do celów wyliczenia podatku) </w:t>
      </w:r>
      <w:r w:rsidRPr="0026159B">
        <w:rPr>
          <w:rFonts w:ascii="Verdana" w:hAnsi="Verdana"/>
          <w:iCs/>
          <w:sz w:val="16"/>
          <w:szCs w:val="16"/>
        </w:rPr>
        <w:t xml:space="preserve">dochód dla określonego przedziału dochodowego (miesięczny przychód brutto od 5.701 zł do 11.141 zł), w celu zniwelowania straty spowodowanej zniesieniem </w:t>
      </w:r>
      <w:proofErr w:type="spellStart"/>
      <w:r w:rsidRPr="0026159B">
        <w:rPr>
          <w:rFonts w:ascii="Verdana" w:hAnsi="Verdana"/>
          <w:iCs/>
          <w:sz w:val="16"/>
          <w:szCs w:val="16"/>
        </w:rPr>
        <w:t>odliczalności</w:t>
      </w:r>
      <w:proofErr w:type="spellEnd"/>
      <w:r w:rsidRPr="0026159B">
        <w:rPr>
          <w:rFonts w:ascii="Verdana" w:hAnsi="Verdana"/>
          <w:iCs/>
          <w:sz w:val="16"/>
          <w:szCs w:val="16"/>
        </w:rPr>
        <w:t xml:space="preserve"> składki zdrowotnej,</w:t>
      </w:r>
      <w:r>
        <w:rPr>
          <w:rFonts w:ascii="Verdana" w:hAnsi="Verdana"/>
          <w:iCs/>
          <w:sz w:val="16"/>
          <w:szCs w:val="16"/>
        </w:rPr>
        <w:t xml:space="preserve"> </w:t>
      </w:r>
      <w:r w:rsidRPr="0026159B">
        <w:rPr>
          <w:rFonts w:ascii="Verdana" w:hAnsi="Verdana"/>
          <w:iCs/>
          <w:sz w:val="16"/>
          <w:szCs w:val="16"/>
        </w:rPr>
        <w:t xml:space="preserve">które będą skutkowały łącznie obniżeniem dochodów </w:t>
      </w:r>
      <w:r>
        <w:rPr>
          <w:rFonts w:ascii="Verdana" w:hAnsi="Verdana"/>
          <w:iCs/>
          <w:sz w:val="16"/>
          <w:szCs w:val="16"/>
        </w:rPr>
        <w:br/>
      </w:r>
      <w:r w:rsidRPr="0026159B">
        <w:rPr>
          <w:rFonts w:ascii="Verdana" w:hAnsi="Verdana"/>
          <w:iCs/>
          <w:sz w:val="16"/>
          <w:szCs w:val="16"/>
        </w:rPr>
        <w:t xml:space="preserve">w kwocie </w:t>
      </w:r>
      <w:r w:rsidRPr="0026159B">
        <w:rPr>
          <w:rFonts w:ascii="Verdana" w:hAnsi="Verdana"/>
          <w:b/>
          <w:iCs/>
          <w:sz w:val="16"/>
          <w:szCs w:val="16"/>
        </w:rPr>
        <w:t>1,4 mld zł rocznie</w:t>
      </w:r>
      <w:r w:rsidRPr="0026159B">
        <w:rPr>
          <w:rFonts w:ascii="Verdana" w:hAnsi="Verdana"/>
          <w:iCs/>
          <w:sz w:val="16"/>
          <w:szCs w:val="16"/>
        </w:rPr>
        <w:t xml:space="preserve"> licząc w stosunku do warunków obecnego stanu prawnego.</w:t>
      </w:r>
    </w:p>
    <w:p w:rsidR="007F07DD" w:rsidRPr="00ED4767" w:rsidRDefault="007F07DD" w:rsidP="007F07DD">
      <w:pPr>
        <w:spacing w:before="60" w:after="60"/>
        <w:ind w:firstLine="567"/>
        <w:jc w:val="both"/>
        <w:rPr>
          <w:rFonts w:ascii="Verdana" w:hAnsi="Verdana"/>
          <w:sz w:val="16"/>
          <w:szCs w:val="16"/>
        </w:rPr>
      </w:pPr>
      <w:r w:rsidRPr="00ED4767">
        <w:rPr>
          <w:rFonts w:ascii="Verdana" w:hAnsi="Verdana" w:cs="Verdana"/>
          <w:b/>
          <w:sz w:val="16"/>
          <w:szCs w:val="16"/>
        </w:rPr>
        <w:t xml:space="preserve">W celu minimalizacji negatywnych następstw rządowego Programu Polski Ład dla zapewnienia odpowiedniego standardu bieżących usług publicznych, będących wynikiem znaczącej skali obniżenia potencjału dochodowego m.st. Warszawy oraz ze względu na konieczność zabezpieczenia finansowania kontynuacji realizowanego programu inwestycyjnego, założono iż dostosowania budżetowe do trwale ograniczonych dochodów będą miały charakter ewolucyjny, </w:t>
      </w:r>
      <w:r w:rsidRPr="00ED4767">
        <w:rPr>
          <w:rFonts w:ascii="Verdana" w:hAnsi="Verdana" w:cs="Verdana"/>
          <w:b/>
          <w:sz w:val="16"/>
          <w:szCs w:val="16"/>
        </w:rPr>
        <w:br/>
        <w:t>tzn. zostaną rozłożone w czasie. Proces absorbcji szoku dochodowego musi także uwzględniać k</w:t>
      </w:r>
      <w:r w:rsidRPr="00ED4767">
        <w:rPr>
          <w:rFonts w:ascii="Verdana" w:hAnsi="Verdana"/>
          <w:b/>
          <w:sz w:val="16"/>
          <w:szCs w:val="16"/>
        </w:rPr>
        <w:t>onstytutywny wpływ na kształtowanie polityki budżetowej m.st. Warszawy wymogów ustawowych</w:t>
      </w:r>
      <w:r w:rsidRPr="00ED4767">
        <w:rPr>
          <w:rFonts w:ascii="Verdana" w:hAnsi="Verdana"/>
          <w:sz w:val="16"/>
          <w:szCs w:val="16"/>
        </w:rPr>
        <w:t xml:space="preserve"> </w:t>
      </w:r>
      <w:r w:rsidRPr="00ED4767">
        <w:rPr>
          <w:rFonts w:ascii="Verdana" w:hAnsi="Verdana"/>
          <w:b/>
          <w:sz w:val="16"/>
          <w:szCs w:val="16"/>
        </w:rPr>
        <w:t xml:space="preserve">odnoszących się do limitowania co do zasady poziomu wydatków bieżących wysokością dochodów bieżących (art. 242 ustawy o finansach publicznych) oraz powiązania potencjału obsługi zadłużenia </w:t>
      </w:r>
      <w:r w:rsidRPr="00ED4767">
        <w:rPr>
          <w:rFonts w:ascii="Verdana" w:hAnsi="Verdana"/>
          <w:b/>
          <w:sz w:val="16"/>
          <w:szCs w:val="16"/>
        </w:rPr>
        <w:br/>
        <w:t>z wysokością generowanych historycznie nadwyżek operacyjnych (art. 243 ustawy o finansach publicznych).</w:t>
      </w:r>
      <w:r w:rsidRPr="00ED4767">
        <w:rPr>
          <w:rFonts w:ascii="Verdana" w:hAnsi="Verdana"/>
          <w:sz w:val="16"/>
          <w:szCs w:val="16"/>
        </w:rPr>
        <w:t xml:space="preserve"> </w:t>
      </w:r>
      <w:r w:rsidRPr="00ED4767">
        <w:rPr>
          <w:rFonts w:ascii="Verdana" w:hAnsi="Verdana"/>
          <w:b/>
          <w:sz w:val="16"/>
          <w:szCs w:val="16"/>
        </w:rPr>
        <w:t xml:space="preserve">Z uwagi na ograniczenie dochodów na skutek Programu Polski Ład ustawowe rygory ostrożnościowe dotyczące gospodarki finansowej jednostek samorządu terytorialnego automatycznie obniżają możliwości wydatkowe m.st. </w:t>
      </w:r>
      <w:r w:rsidRPr="00ED4767">
        <w:rPr>
          <w:rFonts w:ascii="Verdana" w:hAnsi="Verdana"/>
          <w:b/>
          <w:iCs/>
          <w:sz w:val="16"/>
          <w:szCs w:val="16"/>
        </w:rPr>
        <w:t>Warszawy</w:t>
      </w:r>
      <w:r w:rsidRPr="00ED4767">
        <w:rPr>
          <w:rFonts w:ascii="Verdana" w:hAnsi="Verdana"/>
          <w:iCs/>
          <w:sz w:val="16"/>
          <w:szCs w:val="16"/>
        </w:rPr>
        <w:t xml:space="preserve"> (wprowadzone na mocy </w:t>
      </w:r>
      <w:r w:rsidRPr="00ED4767">
        <w:rPr>
          <w:rFonts w:ascii="Verdana" w:hAnsi="Verdana" w:cs="Arial"/>
          <w:sz w:val="16"/>
          <w:szCs w:val="16"/>
        </w:rPr>
        <w:t xml:space="preserve">ustawy z 14 października 2021 r. </w:t>
      </w:r>
      <w:r w:rsidRPr="00ED4767">
        <w:rPr>
          <w:rFonts w:ascii="Verdana" w:hAnsi="Verdana" w:cs="Arial"/>
          <w:i/>
          <w:sz w:val="16"/>
          <w:szCs w:val="16"/>
        </w:rPr>
        <w:t>o zmianie ustawy o dochodach jednostek samorządu terytorialnego oraz niektórych innych ustaw</w:t>
      </w:r>
      <w:r w:rsidRPr="00ED4767">
        <w:rPr>
          <w:rFonts w:ascii="Verdana" w:hAnsi="Verdana" w:cs="Arial"/>
          <w:sz w:val="16"/>
          <w:szCs w:val="16"/>
        </w:rPr>
        <w:t xml:space="preserve"> </w:t>
      </w:r>
      <w:r w:rsidRPr="00ED4767">
        <w:rPr>
          <w:rFonts w:ascii="Verdana" w:hAnsi="Verdana"/>
          <w:iCs/>
          <w:sz w:val="16"/>
          <w:szCs w:val="16"/>
        </w:rPr>
        <w:t xml:space="preserve">zmiany </w:t>
      </w:r>
      <w:r>
        <w:rPr>
          <w:rFonts w:ascii="Verdana" w:hAnsi="Verdana"/>
          <w:iCs/>
          <w:sz w:val="16"/>
          <w:szCs w:val="16"/>
        </w:rPr>
        <w:br/>
      </w:r>
      <w:r w:rsidRPr="00ED4767">
        <w:rPr>
          <w:rFonts w:ascii="Verdana" w:hAnsi="Verdana"/>
          <w:iCs/>
          <w:sz w:val="16"/>
          <w:szCs w:val="16"/>
        </w:rPr>
        <w:t>w powyższych regułach są ograniczone w czasie do 2025 r., z tym że na niezmienione zasady wyznaczania limitu obsługi długu na lata począwszy od 2026 r. będą oddziaływały negatywne efekty dochodowe Programu Polski Ład już od pierwszego roku jego obowiązywania, czyli od 2022 r., ponieważ limit na 2026 r. i lata kolejne obliczany jest na podstawie poprzednich siedmiu lat)</w:t>
      </w:r>
      <w:r w:rsidRPr="00ED4767">
        <w:rPr>
          <w:rFonts w:ascii="Verdana" w:hAnsi="Verdana"/>
          <w:sz w:val="16"/>
          <w:szCs w:val="16"/>
        </w:rPr>
        <w:t>.</w:t>
      </w:r>
    </w:p>
    <w:p w:rsidR="007F07DD" w:rsidRDefault="007F07DD" w:rsidP="007F07DD">
      <w:pPr>
        <w:spacing w:before="60" w:after="60"/>
        <w:jc w:val="both"/>
        <w:rPr>
          <w:rFonts w:ascii="Verdana" w:hAnsi="Verdana"/>
          <w:b/>
          <w:bCs/>
          <w:iCs/>
          <w:sz w:val="14"/>
          <w:szCs w:val="14"/>
        </w:rPr>
      </w:pPr>
      <w:r w:rsidRPr="00ED4767">
        <w:rPr>
          <w:rFonts w:ascii="Verdana" w:hAnsi="Verdana" w:cs="Verdana"/>
          <w:sz w:val="16"/>
          <w:szCs w:val="16"/>
        </w:rPr>
        <w:t xml:space="preserve">Z uwagi na założone stopniowe dostosowania budżetowe do trwale ograniczonych dochodów, budżet </w:t>
      </w:r>
      <w:r w:rsidRPr="00ED4767">
        <w:rPr>
          <w:rFonts w:ascii="Verdana" w:hAnsi="Verdana" w:cs="Verdana"/>
          <w:sz w:val="16"/>
          <w:szCs w:val="16"/>
        </w:rPr>
        <w:br/>
        <w:t xml:space="preserve">m.st. Warszawy na 2022 r. przewiduje wystąpienie </w:t>
      </w:r>
      <w:r w:rsidRPr="00ED4767">
        <w:rPr>
          <w:rFonts w:ascii="Verdana" w:hAnsi="Verdana" w:cs="Verdana"/>
          <w:b/>
          <w:sz w:val="16"/>
          <w:szCs w:val="16"/>
        </w:rPr>
        <w:t>deficytu operacyjnego w kwocie</w:t>
      </w:r>
      <w:r w:rsidRPr="00ED4767">
        <w:rPr>
          <w:rFonts w:ascii="Verdana" w:hAnsi="Verdana" w:cs="Verdana"/>
          <w:sz w:val="16"/>
          <w:szCs w:val="16"/>
        </w:rPr>
        <w:t xml:space="preserve"> </w:t>
      </w:r>
      <w:r w:rsidRPr="00ED4767">
        <w:rPr>
          <w:rFonts w:ascii="Verdana" w:hAnsi="Verdana" w:cs="Verdana"/>
          <w:b/>
          <w:sz w:val="16"/>
          <w:szCs w:val="16"/>
        </w:rPr>
        <w:t>231 mln zł</w:t>
      </w:r>
      <w:r w:rsidRPr="00ED4767">
        <w:rPr>
          <w:rFonts w:ascii="Verdana" w:hAnsi="Verdana" w:cs="Verdana"/>
          <w:sz w:val="16"/>
          <w:szCs w:val="16"/>
        </w:rPr>
        <w:t xml:space="preserve">, oznaczającego nierównowagę dochodów bieżących i wydatków bieżących, na poziomie </w:t>
      </w:r>
      <w:r w:rsidRPr="00ED4767">
        <w:rPr>
          <w:rFonts w:ascii="Verdana" w:hAnsi="Verdana" w:cs="Verdana"/>
          <w:b/>
          <w:sz w:val="16"/>
          <w:szCs w:val="16"/>
        </w:rPr>
        <w:t>1,2%</w:t>
      </w:r>
      <w:r w:rsidRPr="00ED4767">
        <w:rPr>
          <w:rFonts w:ascii="Verdana" w:hAnsi="Verdana" w:cs="Verdana"/>
          <w:sz w:val="16"/>
          <w:szCs w:val="16"/>
        </w:rPr>
        <w:t xml:space="preserve"> (w kwestii formalnej zmienione przepisy ustawowe pozwalają na pokrycie w 2022 r. deficytu operacyjnego tzw. wolnymi środkami). W kolejnych latach zgodnie z Wieloletnią Prognozą Finansową edycji 2022-2050 konieczny będzie powrót do generowania nadwyżek operacyjnych determinujących zgodnie z art. 243 ustawy o finansach publicznych potencjał obsługi długu, co przedstawia poniższy wykres nr 4.</w:t>
      </w:r>
      <w:r>
        <w:rPr>
          <w:rFonts w:ascii="Verdana" w:hAnsi="Verdana"/>
          <w:b/>
          <w:bCs/>
          <w:iCs/>
          <w:sz w:val="14"/>
          <w:szCs w:val="14"/>
        </w:rPr>
        <w:br w:type="page"/>
      </w:r>
    </w:p>
    <w:p w:rsidR="007F07DD" w:rsidRDefault="007F07DD" w:rsidP="007F07DD">
      <w:pPr>
        <w:tabs>
          <w:tab w:val="left" w:pos="567"/>
        </w:tabs>
        <w:spacing w:before="120" w:after="60" w:line="240" w:lineRule="auto"/>
        <w:ind w:left="567" w:hanging="567"/>
        <w:rPr>
          <w:rFonts w:ascii="Verdana" w:hAnsi="Verdana" w:cs="Verdana"/>
          <w:sz w:val="16"/>
          <w:szCs w:val="16"/>
        </w:rPr>
      </w:pPr>
      <w:r w:rsidRPr="00011AAA">
        <w:rPr>
          <w:rFonts w:ascii="Verdana" w:hAnsi="Verdana"/>
          <w:b/>
          <w:bCs/>
          <w:iCs/>
          <w:sz w:val="14"/>
          <w:szCs w:val="14"/>
        </w:rPr>
        <w:lastRenderedPageBreak/>
        <w:t xml:space="preserve">WYK.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4</w:t>
      </w:r>
      <w:r w:rsidRPr="00011AAA">
        <w:rPr>
          <w:rFonts w:ascii="Verdana" w:hAnsi="Verdana"/>
          <w:b/>
          <w:bCs/>
          <w:iCs/>
          <w:sz w:val="14"/>
          <w:szCs w:val="14"/>
        </w:rPr>
        <w:fldChar w:fldCharType="end"/>
      </w:r>
      <w:r w:rsidRPr="00011AAA">
        <w:rPr>
          <w:rFonts w:ascii="Verdana" w:hAnsi="Verdana"/>
          <w:b/>
          <w:bCs/>
          <w:iCs/>
          <w:sz w:val="14"/>
          <w:szCs w:val="14"/>
        </w:rPr>
        <w:t>.</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PROGNOZA RELACJI DOCHODÓW BIEŻĄCYCH DO WYDATKÓW BIEŻĄCYCH NA LATA 2022-2030 </w:t>
      </w:r>
      <w:r>
        <w:rPr>
          <w:rFonts w:ascii="Verdana" w:hAnsi="Verdana" w:cs="Arial"/>
          <w:b/>
          <w:bCs/>
          <w:iCs/>
          <w:sz w:val="14"/>
          <w:szCs w:val="14"/>
        </w:rPr>
        <w:br/>
        <w:t xml:space="preserve">    NA TLE 2021 R. W M.ST. WARSZAWA </w:t>
      </w:r>
      <w:r>
        <w:rPr>
          <w:rFonts w:ascii="Verdana" w:hAnsi="Verdana" w:cs="Arial"/>
          <w:bCs/>
          <w:iCs/>
          <w:sz w:val="14"/>
          <w:szCs w:val="14"/>
        </w:rPr>
        <w:t>[w %]</w:t>
      </w:r>
    </w:p>
    <w:p w:rsidR="007F07DD" w:rsidRDefault="007F07DD" w:rsidP="007F07DD">
      <w:pPr>
        <w:spacing w:before="60" w:after="60"/>
        <w:jc w:val="both"/>
        <w:rPr>
          <w:rFonts w:ascii="Verdana" w:hAnsi="Verdana" w:cs="Verdana"/>
          <w:sz w:val="16"/>
          <w:szCs w:val="16"/>
        </w:rPr>
      </w:pPr>
      <w:r w:rsidRPr="00431D55">
        <w:rPr>
          <w:noProof/>
        </w:rPr>
        <w:drawing>
          <wp:inline distT="0" distB="0" distL="0" distR="0" wp14:anchorId="462501BA" wp14:editId="14C011B1">
            <wp:extent cx="4161657" cy="1549021"/>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5005" cy="1565156"/>
                    </a:xfrm>
                    <a:prstGeom prst="rect">
                      <a:avLst/>
                    </a:prstGeom>
                    <a:noFill/>
                    <a:ln>
                      <a:noFill/>
                    </a:ln>
                  </pic:spPr>
                </pic:pic>
              </a:graphicData>
            </a:graphic>
          </wp:inline>
        </w:drawing>
      </w:r>
    </w:p>
    <w:p w:rsidR="007F07DD" w:rsidRDefault="007F07DD" w:rsidP="007F07DD">
      <w:pPr>
        <w:spacing w:before="120" w:after="60"/>
        <w:jc w:val="both"/>
        <w:rPr>
          <w:rFonts w:ascii="Verdana" w:hAnsi="Verdana" w:cs="Verdana"/>
          <w:sz w:val="16"/>
          <w:szCs w:val="16"/>
        </w:rPr>
      </w:pPr>
      <w:r>
        <w:rPr>
          <w:rFonts w:ascii="Verdana" w:hAnsi="Verdana" w:cs="Verdana"/>
          <w:sz w:val="16"/>
          <w:szCs w:val="16"/>
        </w:rPr>
        <w:t xml:space="preserve">Założona ścieżka adaptacji parametrów budżetowych do trwale obniżonych dochodów z udziału w PIT zachowuje </w:t>
      </w:r>
      <w:r w:rsidRPr="005A3BE4">
        <w:rPr>
          <w:rFonts w:ascii="Verdana" w:hAnsi="Verdana" w:cs="Verdana"/>
          <w:b/>
          <w:sz w:val="16"/>
          <w:szCs w:val="16"/>
        </w:rPr>
        <w:t>minimalną przestrzeń między ustawowym limitem a wskaźnikie</w:t>
      </w:r>
      <w:r>
        <w:rPr>
          <w:rFonts w:ascii="Verdana" w:hAnsi="Verdana" w:cs="Verdana"/>
          <w:b/>
          <w:sz w:val="16"/>
          <w:szCs w:val="16"/>
        </w:rPr>
        <w:t xml:space="preserve">m obsługi długu na poziomie </w:t>
      </w:r>
      <w:r>
        <w:rPr>
          <w:rFonts w:ascii="Verdana" w:hAnsi="Verdana" w:cs="Verdana"/>
          <w:b/>
          <w:sz w:val="16"/>
          <w:szCs w:val="16"/>
        </w:rPr>
        <w:br/>
        <w:t>0,25</w:t>
      </w:r>
      <w:r w:rsidRPr="005A3BE4">
        <w:rPr>
          <w:rFonts w:ascii="Verdana" w:hAnsi="Verdana" w:cs="Verdana"/>
          <w:b/>
          <w:sz w:val="16"/>
          <w:szCs w:val="16"/>
        </w:rPr>
        <w:t xml:space="preserve"> pkt proc. występującą w 2027 r. (wskaźnik </w:t>
      </w:r>
      <w:r>
        <w:rPr>
          <w:rFonts w:ascii="Verdana" w:hAnsi="Verdana" w:cs="Verdana"/>
          <w:b/>
          <w:sz w:val="16"/>
          <w:szCs w:val="16"/>
        </w:rPr>
        <w:t>3,48% wobec limitu 3,73</w:t>
      </w:r>
      <w:r w:rsidRPr="005A3BE4">
        <w:rPr>
          <w:rFonts w:ascii="Verdana" w:hAnsi="Verdana" w:cs="Verdana"/>
          <w:b/>
          <w:sz w:val="16"/>
          <w:szCs w:val="16"/>
        </w:rPr>
        <w:t>%)</w:t>
      </w:r>
      <w:r>
        <w:rPr>
          <w:rFonts w:ascii="Verdana" w:hAnsi="Verdana" w:cs="Verdana"/>
          <w:b/>
          <w:sz w:val="16"/>
          <w:szCs w:val="16"/>
        </w:rPr>
        <w:t>. Limit obsługi długu na 2027 r. wyznaczają poziomy nadwyżek operacyjnych z lat 2020-2026, a więc z okresu dotkniętego następstwami społeczno-gospodarczymi pandemii oraz obejmującego lata negatywnych dla dochodów m.st. Warszawy zmian prawnych w podatku PIT (zmiany wprowadzone w 2019 r. z pełnymi skutkami od 2020 r. i zmiany zawarte w Programie Polski Ład ze skutkami od 2022 r.), a zarazem okres wyznaczania limitu obsługi długu na 2027 r. nie obejmuje nadwyżek operacyjnych generowanych przed 2020 r., a więc sprzed okresu pandemii i zmian w podatku PIT</w:t>
      </w:r>
      <w:r>
        <w:rPr>
          <w:rFonts w:ascii="Verdana" w:hAnsi="Verdana" w:cs="Verdana"/>
          <w:sz w:val="16"/>
          <w:szCs w:val="16"/>
        </w:rPr>
        <w:t xml:space="preserve">. Program Polski Ład nie przewiduje zmian w sposobie ustalania wysokości limitu obsługi długu na lata </w:t>
      </w:r>
      <w:r>
        <w:rPr>
          <w:rFonts w:ascii="Verdana" w:hAnsi="Verdana" w:cs="Verdana"/>
          <w:sz w:val="16"/>
          <w:szCs w:val="16"/>
        </w:rPr>
        <w:br/>
        <w:t xml:space="preserve">od 2026 r., a więc także dla 2027 r., za wyjątkiem obniżenia dolnego limitu udziału środków unijnych </w:t>
      </w:r>
      <w:r>
        <w:rPr>
          <w:rFonts w:ascii="Verdana" w:hAnsi="Verdana" w:cs="Verdana"/>
          <w:sz w:val="16"/>
          <w:szCs w:val="16"/>
        </w:rPr>
        <w:br/>
        <w:t xml:space="preserve">w realizacji inwestycji z 60% do 50% dopuszczającego stosowanie rozszerzonych wyłączeń z art. 243 z tytułu spłat długu zaciąganego na realizację tych inwestycji. Konieczność zachowania odpowiednich relacji między ustawowymi limitem a wskaźnikiem obsługi długu, w średnim okresie zdeterminowana jest przede wszystkim poziomem zapadalności długu zaciągniętego w latach ubiegłych, natomiast w dłuższym okresie musi także uwzględniać obciążenia związane z planowanym do zaciągnięcia długiem celem finansowania realizowanego programu inwestycyjnego. Poniższy wykres nr 5 prezentuje prognozowaną w perspektywie 2030 r. różnicę między ustawowymi limitem a wskaźnikiem obsługi długu zgodną z Wieloletnią Prognozą Finansową edycji 2022-2050, </w:t>
      </w:r>
      <w:r>
        <w:rPr>
          <w:rFonts w:ascii="Verdana" w:hAnsi="Verdana" w:cs="Verdana"/>
          <w:sz w:val="16"/>
          <w:szCs w:val="16"/>
        </w:rPr>
        <w:br/>
        <w:t xml:space="preserve">z minimalną wartością występująca w 2027 r. na poziomie </w:t>
      </w:r>
      <w:r>
        <w:rPr>
          <w:rFonts w:ascii="Verdana" w:hAnsi="Verdana" w:cs="Verdana"/>
          <w:b/>
          <w:sz w:val="16"/>
          <w:szCs w:val="16"/>
        </w:rPr>
        <w:t>0,25</w:t>
      </w:r>
      <w:r w:rsidRPr="00912C91">
        <w:rPr>
          <w:rFonts w:ascii="Verdana" w:hAnsi="Verdana" w:cs="Verdana"/>
          <w:b/>
          <w:sz w:val="16"/>
          <w:szCs w:val="16"/>
        </w:rPr>
        <w:t xml:space="preserve"> pkt proc.</w:t>
      </w:r>
    </w:p>
    <w:p w:rsidR="007F07DD" w:rsidRDefault="007F07DD" w:rsidP="007F07DD">
      <w:pPr>
        <w:tabs>
          <w:tab w:val="left" w:pos="567"/>
        </w:tabs>
        <w:spacing w:before="120" w:after="60" w:line="240" w:lineRule="auto"/>
        <w:ind w:left="567" w:hanging="567"/>
        <w:rPr>
          <w:rFonts w:ascii="Verdana" w:hAnsi="Verdana" w:cs="Verdana"/>
          <w:sz w:val="16"/>
          <w:szCs w:val="16"/>
        </w:rPr>
      </w:pPr>
      <w:r w:rsidRPr="00011AAA">
        <w:rPr>
          <w:rFonts w:ascii="Verdana" w:hAnsi="Verdana"/>
          <w:b/>
          <w:bCs/>
          <w:iCs/>
          <w:sz w:val="14"/>
          <w:szCs w:val="14"/>
        </w:rPr>
        <w:t xml:space="preserve">WYK.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5</w:t>
      </w:r>
      <w:r w:rsidRPr="00011AAA">
        <w:rPr>
          <w:rFonts w:ascii="Verdana" w:hAnsi="Verdana"/>
          <w:b/>
          <w:bCs/>
          <w:iCs/>
          <w:sz w:val="14"/>
          <w:szCs w:val="14"/>
        </w:rPr>
        <w:fldChar w:fldCharType="end"/>
      </w:r>
      <w:r w:rsidRPr="00011AAA">
        <w:rPr>
          <w:rFonts w:ascii="Verdana" w:hAnsi="Verdana"/>
          <w:b/>
          <w:bCs/>
          <w:iCs/>
          <w:sz w:val="14"/>
          <w:szCs w:val="14"/>
        </w:rPr>
        <w:t>.</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PROGNOZA RÓŻNICY MIĘDZY USTAWOWYMI LIMITEM A WSKAŹNIKIEM OBSŁUGI DŁUGU, TJ. REZERWA </w:t>
      </w:r>
      <w:r>
        <w:rPr>
          <w:rFonts w:ascii="Verdana" w:hAnsi="Verdana" w:cs="Arial"/>
          <w:b/>
          <w:bCs/>
          <w:iCs/>
          <w:sz w:val="14"/>
          <w:szCs w:val="14"/>
        </w:rPr>
        <w:br/>
        <w:t xml:space="preserve">    W LIMICIE OBSŁUGI DŁUGU (ART. 243 USTAWY O FINANSACH PUBLICZNYCH) NA LATA 2022-2030 </w:t>
      </w:r>
      <w:r>
        <w:rPr>
          <w:rFonts w:ascii="Verdana" w:hAnsi="Verdana" w:cs="Arial"/>
          <w:b/>
          <w:bCs/>
          <w:iCs/>
          <w:sz w:val="14"/>
          <w:szCs w:val="14"/>
        </w:rPr>
        <w:br/>
        <w:t xml:space="preserve">    NA TLE 2021 R. W M.ST. WARSZAWA </w:t>
      </w:r>
      <w:r>
        <w:rPr>
          <w:rFonts w:ascii="Verdana" w:hAnsi="Verdana" w:cs="Arial"/>
          <w:bCs/>
          <w:iCs/>
          <w:sz w:val="14"/>
          <w:szCs w:val="14"/>
        </w:rPr>
        <w:t>[w pkt proc.]</w:t>
      </w:r>
    </w:p>
    <w:p w:rsidR="007F07DD" w:rsidRDefault="007F07DD" w:rsidP="007F07DD">
      <w:pPr>
        <w:spacing w:before="60" w:after="60"/>
        <w:jc w:val="both"/>
        <w:rPr>
          <w:rFonts w:ascii="Verdana" w:hAnsi="Verdana" w:cs="Verdana"/>
          <w:sz w:val="16"/>
          <w:szCs w:val="16"/>
        </w:rPr>
      </w:pPr>
      <w:r w:rsidRPr="009F1254">
        <w:rPr>
          <w:noProof/>
        </w:rPr>
        <w:drawing>
          <wp:inline distT="0" distB="0" distL="0" distR="0" wp14:anchorId="277373F7" wp14:editId="13349B35">
            <wp:extent cx="4210335" cy="156713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3907" cy="1579635"/>
                    </a:xfrm>
                    <a:prstGeom prst="rect">
                      <a:avLst/>
                    </a:prstGeom>
                    <a:noFill/>
                    <a:ln>
                      <a:noFill/>
                    </a:ln>
                  </pic:spPr>
                </pic:pic>
              </a:graphicData>
            </a:graphic>
          </wp:inline>
        </w:drawing>
      </w:r>
    </w:p>
    <w:p w:rsidR="007F07DD" w:rsidRDefault="007F07DD" w:rsidP="007F07DD">
      <w:pPr>
        <w:spacing w:before="60" w:after="60"/>
        <w:jc w:val="both"/>
        <w:rPr>
          <w:rFonts w:ascii="Verdana" w:hAnsi="Verdana" w:cs="Verdana"/>
          <w:sz w:val="16"/>
          <w:szCs w:val="16"/>
        </w:rPr>
      </w:pPr>
    </w:p>
    <w:p w:rsidR="007F07DD" w:rsidRDefault="007F07DD" w:rsidP="007F07DD">
      <w:pPr>
        <w:spacing w:before="60" w:after="60"/>
        <w:jc w:val="both"/>
        <w:rPr>
          <w:rFonts w:ascii="Verdana" w:hAnsi="Verdana"/>
          <w:sz w:val="16"/>
          <w:szCs w:val="16"/>
        </w:rPr>
      </w:pPr>
      <w:r>
        <w:rPr>
          <w:rFonts w:ascii="Verdana" w:hAnsi="Verdana" w:cs="Verdana"/>
          <w:sz w:val="16"/>
          <w:szCs w:val="16"/>
        </w:rPr>
        <w:t xml:space="preserve">Ze względu na skalę ubytku dochodów z udziału w PIT, pomimo założenia wystąpienia w 2022 r. deficytu operacyjnego i ograniczenia do minimum przestrzeni między ustawowymi limitem a wskaźnikiem obsługi długu, przyjęty w budżecie m.st. Warszawy na 2022 r. możliwy poziom wydatków bieżących jest ograniczony, </w:t>
      </w:r>
      <w:r>
        <w:rPr>
          <w:rFonts w:ascii="Verdana" w:hAnsi="Verdana" w:cs="Verdana"/>
          <w:sz w:val="16"/>
          <w:szCs w:val="16"/>
        </w:rPr>
        <w:br/>
        <w:t xml:space="preserve">w szczególności w kontekście zachodzących tendencji inflacyjnych. </w:t>
      </w:r>
      <w:r w:rsidRPr="00E87A45">
        <w:rPr>
          <w:rFonts w:ascii="Verdana" w:hAnsi="Verdana" w:cs="Verdana"/>
          <w:b/>
          <w:sz w:val="16"/>
          <w:szCs w:val="16"/>
        </w:rPr>
        <w:t xml:space="preserve">Limit wydatków bieżących na 2022 r. </w:t>
      </w:r>
      <w:r>
        <w:rPr>
          <w:rFonts w:ascii="Verdana" w:hAnsi="Verdana" w:cs="Verdana"/>
          <w:b/>
          <w:sz w:val="16"/>
          <w:szCs w:val="16"/>
        </w:rPr>
        <w:br/>
        <w:t>na poziomie 18,569</w:t>
      </w:r>
      <w:r w:rsidRPr="00E87A45">
        <w:rPr>
          <w:rFonts w:ascii="Verdana" w:hAnsi="Verdana" w:cs="Verdana"/>
          <w:b/>
          <w:sz w:val="16"/>
          <w:szCs w:val="16"/>
        </w:rPr>
        <w:t xml:space="preserve"> mld zł oznacza nominalny wzrost</w:t>
      </w:r>
      <w:r>
        <w:rPr>
          <w:rFonts w:ascii="Verdana" w:hAnsi="Verdana" w:cs="Verdana"/>
          <w:b/>
          <w:sz w:val="16"/>
          <w:szCs w:val="16"/>
        </w:rPr>
        <w:t xml:space="preserve"> o 4</w:t>
      </w:r>
      <w:r w:rsidRPr="00E87A45">
        <w:rPr>
          <w:rFonts w:ascii="Verdana" w:hAnsi="Verdana" w:cs="Verdana"/>
          <w:b/>
          <w:sz w:val="16"/>
          <w:szCs w:val="16"/>
        </w:rPr>
        <w:t>% w stosunku do planowanych wydatków na 2021 r.</w:t>
      </w:r>
      <w:r>
        <w:rPr>
          <w:rFonts w:ascii="Verdana" w:hAnsi="Verdana" w:cs="Verdana"/>
          <w:sz w:val="16"/>
          <w:szCs w:val="16"/>
        </w:rPr>
        <w:t xml:space="preserve"> </w:t>
      </w:r>
      <w:r w:rsidRPr="001E2751">
        <w:rPr>
          <w:rFonts w:ascii="Verdana" w:hAnsi="Verdana" w:cs="Verdana"/>
          <w:b/>
          <w:sz w:val="16"/>
          <w:szCs w:val="16"/>
        </w:rPr>
        <w:t>bez uwzględnienia wydatków związanych z</w:t>
      </w:r>
      <w:r w:rsidRPr="001E2751">
        <w:rPr>
          <w:rFonts w:ascii="Verdana" w:hAnsi="Verdana"/>
          <w:b/>
          <w:sz w:val="16"/>
          <w:szCs w:val="16"/>
        </w:rPr>
        <w:t xml:space="preserve"> Programem „Rodzina 500 Plus</w:t>
      </w:r>
      <w:r>
        <w:rPr>
          <w:rFonts w:ascii="Verdana" w:hAnsi="Verdana"/>
          <w:sz w:val="16"/>
          <w:szCs w:val="16"/>
        </w:rPr>
        <w:t xml:space="preserve">. Nominalny wzrost </w:t>
      </w:r>
      <w:r>
        <w:rPr>
          <w:rFonts w:ascii="Verdana" w:hAnsi="Verdana"/>
          <w:sz w:val="16"/>
          <w:szCs w:val="16"/>
        </w:rPr>
        <w:lastRenderedPageBreak/>
        <w:t xml:space="preserve">o </w:t>
      </w:r>
      <w:r>
        <w:rPr>
          <w:rFonts w:ascii="Verdana" w:hAnsi="Verdana"/>
          <w:b/>
          <w:sz w:val="16"/>
          <w:szCs w:val="16"/>
        </w:rPr>
        <w:t>4</w:t>
      </w:r>
      <w:r w:rsidRPr="00B4635E">
        <w:rPr>
          <w:rFonts w:ascii="Verdana" w:hAnsi="Verdana"/>
          <w:b/>
          <w:sz w:val="16"/>
          <w:szCs w:val="16"/>
        </w:rPr>
        <w:t>%</w:t>
      </w:r>
      <w:r>
        <w:rPr>
          <w:rFonts w:ascii="Verdana" w:hAnsi="Verdana"/>
          <w:sz w:val="16"/>
          <w:szCs w:val="16"/>
        </w:rPr>
        <w:t xml:space="preserve"> w ujęciu realnym oznacza spadek w świetle obserwowanych zmian cen. Prognoza Ministerstwa Finansów na 2022 r. przewiduje wzrost cen towarów i usług konsumpcyjnych średniorocznie o </w:t>
      </w:r>
      <w:r w:rsidRPr="00B4635E">
        <w:rPr>
          <w:rFonts w:ascii="Verdana" w:hAnsi="Verdana"/>
          <w:b/>
          <w:sz w:val="16"/>
          <w:szCs w:val="16"/>
        </w:rPr>
        <w:t>3,3%</w:t>
      </w:r>
      <w:r>
        <w:rPr>
          <w:rFonts w:ascii="Verdana" w:hAnsi="Verdana"/>
          <w:sz w:val="16"/>
          <w:szCs w:val="16"/>
        </w:rPr>
        <w:t xml:space="preserve">, natomiast </w:t>
      </w:r>
      <w:r>
        <w:rPr>
          <w:rFonts w:ascii="Verdana" w:hAnsi="Verdana"/>
          <w:sz w:val="16"/>
          <w:szCs w:val="16"/>
        </w:rPr>
        <w:br/>
        <w:t>tzw. projekcja inflacji Narodowego Banku Polskiego opublikowana 8 listopada 2021 r.</w:t>
      </w:r>
      <w:r w:rsidRPr="00011AAA">
        <w:rPr>
          <w:rStyle w:val="Odwoanieprzypisudolnego"/>
          <w:rFonts w:ascii="Verdana" w:hAnsi="Verdana"/>
          <w:bCs/>
          <w:iCs/>
          <w:color w:val="000000"/>
          <w:sz w:val="16"/>
          <w:szCs w:val="16"/>
        </w:rPr>
        <w:footnoteReference w:id="6"/>
      </w:r>
      <w:r>
        <w:rPr>
          <w:rFonts w:ascii="Verdana" w:hAnsi="Verdana"/>
          <w:sz w:val="16"/>
          <w:szCs w:val="16"/>
        </w:rPr>
        <w:t xml:space="preserve"> prognozuje na 2022 r. inflację średnioroczną w wysokości </w:t>
      </w:r>
      <w:r w:rsidRPr="001A786A">
        <w:rPr>
          <w:rFonts w:ascii="Verdana" w:hAnsi="Verdana"/>
          <w:b/>
          <w:sz w:val="16"/>
          <w:szCs w:val="16"/>
        </w:rPr>
        <w:t>5,8%</w:t>
      </w:r>
      <w:r>
        <w:rPr>
          <w:rFonts w:ascii="Verdana" w:hAnsi="Verdana"/>
          <w:sz w:val="16"/>
          <w:szCs w:val="16"/>
        </w:rPr>
        <w:t xml:space="preserve">, a więc na poziomie o </w:t>
      </w:r>
      <w:r>
        <w:rPr>
          <w:rFonts w:ascii="Verdana" w:hAnsi="Verdana"/>
          <w:b/>
          <w:sz w:val="16"/>
          <w:szCs w:val="16"/>
        </w:rPr>
        <w:t>1,8</w:t>
      </w:r>
      <w:r w:rsidRPr="00E65FA5">
        <w:rPr>
          <w:rFonts w:ascii="Verdana" w:hAnsi="Verdana"/>
          <w:b/>
          <w:sz w:val="16"/>
          <w:szCs w:val="16"/>
        </w:rPr>
        <w:t xml:space="preserve"> pkt proc.</w:t>
      </w:r>
      <w:r>
        <w:rPr>
          <w:rFonts w:ascii="Verdana" w:hAnsi="Verdana"/>
          <w:sz w:val="16"/>
          <w:szCs w:val="16"/>
        </w:rPr>
        <w:t xml:space="preserve"> wyższym niż założony w budżecie Miasta na 2022 r. wzrost wydatków bieżących w warunkach planowanego wystąpienia w 2022 r. deficytu operacyjnego. Zarazem bieżący tzw. szybki odczyt inflacji za listopad 2021 r. podany przez Główny Urząd Statystyczny w dniu 30 listopada 2021 r.</w:t>
      </w:r>
      <w:r w:rsidRPr="00011AAA">
        <w:rPr>
          <w:rStyle w:val="Odwoanieprzypisudolnego"/>
          <w:rFonts w:ascii="Verdana" w:hAnsi="Verdana"/>
          <w:bCs/>
          <w:iCs/>
          <w:color w:val="000000"/>
          <w:sz w:val="16"/>
          <w:szCs w:val="16"/>
        </w:rPr>
        <w:footnoteReference w:id="7"/>
      </w:r>
      <w:r>
        <w:rPr>
          <w:rFonts w:ascii="Verdana" w:hAnsi="Verdana"/>
          <w:sz w:val="16"/>
          <w:szCs w:val="16"/>
        </w:rPr>
        <w:t xml:space="preserve"> jest przeszło dwukrotnie wyższy niż nominalna dynamika 2022/2021 wydatków bieżących Miasta i wynosi </w:t>
      </w:r>
      <w:r>
        <w:rPr>
          <w:rFonts w:ascii="Verdana" w:hAnsi="Verdana"/>
          <w:b/>
          <w:sz w:val="16"/>
          <w:szCs w:val="16"/>
        </w:rPr>
        <w:t>7</w:t>
      </w:r>
      <w:r w:rsidRPr="00E65FA5">
        <w:rPr>
          <w:rFonts w:ascii="Verdana" w:hAnsi="Verdana"/>
          <w:b/>
          <w:sz w:val="16"/>
          <w:szCs w:val="16"/>
        </w:rPr>
        <w:t>,8%</w:t>
      </w:r>
      <w:r>
        <w:rPr>
          <w:rFonts w:ascii="Verdana" w:hAnsi="Verdana"/>
          <w:sz w:val="16"/>
          <w:szCs w:val="16"/>
        </w:rPr>
        <w:t xml:space="preserve"> (porównanie XI.2021 do XI.2020), przy czym miesięczne wskaźniki inflacji podawane przez GUS dla 2021 r. począwszy od stycznia do listopada prezentują się następująco: 2,6%, 2,4%, 3,2%, 4,3%, 4,7%, 4,4%, 5,0%, 5,5%, 5,9%, 6,8%, 7,8%.</w:t>
      </w:r>
    </w:p>
    <w:p w:rsidR="007F07DD" w:rsidRDefault="007F07DD" w:rsidP="007F07DD">
      <w:pPr>
        <w:spacing w:before="60" w:after="60"/>
        <w:jc w:val="both"/>
        <w:rPr>
          <w:rFonts w:ascii="Verdana" w:hAnsi="Verdana"/>
          <w:sz w:val="16"/>
          <w:szCs w:val="16"/>
        </w:rPr>
      </w:pPr>
      <w:r>
        <w:rPr>
          <w:rFonts w:ascii="Verdana" w:hAnsi="Verdana"/>
          <w:sz w:val="16"/>
          <w:szCs w:val="16"/>
        </w:rPr>
        <w:t xml:space="preserve">Poniższy wykres nr 6 prezentuje planowane na lata 2022-2030 wydatki bieżące bez wydatków związanych </w:t>
      </w:r>
      <w:r>
        <w:rPr>
          <w:rFonts w:ascii="Verdana" w:hAnsi="Verdana"/>
          <w:sz w:val="16"/>
          <w:szCs w:val="16"/>
        </w:rPr>
        <w:br/>
        <w:t>z Programem „Rodzina 500 Plus” w porównaniu z poziomem planu na 2021 r.</w:t>
      </w:r>
    </w:p>
    <w:p w:rsidR="007F07DD" w:rsidRDefault="007F07DD" w:rsidP="007F07DD">
      <w:pPr>
        <w:tabs>
          <w:tab w:val="left" w:pos="567"/>
        </w:tabs>
        <w:spacing w:before="120" w:after="60" w:line="240" w:lineRule="auto"/>
        <w:ind w:left="567" w:hanging="567"/>
        <w:rPr>
          <w:rFonts w:ascii="Verdana" w:hAnsi="Verdana" w:cs="Verdana"/>
          <w:sz w:val="16"/>
          <w:szCs w:val="16"/>
        </w:rPr>
      </w:pPr>
      <w:r w:rsidRPr="00011AAA">
        <w:rPr>
          <w:rFonts w:ascii="Verdana" w:hAnsi="Verdana"/>
          <w:b/>
          <w:bCs/>
          <w:iCs/>
          <w:sz w:val="14"/>
          <w:szCs w:val="14"/>
        </w:rPr>
        <w:t xml:space="preserve">WYK.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6</w:t>
      </w:r>
      <w:r w:rsidRPr="00011AAA">
        <w:rPr>
          <w:rFonts w:ascii="Verdana" w:hAnsi="Verdana"/>
          <w:b/>
          <w:bCs/>
          <w:iCs/>
          <w:sz w:val="14"/>
          <w:szCs w:val="14"/>
        </w:rPr>
        <w:fldChar w:fldCharType="end"/>
      </w:r>
      <w:r w:rsidRPr="00011AAA">
        <w:rPr>
          <w:rFonts w:ascii="Verdana" w:hAnsi="Verdana"/>
          <w:b/>
          <w:bCs/>
          <w:iCs/>
          <w:sz w:val="14"/>
          <w:szCs w:val="14"/>
        </w:rPr>
        <w:t>.</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PROGNOZA WYDATKÓW BIEŻĄCYCH M.ST. WARSZAWY NA LATA 2022-2030 </w:t>
      </w:r>
      <w:r>
        <w:rPr>
          <w:rFonts w:ascii="Verdana" w:hAnsi="Verdana" w:cs="Arial"/>
          <w:b/>
          <w:bCs/>
          <w:iCs/>
          <w:sz w:val="14"/>
          <w:szCs w:val="14"/>
        </w:rPr>
        <w:br/>
        <w:t xml:space="preserve">    BEZ WYDATKÓW ZWIĄZANYCH Z PROGRAMEM „RODZINA 500 PLUS” </w:t>
      </w:r>
      <w:r>
        <w:rPr>
          <w:rFonts w:ascii="Verdana" w:hAnsi="Verdana" w:cs="Arial"/>
          <w:bCs/>
          <w:iCs/>
          <w:sz w:val="14"/>
          <w:szCs w:val="14"/>
        </w:rPr>
        <w:t>[w mln zł]</w:t>
      </w:r>
    </w:p>
    <w:p w:rsidR="007F07DD" w:rsidRDefault="007F07DD" w:rsidP="007F07DD">
      <w:pPr>
        <w:spacing w:before="60" w:after="60"/>
        <w:jc w:val="both"/>
        <w:rPr>
          <w:rFonts w:ascii="Verdana" w:hAnsi="Verdana" w:cs="Verdana"/>
          <w:sz w:val="16"/>
          <w:szCs w:val="16"/>
        </w:rPr>
      </w:pPr>
      <w:r w:rsidRPr="00ED4767">
        <w:rPr>
          <w:noProof/>
        </w:rPr>
        <w:drawing>
          <wp:inline distT="0" distB="0" distL="0" distR="0" wp14:anchorId="6432F6E0" wp14:editId="1235D92D">
            <wp:extent cx="5760085" cy="327414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274148"/>
                    </a:xfrm>
                    <a:prstGeom prst="rect">
                      <a:avLst/>
                    </a:prstGeom>
                    <a:noFill/>
                    <a:ln>
                      <a:noFill/>
                    </a:ln>
                  </pic:spPr>
                </pic:pic>
              </a:graphicData>
            </a:graphic>
          </wp:inline>
        </w:drawing>
      </w:r>
    </w:p>
    <w:p w:rsidR="007F07DD" w:rsidRDefault="007F07DD" w:rsidP="007F07DD">
      <w:pPr>
        <w:spacing w:before="120" w:after="60"/>
        <w:ind w:firstLine="567"/>
        <w:jc w:val="both"/>
        <w:rPr>
          <w:rFonts w:ascii="Verdana" w:hAnsi="Verdana" w:cs="Verdana"/>
          <w:sz w:val="16"/>
          <w:szCs w:val="16"/>
        </w:rPr>
      </w:pPr>
      <w:r w:rsidRPr="00E87A45">
        <w:rPr>
          <w:rFonts w:ascii="Verdana" w:hAnsi="Verdana" w:cs="Verdana"/>
          <w:b/>
          <w:sz w:val="16"/>
          <w:szCs w:val="16"/>
        </w:rPr>
        <w:t xml:space="preserve">W zakresie programu kredytowego </w:t>
      </w:r>
      <w:r>
        <w:rPr>
          <w:rFonts w:ascii="Verdana" w:hAnsi="Verdana" w:cs="Verdana"/>
          <w:b/>
          <w:sz w:val="16"/>
          <w:szCs w:val="16"/>
        </w:rPr>
        <w:t>Wieloletnia Prognoza Finansowa</w:t>
      </w:r>
      <w:r w:rsidRPr="00E87A45">
        <w:rPr>
          <w:rFonts w:ascii="Verdana" w:hAnsi="Verdana" w:cs="Verdana"/>
          <w:b/>
          <w:sz w:val="16"/>
          <w:szCs w:val="16"/>
        </w:rPr>
        <w:t xml:space="preserve"> edycji 2022</w:t>
      </w:r>
      <w:r>
        <w:rPr>
          <w:rFonts w:ascii="Verdana" w:hAnsi="Verdana" w:cs="Verdana"/>
          <w:b/>
          <w:sz w:val="16"/>
          <w:szCs w:val="16"/>
        </w:rPr>
        <w:t xml:space="preserve">-2050 </w:t>
      </w:r>
      <w:r>
        <w:rPr>
          <w:rFonts w:ascii="Verdana" w:hAnsi="Verdana" w:cs="Verdana"/>
          <w:b/>
          <w:sz w:val="16"/>
          <w:szCs w:val="16"/>
        </w:rPr>
        <w:br/>
        <w:t>m.st. Warszawy</w:t>
      </w:r>
      <w:r w:rsidRPr="00E87A45">
        <w:rPr>
          <w:rFonts w:ascii="Verdana" w:hAnsi="Verdana" w:cs="Verdana"/>
          <w:b/>
          <w:sz w:val="16"/>
          <w:szCs w:val="16"/>
        </w:rPr>
        <w:t xml:space="preserve"> przewiduje </w:t>
      </w:r>
      <w:r>
        <w:rPr>
          <w:rFonts w:ascii="Verdana" w:hAnsi="Verdana" w:cs="Verdana"/>
          <w:b/>
          <w:sz w:val="16"/>
          <w:szCs w:val="16"/>
        </w:rPr>
        <w:t>pozyskanie w latach 2022-2028 środków dłużnych w łącznej wysokości 6,788 mld zł</w:t>
      </w:r>
      <w:r>
        <w:rPr>
          <w:rFonts w:ascii="Verdana" w:hAnsi="Verdana" w:cs="Verdana"/>
          <w:sz w:val="16"/>
          <w:szCs w:val="16"/>
        </w:rPr>
        <w:t xml:space="preserve">. </w:t>
      </w:r>
      <w:r w:rsidRPr="00881074">
        <w:rPr>
          <w:rFonts w:ascii="Verdana" w:hAnsi="Verdana" w:cs="Verdana"/>
          <w:sz w:val="16"/>
          <w:szCs w:val="16"/>
        </w:rPr>
        <w:t>Jednocześnie</w:t>
      </w:r>
      <w:r>
        <w:rPr>
          <w:rFonts w:ascii="Verdana" w:hAnsi="Verdana" w:cs="Verdana"/>
          <w:sz w:val="16"/>
          <w:szCs w:val="16"/>
        </w:rPr>
        <w:t xml:space="preserve"> do 2028</w:t>
      </w:r>
      <w:r w:rsidRPr="0031630F">
        <w:rPr>
          <w:rFonts w:ascii="Verdana" w:hAnsi="Verdana" w:cs="Verdana"/>
          <w:sz w:val="16"/>
          <w:szCs w:val="16"/>
        </w:rPr>
        <w:t xml:space="preserve"> r. planowana jest spłata długu w łącznej kwocie </w:t>
      </w:r>
      <w:r>
        <w:rPr>
          <w:rFonts w:ascii="Verdana" w:hAnsi="Verdana" w:cs="Verdana"/>
          <w:b/>
          <w:sz w:val="16"/>
          <w:szCs w:val="16"/>
        </w:rPr>
        <w:t>3,120</w:t>
      </w:r>
      <w:r w:rsidRPr="0031630F">
        <w:rPr>
          <w:rFonts w:ascii="Verdana" w:hAnsi="Verdana" w:cs="Verdana"/>
          <w:b/>
          <w:sz w:val="16"/>
          <w:szCs w:val="16"/>
        </w:rPr>
        <w:t xml:space="preserve"> mld zł</w:t>
      </w:r>
      <w:r w:rsidRPr="0031630F">
        <w:rPr>
          <w:rFonts w:ascii="Verdana" w:hAnsi="Verdana" w:cs="Verdana"/>
          <w:sz w:val="16"/>
          <w:szCs w:val="16"/>
        </w:rPr>
        <w:t>. Tym samym dług w ujęciu netto w całym okresie p</w:t>
      </w:r>
      <w:r>
        <w:rPr>
          <w:rFonts w:ascii="Verdana" w:hAnsi="Verdana" w:cs="Verdana"/>
          <w:sz w:val="16"/>
          <w:szCs w:val="16"/>
        </w:rPr>
        <w:t>rogramu kredytowego, tj. do 2028</w:t>
      </w:r>
      <w:r w:rsidRPr="0031630F">
        <w:rPr>
          <w:rFonts w:ascii="Verdana" w:hAnsi="Verdana" w:cs="Verdana"/>
          <w:sz w:val="16"/>
          <w:szCs w:val="16"/>
        </w:rPr>
        <w:t xml:space="preserve"> r., przyrośnie o </w:t>
      </w:r>
      <w:r>
        <w:rPr>
          <w:rFonts w:ascii="Verdana" w:hAnsi="Verdana" w:cs="Verdana"/>
          <w:b/>
          <w:sz w:val="16"/>
          <w:szCs w:val="16"/>
        </w:rPr>
        <w:t>3,668</w:t>
      </w:r>
      <w:r w:rsidRPr="0031630F">
        <w:rPr>
          <w:rFonts w:ascii="Verdana" w:hAnsi="Verdana" w:cs="Verdana"/>
          <w:b/>
          <w:sz w:val="16"/>
          <w:szCs w:val="16"/>
        </w:rPr>
        <w:t xml:space="preserve"> mld zł</w:t>
      </w:r>
      <w:r w:rsidRPr="0031630F">
        <w:rPr>
          <w:rFonts w:ascii="Verdana" w:hAnsi="Verdana" w:cs="Verdana"/>
          <w:sz w:val="16"/>
          <w:szCs w:val="16"/>
        </w:rPr>
        <w:t xml:space="preserve"> (nowy dług w kwocie </w:t>
      </w:r>
      <w:r>
        <w:rPr>
          <w:rFonts w:ascii="Verdana" w:hAnsi="Verdana" w:cs="Verdana"/>
          <w:sz w:val="16"/>
          <w:szCs w:val="16"/>
        </w:rPr>
        <w:t>6,788</w:t>
      </w:r>
      <w:r w:rsidRPr="0031630F">
        <w:rPr>
          <w:rFonts w:ascii="Verdana" w:hAnsi="Verdana" w:cs="Verdana"/>
          <w:sz w:val="16"/>
          <w:szCs w:val="16"/>
        </w:rPr>
        <w:t xml:space="preserve"> mld zł pomniejszony o spłatę długu </w:t>
      </w:r>
      <w:r>
        <w:rPr>
          <w:rFonts w:ascii="Verdana" w:hAnsi="Verdana" w:cs="Verdana"/>
          <w:sz w:val="16"/>
          <w:szCs w:val="16"/>
        </w:rPr>
        <w:t>w kwocie 3,120</w:t>
      </w:r>
      <w:r w:rsidRPr="0031630F">
        <w:rPr>
          <w:rFonts w:ascii="Verdana" w:hAnsi="Verdana" w:cs="Verdana"/>
          <w:sz w:val="16"/>
          <w:szCs w:val="16"/>
        </w:rPr>
        <w:t xml:space="preserve"> mld zł).</w:t>
      </w:r>
    </w:p>
    <w:p w:rsidR="007F07DD" w:rsidRPr="0074282F" w:rsidRDefault="007F07DD" w:rsidP="007F07DD">
      <w:pPr>
        <w:spacing w:before="60" w:after="60"/>
        <w:ind w:firstLine="567"/>
        <w:jc w:val="both"/>
        <w:rPr>
          <w:rFonts w:ascii="Verdana" w:hAnsi="Verdana" w:cs="Verdana"/>
          <w:sz w:val="16"/>
          <w:szCs w:val="16"/>
        </w:rPr>
      </w:pPr>
      <w:r>
        <w:rPr>
          <w:rFonts w:ascii="Verdana" w:hAnsi="Verdana" w:cs="Verdana"/>
          <w:sz w:val="16"/>
          <w:szCs w:val="16"/>
        </w:rPr>
        <w:t>Niepewność rzeczywistych negatywnych skutków dla dochodów m.st. Warszawy rządowego Programu Polski Ład</w:t>
      </w:r>
      <w:r w:rsidRPr="00180486">
        <w:rPr>
          <w:rFonts w:ascii="Verdana" w:hAnsi="Verdana" w:cs="Verdana"/>
          <w:sz w:val="16"/>
          <w:szCs w:val="16"/>
        </w:rPr>
        <w:t xml:space="preserve"> </w:t>
      </w:r>
      <w:r w:rsidRPr="009C1725">
        <w:rPr>
          <w:rFonts w:ascii="Verdana" w:hAnsi="Verdana" w:cs="Verdana"/>
          <w:sz w:val="16"/>
          <w:szCs w:val="16"/>
        </w:rPr>
        <w:t xml:space="preserve">(choćby z uwagi na preferencje podatkowe dla rozliczania ryczałtowego podatku PIT przez przedsiębiorców, co nie stanowi dochodów samorządów, względem stosowania skali podatkowej, przynoszącej dochody samorządom) w warunkach niestabilności sytuacji gospodarczej związanej z następstwami pandemii </w:t>
      </w:r>
      <w:proofErr w:type="spellStart"/>
      <w:r w:rsidRPr="009C1725">
        <w:rPr>
          <w:rFonts w:ascii="Verdana" w:hAnsi="Verdana" w:cs="Verdana"/>
          <w:sz w:val="16"/>
          <w:szCs w:val="16"/>
        </w:rPr>
        <w:t>koronawirusa</w:t>
      </w:r>
      <w:proofErr w:type="spellEnd"/>
      <w:r w:rsidRPr="009C1725">
        <w:rPr>
          <w:rFonts w:ascii="Verdana" w:hAnsi="Verdana" w:cs="Verdana"/>
          <w:sz w:val="16"/>
          <w:szCs w:val="16"/>
        </w:rPr>
        <w:t xml:space="preserve"> SARS-CoV</w:t>
      </w:r>
      <w:r>
        <w:rPr>
          <w:rFonts w:ascii="Verdana" w:hAnsi="Verdana" w:cs="Verdana"/>
          <w:sz w:val="16"/>
          <w:szCs w:val="16"/>
        </w:rPr>
        <w:t xml:space="preserve">-2 wywołującego chorobę COVID-19, zwiększają ryzyko wystąpienia głębszego ograniczenia dochodów Miasta. Mając na względzie zagrożenia dla realizacji dochodów Miasta respektowana </w:t>
      </w:r>
      <w:r>
        <w:rPr>
          <w:rFonts w:ascii="Verdana" w:hAnsi="Verdana" w:cs="Verdana"/>
          <w:sz w:val="16"/>
          <w:szCs w:val="16"/>
        </w:rPr>
        <w:lastRenderedPageBreak/>
        <w:t xml:space="preserve">będzie wewnętrzna zasada utrzymywania stanu zadłużenia </w:t>
      </w:r>
      <w:r w:rsidRPr="00103DF3">
        <w:rPr>
          <w:rFonts w:ascii="Verdana" w:hAnsi="Verdana" w:cs="Verdana"/>
          <w:b/>
          <w:sz w:val="16"/>
          <w:szCs w:val="16"/>
        </w:rPr>
        <w:t>poniżej progu</w:t>
      </w:r>
      <w:r>
        <w:rPr>
          <w:rFonts w:ascii="Verdana" w:hAnsi="Verdana" w:cs="Verdana"/>
          <w:sz w:val="16"/>
          <w:szCs w:val="16"/>
        </w:rPr>
        <w:t xml:space="preserve"> </w:t>
      </w:r>
      <w:r>
        <w:rPr>
          <w:rFonts w:ascii="Verdana" w:hAnsi="Verdana" w:cs="Verdana"/>
          <w:b/>
          <w:sz w:val="16"/>
          <w:szCs w:val="16"/>
        </w:rPr>
        <w:t>55</w:t>
      </w:r>
      <w:r w:rsidRPr="00103DF3">
        <w:rPr>
          <w:rFonts w:ascii="Verdana" w:hAnsi="Verdana" w:cs="Verdana"/>
          <w:b/>
          <w:sz w:val="16"/>
          <w:szCs w:val="16"/>
        </w:rPr>
        <w:t>%</w:t>
      </w:r>
      <w:r>
        <w:rPr>
          <w:rFonts w:ascii="Verdana" w:hAnsi="Verdana" w:cs="Verdana"/>
          <w:sz w:val="16"/>
          <w:szCs w:val="16"/>
        </w:rPr>
        <w:t xml:space="preserve"> w relacji do dochodów ogółem. Reguła indywidualnego limitu obsługi długu, uregulowana w art. 243 ustawy o finansach publicznych, co do zasady uzależniająca potencjał obsługi długu od historycznych wartości nadwyżki dochodów bieżących nad wydatkami bieżącymi, jest spełniona w całym okresie objętym Wieloletnią Prognozą Finansową edycji 2022-2050.</w:t>
      </w:r>
    </w:p>
    <w:p w:rsidR="007F07DD" w:rsidRDefault="007F07DD" w:rsidP="007F07DD">
      <w:pPr>
        <w:spacing w:before="60" w:after="60"/>
        <w:ind w:firstLine="567"/>
        <w:jc w:val="both"/>
        <w:rPr>
          <w:rFonts w:ascii="Verdana" w:hAnsi="Verdana" w:cs="Verdana"/>
          <w:sz w:val="16"/>
          <w:szCs w:val="16"/>
        </w:rPr>
      </w:pPr>
      <w:r>
        <w:rPr>
          <w:rFonts w:ascii="Verdana" w:hAnsi="Verdana"/>
          <w:color w:val="000000"/>
          <w:sz w:val="16"/>
          <w:szCs w:val="16"/>
        </w:rPr>
        <w:t>W Wieloletniej Prognozie Finansowej edycji 2022</w:t>
      </w:r>
      <w:r w:rsidRPr="0031630F">
        <w:rPr>
          <w:rFonts w:ascii="Verdana" w:hAnsi="Verdana"/>
          <w:color w:val="000000"/>
          <w:sz w:val="16"/>
          <w:szCs w:val="16"/>
        </w:rPr>
        <w:t xml:space="preserve">-2050 </w:t>
      </w:r>
      <w:r>
        <w:rPr>
          <w:rFonts w:ascii="Verdana" w:hAnsi="Verdana"/>
          <w:color w:val="000000"/>
          <w:sz w:val="16"/>
          <w:szCs w:val="16"/>
        </w:rPr>
        <w:t xml:space="preserve">m.st. Warszawy </w:t>
      </w:r>
      <w:r w:rsidRPr="0031630F">
        <w:rPr>
          <w:rFonts w:ascii="Verdana" w:hAnsi="Verdana"/>
          <w:color w:val="000000"/>
          <w:sz w:val="16"/>
          <w:szCs w:val="16"/>
        </w:rPr>
        <w:t xml:space="preserve">zabezpieczone są środki na wydatki stanowiące przedsięwzięcia wieloletnie, które zostały uwzględnione w Wieloletniej Prognozie Finansowej m.st. </w:t>
      </w:r>
      <w:r w:rsidRPr="0031630F">
        <w:rPr>
          <w:rFonts w:ascii="Verdana" w:hAnsi="Verdana"/>
          <w:iCs/>
          <w:sz w:val="16"/>
          <w:szCs w:val="16"/>
        </w:rPr>
        <w:t>Warszawy</w:t>
      </w:r>
      <w:r w:rsidRPr="0031630F">
        <w:rPr>
          <w:rFonts w:ascii="Verdana" w:hAnsi="Verdana"/>
          <w:color w:val="000000"/>
          <w:sz w:val="16"/>
          <w:szCs w:val="16"/>
        </w:rPr>
        <w:t xml:space="preserve"> na lata 202</w:t>
      </w:r>
      <w:r>
        <w:rPr>
          <w:rFonts w:ascii="Verdana" w:hAnsi="Verdana"/>
          <w:color w:val="000000"/>
          <w:sz w:val="16"/>
          <w:szCs w:val="16"/>
        </w:rPr>
        <w:t>1</w:t>
      </w:r>
      <w:r w:rsidRPr="0031630F">
        <w:rPr>
          <w:rFonts w:ascii="Verdana" w:hAnsi="Verdana"/>
          <w:color w:val="000000"/>
          <w:sz w:val="16"/>
          <w:szCs w:val="16"/>
        </w:rPr>
        <w:t>-2050 w części dot</w:t>
      </w:r>
      <w:r>
        <w:rPr>
          <w:rFonts w:ascii="Verdana" w:hAnsi="Verdana"/>
          <w:color w:val="000000"/>
          <w:sz w:val="16"/>
          <w:szCs w:val="16"/>
        </w:rPr>
        <w:t>yczącej 2022</w:t>
      </w:r>
      <w:r w:rsidRPr="0031630F">
        <w:rPr>
          <w:rFonts w:ascii="Verdana" w:hAnsi="Verdana"/>
          <w:color w:val="000000"/>
          <w:sz w:val="16"/>
          <w:szCs w:val="16"/>
        </w:rPr>
        <w:t xml:space="preserve"> r. oraz na wydatki związane z przekazywanymi </w:t>
      </w:r>
      <w:r>
        <w:rPr>
          <w:rFonts w:ascii="Verdana" w:hAnsi="Verdana"/>
          <w:color w:val="000000"/>
          <w:sz w:val="16"/>
          <w:szCs w:val="16"/>
        </w:rPr>
        <w:br/>
        <w:t>w 2021</w:t>
      </w:r>
      <w:r w:rsidRPr="0031630F">
        <w:rPr>
          <w:rFonts w:ascii="Verdana" w:hAnsi="Verdana"/>
          <w:color w:val="000000"/>
          <w:sz w:val="16"/>
          <w:szCs w:val="16"/>
        </w:rPr>
        <w:t xml:space="preserve"> r. i p</w:t>
      </w:r>
      <w:r>
        <w:rPr>
          <w:rFonts w:ascii="Verdana" w:hAnsi="Verdana"/>
          <w:color w:val="000000"/>
          <w:sz w:val="16"/>
          <w:szCs w:val="16"/>
        </w:rPr>
        <w:t>lanowanymi do przekazania w 2022</w:t>
      </w:r>
      <w:r w:rsidRPr="0031630F">
        <w:rPr>
          <w:rFonts w:ascii="Verdana" w:hAnsi="Verdana"/>
          <w:color w:val="000000"/>
          <w:sz w:val="16"/>
          <w:szCs w:val="16"/>
        </w:rPr>
        <w:t xml:space="preserve"> r. do użytkowania i do bieżącego </w:t>
      </w:r>
      <w:r w:rsidRPr="009E3E76">
        <w:rPr>
          <w:rFonts w:ascii="Verdana" w:hAnsi="Verdana"/>
          <w:color w:val="000000"/>
          <w:sz w:val="16"/>
          <w:szCs w:val="16"/>
        </w:rPr>
        <w:t xml:space="preserve">utrzymania inwestycjami, </w:t>
      </w:r>
      <w:r>
        <w:rPr>
          <w:rFonts w:ascii="Verdana" w:hAnsi="Verdana"/>
          <w:color w:val="000000"/>
          <w:sz w:val="16"/>
          <w:szCs w:val="16"/>
        </w:rPr>
        <w:br/>
      </w:r>
      <w:r w:rsidRPr="009E3E76">
        <w:rPr>
          <w:rFonts w:ascii="Verdana" w:hAnsi="Verdana"/>
          <w:color w:val="000000"/>
          <w:sz w:val="16"/>
          <w:szCs w:val="16"/>
        </w:rPr>
        <w:t>w tym w szczególności w zakresie infrastruktury transportowej oraz w obszarze oświaty i kultury.</w:t>
      </w:r>
      <w:r>
        <w:rPr>
          <w:rFonts w:ascii="Verdana" w:hAnsi="Verdana"/>
          <w:color w:val="000000"/>
          <w:sz w:val="16"/>
          <w:szCs w:val="16"/>
        </w:rPr>
        <w:t xml:space="preserve"> </w:t>
      </w:r>
      <w:r w:rsidRPr="009E3E76">
        <w:rPr>
          <w:rFonts w:ascii="Verdana" w:hAnsi="Verdana" w:cs="Arial"/>
          <w:iCs/>
          <w:sz w:val="16"/>
          <w:szCs w:val="16"/>
        </w:rPr>
        <w:t>Ustalone parametry budżetowe w zakresie wydatków inwestycyjnych zapewniają kontynuację finansowania zadań wcześniej rozpoczętych wraz z dostosowaniem realizacji nowych</w:t>
      </w:r>
      <w:r w:rsidRPr="0031630F">
        <w:rPr>
          <w:rFonts w:ascii="Verdana" w:hAnsi="Verdana" w:cs="Arial"/>
          <w:iCs/>
          <w:sz w:val="16"/>
          <w:szCs w:val="16"/>
        </w:rPr>
        <w:t xml:space="preserve"> projektów inwestycyjnych do możliwości finansowych Miasta. Jednocześnie w Wieloletniej Prognozie Finansowej m.st. Warszawy ujęte są programy strategiczne obejmujące realizację innych zadań na terenie poszczególnych dzielnic. Środki finansowe zaplanowane w ramach powyższych programów będą sukcesywnie – wraz z kolejnymi etapami ich</w:t>
      </w:r>
      <w:r>
        <w:rPr>
          <w:rFonts w:ascii="Verdana" w:hAnsi="Verdana" w:cs="Arial"/>
          <w:iCs/>
          <w:sz w:val="16"/>
          <w:szCs w:val="16"/>
        </w:rPr>
        <w:t xml:space="preserve"> wdrażania – rozdysponowywane </w:t>
      </w:r>
      <w:r w:rsidRPr="0031630F">
        <w:rPr>
          <w:rFonts w:ascii="Verdana" w:hAnsi="Verdana" w:cs="Arial"/>
          <w:iCs/>
          <w:sz w:val="16"/>
          <w:szCs w:val="16"/>
        </w:rPr>
        <w:t>między dysponentów na konkretne przedsięwzięcia inwestycyjne</w:t>
      </w:r>
      <w:r>
        <w:rPr>
          <w:rFonts w:ascii="Verdana" w:hAnsi="Verdana" w:cs="Arial"/>
          <w:iCs/>
          <w:sz w:val="16"/>
          <w:szCs w:val="16"/>
        </w:rPr>
        <w:t xml:space="preserve">. </w:t>
      </w:r>
      <w:r w:rsidRPr="0050309E">
        <w:rPr>
          <w:rFonts w:ascii="Verdana" w:hAnsi="Verdana" w:cs="Arial"/>
          <w:b/>
          <w:iCs/>
          <w:sz w:val="16"/>
          <w:szCs w:val="16"/>
        </w:rPr>
        <w:t xml:space="preserve">Ogólny poziom programu inwestycyjnego nie ulega zmianie w stosunku do Wieloletniej Prognozy Finansowej edycji 2021-2050, z tym że modyfikacji podlega rozkład nakładów w latach zdeterminowany zmianami </w:t>
      </w:r>
      <w:r>
        <w:rPr>
          <w:rFonts w:ascii="Verdana" w:hAnsi="Verdana" w:cs="Arial"/>
          <w:b/>
          <w:iCs/>
          <w:sz w:val="16"/>
          <w:szCs w:val="16"/>
        </w:rPr>
        <w:br/>
      </w:r>
      <w:r w:rsidRPr="0050309E">
        <w:rPr>
          <w:rFonts w:ascii="Verdana" w:hAnsi="Verdana" w:cs="Arial"/>
          <w:b/>
          <w:iCs/>
          <w:sz w:val="16"/>
          <w:szCs w:val="16"/>
        </w:rPr>
        <w:t>w harmonogramach realizacji inwestycji</w:t>
      </w:r>
      <w:r>
        <w:rPr>
          <w:rFonts w:ascii="Verdana" w:hAnsi="Verdana" w:cs="Arial"/>
          <w:b/>
          <w:iCs/>
          <w:sz w:val="16"/>
          <w:szCs w:val="16"/>
        </w:rPr>
        <w:t>.</w:t>
      </w:r>
    </w:p>
    <w:p w:rsidR="007F07DD" w:rsidRPr="00A230D4" w:rsidRDefault="007F07DD" w:rsidP="007F07DD">
      <w:pPr>
        <w:spacing w:before="60" w:after="60"/>
        <w:ind w:firstLine="567"/>
        <w:jc w:val="both"/>
        <w:rPr>
          <w:rFonts w:ascii="Verdana" w:hAnsi="Verdana" w:cs="Verdana"/>
          <w:sz w:val="16"/>
          <w:szCs w:val="16"/>
        </w:rPr>
      </w:pPr>
      <w:r w:rsidRPr="00D15B1F">
        <w:rPr>
          <w:rFonts w:ascii="Verdana" w:hAnsi="Verdana" w:cs="Verdana"/>
          <w:sz w:val="16"/>
          <w:szCs w:val="16"/>
        </w:rPr>
        <w:t>Podsumowując</w:t>
      </w:r>
      <w:r>
        <w:rPr>
          <w:rFonts w:ascii="Verdana" w:hAnsi="Verdana" w:cs="Verdana"/>
          <w:sz w:val="16"/>
          <w:szCs w:val="16"/>
        </w:rPr>
        <w:t>,</w:t>
      </w:r>
      <w:r w:rsidRPr="00D15B1F">
        <w:rPr>
          <w:rFonts w:ascii="Verdana" w:hAnsi="Verdana" w:cs="Verdana"/>
          <w:sz w:val="16"/>
          <w:szCs w:val="16"/>
        </w:rPr>
        <w:t xml:space="preserve"> w obliczu znaczącego wymiaru finansowego negatywnych uwarunkowań budżetowych, </w:t>
      </w:r>
      <w:r w:rsidRPr="00D15B1F">
        <w:rPr>
          <w:rFonts w:ascii="Verdana" w:hAnsi="Verdana" w:cs="Verdana"/>
          <w:sz w:val="16"/>
          <w:szCs w:val="16"/>
        </w:rPr>
        <w:br/>
        <w:t xml:space="preserve">a w szczególności </w:t>
      </w:r>
      <w:r>
        <w:rPr>
          <w:rFonts w:ascii="Verdana" w:hAnsi="Verdana" w:cs="Verdana"/>
          <w:sz w:val="16"/>
          <w:szCs w:val="16"/>
        </w:rPr>
        <w:t xml:space="preserve">istotnego trwałego ograniczenia dochodów z udziału w PIT związanego </w:t>
      </w:r>
      <w:r w:rsidRPr="00D15B1F">
        <w:rPr>
          <w:rFonts w:ascii="Verdana" w:hAnsi="Verdana" w:cs="Verdana"/>
          <w:sz w:val="16"/>
          <w:szCs w:val="16"/>
        </w:rPr>
        <w:t>ze zmianami legislacyjnymi</w:t>
      </w:r>
      <w:r>
        <w:rPr>
          <w:rFonts w:ascii="Verdana" w:hAnsi="Verdana" w:cs="Verdana"/>
          <w:sz w:val="16"/>
          <w:szCs w:val="16"/>
        </w:rPr>
        <w:t xml:space="preserve"> objętymi rządowym Programem Polski Ład</w:t>
      </w:r>
      <w:r w:rsidRPr="00D15B1F">
        <w:rPr>
          <w:rFonts w:ascii="Verdana" w:hAnsi="Verdana" w:cs="Verdana"/>
          <w:sz w:val="16"/>
          <w:szCs w:val="16"/>
        </w:rPr>
        <w:t xml:space="preserve"> </w:t>
      </w:r>
      <w:r>
        <w:rPr>
          <w:rFonts w:ascii="Verdana" w:hAnsi="Verdana" w:cs="Verdana"/>
          <w:sz w:val="16"/>
          <w:szCs w:val="16"/>
        </w:rPr>
        <w:t>oraz aktualnym i prognozowanym stanem koniunktury gospodarczej powiązanym z następstwami sytuacji pandemicznej oraz mając na uwadze zachodzące tendencje inflacyjne</w:t>
      </w:r>
      <w:r w:rsidRPr="00D15B1F">
        <w:rPr>
          <w:rFonts w:ascii="Verdana" w:hAnsi="Verdana" w:cs="Verdana"/>
          <w:sz w:val="16"/>
          <w:szCs w:val="16"/>
        </w:rPr>
        <w:t xml:space="preserve">, </w:t>
      </w:r>
      <w:r>
        <w:rPr>
          <w:rFonts w:ascii="Verdana" w:hAnsi="Verdana" w:cs="Verdana"/>
          <w:sz w:val="16"/>
          <w:szCs w:val="16"/>
        </w:rPr>
        <w:t>w warunkach</w:t>
      </w:r>
      <w:r w:rsidRPr="00D15B1F">
        <w:rPr>
          <w:rFonts w:ascii="Verdana" w:hAnsi="Verdana" w:cs="Verdana"/>
          <w:sz w:val="16"/>
          <w:szCs w:val="16"/>
        </w:rPr>
        <w:t xml:space="preserve"> konieczności respektowania ustawowych reguł limitujących wydatki bieżące i obciążenia związane z obsługą długu, </w:t>
      </w:r>
      <w:r w:rsidRPr="00D15B1F">
        <w:rPr>
          <w:rFonts w:ascii="Verdana" w:hAnsi="Verdana" w:cs="Verdana"/>
          <w:b/>
          <w:sz w:val="16"/>
          <w:szCs w:val="16"/>
        </w:rPr>
        <w:t xml:space="preserve">w najbliższej perspektywie m.st. </w:t>
      </w:r>
      <w:r w:rsidRPr="00D15B1F">
        <w:rPr>
          <w:rFonts w:ascii="Verdana" w:hAnsi="Verdana"/>
          <w:b/>
          <w:iCs/>
          <w:sz w:val="16"/>
          <w:szCs w:val="16"/>
        </w:rPr>
        <w:t>Warszawa</w:t>
      </w:r>
      <w:r w:rsidRPr="00D15B1F">
        <w:rPr>
          <w:rFonts w:ascii="Verdana" w:hAnsi="Verdana" w:cs="Verdana"/>
          <w:b/>
          <w:sz w:val="16"/>
          <w:szCs w:val="16"/>
        </w:rPr>
        <w:t xml:space="preserve"> będzie dysponowało znacznie ograniczonym potencjałem </w:t>
      </w:r>
      <w:r>
        <w:rPr>
          <w:rFonts w:ascii="Verdana" w:hAnsi="Verdana" w:cs="Verdana"/>
          <w:b/>
          <w:sz w:val="16"/>
          <w:szCs w:val="16"/>
        </w:rPr>
        <w:t>wzrostu finansowania</w:t>
      </w:r>
      <w:r w:rsidRPr="00D15B1F">
        <w:rPr>
          <w:rFonts w:ascii="Verdana" w:hAnsi="Verdana" w:cs="Verdana"/>
          <w:b/>
          <w:sz w:val="16"/>
          <w:szCs w:val="16"/>
        </w:rPr>
        <w:t xml:space="preserve"> realizowanych zadań</w:t>
      </w:r>
      <w:r w:rsidRPr="00D15B1F">
        <w:rPr>
          <w:rFonts w:ascii="Verdana" w:hAnsi="Verdana" w:cs="Verdana"/>
          <w:sz w:val="16"/>
          <w:szCs w:val="16"/>
        </w:rPr>
        <w:t>.</w:t>
      </w:r>
    </w:p>
    <w:p w:rsidR="007F07DD" w:rsidRPr="0055073A" w:rsidRDefault="007F07DD" w:rsidP="007F07DD">
      <w:pPr>
        <w:spacing w:before="60" w:after="60"/>
        <w:ind w:firstLine="567"/>
        <w:jc w:val="both"/>
        <w:rPr>
          <w:rFonts w:ascii="Verdana" w:hAnsi="Verdana"/>
          <w:iCs/>
          <w:sz w:val="16"/>
          <w:szCs w:val="16"/>
        </w:rPr>
      </w:pPr>
      <w:r w:rsidRPr="009E3E76">
        <w:rPr>
          <w:rFonts w:ascii="Verdana" w:hAnsi="Verdana"/>
          <w:b/>
          <w:iCs/>
          <w:sz w:val="16"/>
          <w:szCs w:val="16"/>
        </w:rPr>
        <w:t>Biorąc pod uwagę powyższe uwarunkowania budżetowe, a w szczególności skalę prognozowanego ograniczenia dochodów budżetowych oraz</w:t>
      </w:r>
      <w:r w:rsidRPr="0055073A">
        <w:rPr>
          <w:rFonts w:ascii="Verdana" w:hAnsi="Verdana"/>
          <w:b/>
          <w:iCs/>
          <w:sz w:val="16"/>
          <w:szCs w:val="16"/>
        </w:rPr>
        <w:t xml:space="preserve"> otoczenie prawne narzucające rygory </w:t>
      </w:r>
      <w:r>
        <w:rPr>
          <w:rFonts w:ascii="Verdana" w:hAnsi="Verdana"/>
          <w:b/>
          <w:iCs/>
          <w:sz w:val="16"/>
          <w:szCs w:val="16"/>
        </w:rPr>
        <w:br/>
      </w:r>
      <w:r w:rsidRPr="0055073A">
        <w:rPr>
          <w:rFonts w:ascii="Verdana" w:hAnsi="Verdana"/>
          <w:b/>
          <w:iCs/>
          <w:sz w:val="16"/>
          <w:szCs w:val="16"/>
        </w:rPr>
        <w:t xml:space="preserve">w zakresie limitowania wydatków bieżących i obciążeń budżetu związanych z obsługą długu, uwzględniając jednocześnie konieczność zapewnienia na odpowiednim poziomie środków na finansowanie zadań realizowanych przez </w:t>
      </w:r>
      <w:r>
        <w:rPr>
          <w:rFonts w:ascii="Verdana" w:hAnsi="Verdana"/>
          <w:b/>
          <w:iCs/>
          <w:sz w:val="16"/>
          <w:szCs w:val="16"/>
        </w:rPr>
        <w:t>m.st. Warszawa</w:t>
      </w:r>
      <w:r w:rsidRPr="0055073A">
        <w:rPr>
          <w:rFonts w:ascii="Verdana" w:hAnsi="Verdana"/>
          <w:b/>
          <w:iCs/>
          <w:sz w:val="16"/>
          <w:szCs w:val="16"/>
        </w:rPr>
        <w:t xml:space="preserve">, opracowany program adaptacji finansów </w:t>
      </w:r>
      <w:r>
        <w:rPr>
          <w:rFonts w:ascii="Verdana" w:hAnsi="Verdana"/>
          <w:b/>
          <w:iCs/>
          <w:sz w:val="16"/>
          <w:szCs w:val="16"/>
        </w:rPr>
        <w:t>Miasta</w:t>
      </w:r>
      <w:r w:rsidRPr="0055073A">
        <w:rPr>
          <w:rFonts w:ascii="Verdana" w:hAnsi="Verdana"/>
          <w:b/>
          <w:iCs/>
          <w:sz w:val="16"/>
          <w:szCs w:val="16"/>
        </w:rPr>
        <w:t xml:space="preserve"> do ograniczonych dochodów budżetowych opiera się na następujących filarach:</w:t>
      </w:r>
    </w:p>
    <w:p w:rsidR="007F07DD" w:rsidRPr="0055073A" w:rsidRDefault="007F07DD" w:rsidP="007F07DD">
      <w:pPr>
        <w:pStyle w:val="Akapitzlist"/>
        <w:numPr>
          <w:ilvl w:val="0"/>
          <w:numId w:val="50"/>
        </w:numPr>
        <w:spacing w:before="60" w:after="60"/>
        <w:ind w:left="426" w:hanging="284"/>
        <w:contextualSpacing w:val="0"/>
        <w:jc w:val="both"/>
        <w:rPr>
          <w:rFonts w:ascii="Verdana" w:hAnsi="Verdana"/>
          <w:b/>
          <w:iCs/>
          <w:sz w:val="16"/>
          <w:szCs w:val="16"/>
        </w:rPr>
      </w:pPr>
      <w:r w:rsidRPr="0055073A">
        <w:rPr>
          <w:rFonts w:ascii="Verdana" w:hAnsi="Verdana"/>
          <w:b/>
          <w:iCs/>
          <w:sz w:val="16"/>
          <w:szCs w:val="16"/>
        </w:rPr>
        <w:t>Maksymalnym wykorzystaniu potencjału zaangażowania instrumentu długu dla wsparcia działalności Miasta.</w:t>
      </w:r>
    </w:p>
    <w:p w:rsidR="007F07DD" w:rsidRPr="007F07DD" w:rsidRDefault="007F07DD" w:rsidP="007F07DD">
      <w:pPr>
        <w:pStyle w:val="Tekstprzypisukocowego"/>
        <w:spacing w:before="60" w:after="60" w:line="360" w:lineRule="auto"/>
        <w:ind w:left="425"/>
        <w:jc w:val="both"/>
        <w:rPr>
          <w:rFonts w:ascii="Verdana" w:hAnsi="Verdana" w:cs="Verdana"/>
          <w:sz w:val="16"/>
          <w:szCs w:val="16"/>
        </w:rPr>
      </w:pPr>
      <w:r w:rsidRPr="007F07DD">
        <w:rPr>
          <w:rFonts w:ascii="Verdana" w:hAnsi="Verdana" w:cs="Verdana"/>
          <w:sz w:val="16"/>
          <w:szCs w:val="16"/>
        </w:rPr>
        <w:t xml:space="preserve">Przyjęto założenie maksymalnego wykorzystania środków dłużnych dla sfinansowania niedoborów budżetowych z uwzględnieniem wewnętrznego limitu ostrożnościowego ograniczającego poziom zadłużenia do wysokości nie wyższej niż </w:t>
      </w:r>
      <w:r w:rsidRPr="007F07DD">
        <w:rPr>
          <w:rFonts w:ascii="Verdana" w:hAnsi="Verdana" w:cs="Verdana"/>
          <w:b/>
          <w:sz w:val="16"/>
          <w:szCs w:val="16"/>
        </w:rPr>
        <w:t>55%</w:t>
      </w:r>
      <w:r w:rsidRPr="007F07DD">
        <w:rPr>
          <w:rFonts w:ascii="Verdana" w:hAnsi="Verdana" w:cs="Verdana"/>
          <w:sz w:val="16"/>
          <w:szCs w:val="16"/>
        </w:rPr>
        <w:t xml:space="preserve"> w relacji do dochodów ogółem.</w:t>
      </w:r>
    </w:p>
    <w:p w:rsidR="007F07DD" w:rsidRPr="0055073A" w:rsidRDefault="007F07DD" w:rsidP="007F07DD">
      <w:pPr>
        <w:pStyle w:val="Akapitzlist"/>
        <w:numPr>
          <w:ilvl w:val="0"/>
          <w:numId w:val="50"/>
        </w:numPr>
        <w:spacing w:before="60" w:after="60"/>
        <w:ind w:left="426" w:hanging="284"/>
        <w:contextualSpacing w:val="0"/>
        <w:jc w:val="both"/>
        <w:rPr>
          <w:rFonts w:ascii="Verdana" w:hAnsi="Verdana"/>
          <w:b/>
          <w:iCs/>
          <w:sz w:val="16"/>
          <w:szCs w:val="16"/>
        </w:rPr>
      </w:pPr>
      <w:r w:rsidRPr="0055073A">
        <w:rPr>
          <w:rFonts w:ascii="Verdana" w:hAnsi="Verdana"/>
          <w:b/>
          <w:iCs/>
          <w:sz w:val="16"/>
          <w:szCs w:val="16"/>
        </w:rPr>
        <w:t>Aktywnym zarządzaniu programem inwestycyjnym przy zapewnieniu ochrony wysokości nakładów rozwojowych.</w:t>
      </w:r>
    </w:p>
    <w:p w:rsidR="007F07DD" w:rsidRPr="0055073A" w:rsidRDefault="007F07DD" w:rsidP="007F07DD">
      <w:pPr>
        <w:pStyle w:val="Tekstprzypisukocowego"/>
        <w:spacing w:before="60" w:after="60" w:line="360" w:lineRule="auto"/>
        <w:ind w:left="425"/>
        <w:jc w:val="both"/>
        <w:rPr>
          <w:rFonts w:ascii="Verdana" w:hAnsi="Verdana"/>
          <w:iCs/>
          <w:sz w:val="16"/>
          <w:szCs w:val="16"/>
        </w:rPr>
      </w:pPr>
      <w:r w:rsidRPr="002A750A">
        <w:rPr>
          <w:rFonts w:ascii="Verdana" w:hAnsi="Verdana"/>
          <w:iCs/>
          <w:sz w:val="16"/>
          <w:szCs w:val="16"/>
        </w:rPr>
        <w:t xml:space="preserve">Założono utrzymanie wartości programu inwestycyjnego na niezmienionym poziomie z korektami </w:t>
      </w:r>
      <w:r>
        <w:rPr>
          <w:rFonts w:ascii="Verdana" w:hAnsi="Verdana"/>
          <w:iCs/>
          <w:sz w:val="16"/>
          <w:szCs w:val="16"/>
        </w:rPr>
        <w:br/>
      </w:r>
      <w:r w:rsidRPr="002A750A">
        <w:rPr>
          <w:rFonts w:ascii="Verdana" w:hAnsi="Verdana"/>
          <w:iCs/>
          <w:sz w:val="16"/>
          <w:szCs w:val="16"/>
        </w:rPr>
        <w:t>w rozkładzie wydatków pomiędzy latami.</w:t>
      </w:r>
    </w:p>
    <w:p w:rsidR="007F07DD" w:rsidRPr="0055073A" w:rsidRDefault="007F07DD" w:rsidP="007F07DD">
      <w:pPr>
        <w:pStyle w:val="Akapitzlist"/>
        <w:numPr>
          <w:ilvl w:val="0"/>
          <w:numId w:val="50"/>
        </w:numPr>
        <w:spacing w:before="60" w:after="60"/>
        <w:ind w:left="426" w:hanging="284"/>
        <w:contextualSpacing w:val="0"/>
        <w:jc w:val="both"/>
        <w:rPr>
          <w:rFonts w:ascii="Verdana" w:hAnsi="Verdana"/>
          <w:b/>
          <w:iCs/>
          <w:sz w:val="16"/>
          <w:szCs w:val="16"/>
        </w:rPr>
      </w:pPr>
      <w:r>
        <w:rPr>
          <w:rFonts w:ascii="Verdana" w:hAnsi="Verdana"/>
          <w:b/>
          <w:iCs/>
          <w:sz w:val="16"/>
          <w:szCs w:val="16"/>
        </w:rPr>
        <w:t>Dążeniu w ramach ograniczonych możliwości budżetowych do utrzymania</w:t>
      </w:r>
      <w:r w:rsidRPr="0055073A">
        <w:rPr>
          <w:rFonts w:ascii="Verdana" w:hAnsi="Verdana"/>
          <w:b/>
          <w:iCs/>
          <w:sz w:val="16"/>
          <w:szCs w:val="16"/>
        </w:rPr>
        <w:t xml:space="preserve"> zdolności Miasta do realizowania kluczowych zadań przy zapewnieniu standardów jakościowych.</w:t>
      </w:r>
    </w:p>
    <w:p w:rsidR="007F07DD" w:rsidRDefault="007F07DD" w:rsidP="007F07DD">
      <w:pPr>
        <w:spacing w:before="60" w:after="60"/>
        <w:ind w:left="426"/>
        <w:jc w:val="both"/>
        <w:rPr>
          <w:rFonts w:ascii="Verdana" w:hAnsi="Verdana"/>
          <w:iCs/>
          <w:sz w:val="16"/>
          <w:szCs w:val="16"/>
        </w:rPr>
      </w:pPr>
      <w:r w:rsidRPr="002A750A">
        <w:rPr>
          <w:rFonts w:ascii="Verdana" w:hAnsi="Verdana"/>
          <w:iCs/>
          <w:sz w:val="16"/>
          <w:szCs w:val="16"/>
        </w:rPr>
        <w:t xml:space="preserve">Z uwagi na skalę szacowanego ubytku dochodów w kontekście wymogu respektowania ustawowej reguły limitującej poziom dopuszczanych obciążeń budżetu związanych z obsługą długu (art. 243 ustawy </w:t>
      </w:r>
      <w:r>
        <w:rPr>
          <w:rFonts w:ascii="Verdana" w:hAnsi="Verdana"/>
          <w:iCs/>
          <w:sz w:val="16"/>
          <w:szCs w:val="16"/>
        </w:rPr>
        <w:br/>
      </w:r>
      <w:r w:rsidRPr="002A750A">
        <w:rPr>
          <w:rFonts w:ascii="Verdana" w:hAnsi="Verdana"/>
          <w:iCs/>
          <w:sz w:val="16"/>
          <w:szCs w:val="16"/>
        </w:rPr>
        <w:t xml:space="preserve">o finansach publicznych) założono stopniowe dostosowywanie wydatków bieżących do ograniczonego poziomu finansowania.  </w:t>
      </w:r>
      <w:r>
        <w:rPr>
          <w:rFonts w:ascii="Verdana" w:hAnsi="Verdana"/>
          <w:iCs/>
          <w:sz w:val="16"/>
          <w:szCs w:val="16"/>
        </w:rPr>
        <w:br w:type="page"/>
      </w:r>
    </w:p>
    <w:p w:rsidR="007F07DD" w:rsidRPr="000A6485" w:rsidRDefault="007F07DD" w:rsidP="007F07DD">
      <w:pPr>
        <w:spacing w:before="360" w:after="240" w:line="240" w:lineRule="auto"/>
        <w:ind w:left="284" w:hanging="284"/>
        <w:rPr>
          <w:rFonts w:ascii="Verdana" w:hAnsi="Verdana"/>
          <w:b/>
          <w:bCs/>
          <w:sz w:val="22"/>
          <w:szCs w:val="22"/>
        </w:rPr>
      </w:pPr>
      <w:r w:rsidRPr="000A6485">
        <w:rPr>
          <w:rFonts w:ascii="Verdana" w:hAnsi="Verdana"/>
          <w:b/>
          <w:bCs/>
        </w:rPr>
        <w:lastRenderedPageBreak/>
        <w:t xml:space="preserve">5. </w:t>
      </w:r>
      <w:r w:rsidRPr="001B630D">
        <w:rPr>
          <w:rFonts w:ascii="Verdana" w:hAnsi="Verdana"/>
          <w:b/>
          <w:bCs/>
          <w:sz w:val="22"/>
          <w:szCs w:val="22"/>
        </w:rPr>
        <w:t xml:space="preserve">Cele polityki budżetowej m.st. Warszawy uwzględnione </w:t>
      </w:r>
      <w:r w:rsidRPr="001B630D">
        <w:rPr>
          <w:rFonts w:ascii="Verdana" w:hAnsi="Verdana"/>
          <w:b/>
          <w:bCs/>
          <w:sz w:val="22"/>
          <w:szCs w:val="22"/>
        </w:rPr>
        <w:br/>
      </w:r>
      <w:r>
        <w:rPr>
          <w:rFonts w:ascii="Verdana" w:hAnsi="Verdana"/>
          <w:b/>
          <w:bCs/>
          <w:sz w:val="22"/>
          <w:szCs w:val="22"/>
        </w:rPr>
        <w:t xml:space="preserve"> </w:t>
      </w:r>
      <w:r w:rsidRPr="001B630D">
        <w:rPr>
          <w:rFonts w:ascii="Verdana" w:hAnsi="Verdana"/>
          <w:b/>
          <w:bCs/>
          <w:sz w:val="22"/>
          <w:szCs w:val="22"/>
        </w:rPr>
        <w:t>w Wieloletniej Prognoz</w:t>
      </w:r>
      <w:r>
        <w:rPr>
          <w:rFonts w:ascii="Verdana" w:hAnsi="Verdana"/>
          <w:b/>
          <w:bCs/>
          <w:sz w:val="22"/>
          <w:szCs w:val="22"/>
        </w:rPr>
        <w:t>ie</w:t>
      </w:r>
      <w:r w:rsidRPr="001B630D">
        <w:rPr>
          <w:rFonts w:ascii="Verdana" w:hAnsi="Verdana"/>
          <w:b/>
          <w:bCs/>
          <w:sz w:val="22"/>
          <w:szCs w:val="22"/>
        </w:rPr>
        <w:t xml:space="preserve"> Finansowej m.st. Warszawy </w:t>
      </w:r>
      <w:r>
        <w:rPr>
          <w:rFonts w:ascii="Verdana" w:hAnsi="Verdana"/>
          <w:b/>
          <w:bCs/>
          <w:sz w:val="22"/>
          <w:szCs w:val="22"/>
        </w:rPr>
        <w:br/>
        <w:t xml:space="preserve"> </w:t>
      </w:r>
      <w:r w:rsidRPr="001B630D">
        <w:rPr>
          <w:rFonts w:ascii="Verdana" w:hAnsi="Verdana"/>
          <w:b/>
          <w:bCs/>
          <w:sz w:val="22"/>
          <w:szCs w:val="22"/>
        </w:rPr>
        <w:t xml:space="preserve">na lata </w:t>
      </w:r>
      <w:r w:rsidRPr="0090283F">
        <w:rPr>
          <w:rFonts w:ascii="Verdana" w:hAnsi="Verdana"/>
          <w:b/>
          <w:bCs/>
          <w:sz w:val="22"/>
          <w:szCs w:val="22"/>
        </w:rPr>
        <w:t>2022</w:t>
      </w:r>
      <w:r w:rsidRPr="001B630D">
        <w:rPr>
          <w:rFonts w:ascii="Verdana" w:hAnsi="Verdana"/>
          <w:b/>
          <w:bCs/>
          <w:sz w:val="22"/>
          <w:szCs w:val="22"/>
        </w:rPr>
        <w:t>-2050</w:t>
      </w:r>
    </w:p>
    <w:p w:rsidR="007F07DD" w:rsidRPr="009E3E76" w:rsidRDefault="007F07DD" w:rsidP="007F07DD">
      <w:pPr>
        <w:spacing w:before="60" w:after="60"/>
        <w:ind w:firstLine="567"/>
        <w:jc w:val="both"/>
        <w:rPr>
          <w:rFonts w:ascii="Verdana" w:hAnsi="Verdana" w:cs="Verdana"/>
          <w:sz w:val="16"/>
          <w:szCs w:val="16"/>
          <w:lang w:eastAsia="ko-KR"/>
        </w:rPr>
      </w:pPr>
      <w:r w:rsidRPr="009E3E76">
        <w:rPr>
          <w:rFonts w:ascii="Verdana" w:hAnsi="Verdana" w:cs="Verdana"/>
          <w:sz w:val="16"/>
          <w:szCs w:val="16"/>
          <w:lang w:eastAsia="ko-KR"/>
        </w:rPr>
        <w:t xml:space="preserve">Cele polityki budżetowej określone w </w:t>
      </w:r>
      <w:r>
        <w:rPr>
          <w:rFonts w:ascii="Verdana" w:hAnsi="Verdana" w:cs="Verdana"/>
          <w:sz w:val="16"/>
          <w:szCs w:val="16"/>
          <w:lang w:eastAsia="ko-KR"/>
        </w:rPr>
        <w:t>Wieloletniej Prognozie</w:t>
      </w:r>
      <w:r w:rsidRPr="009E3E76">
        <w:rPr>
          <w:rFonts w:ascii="Verdana" w:hAnsi="Verdana" w:cs="Verdana"/>
          <w:sz w:val="16"/>
          <w:szCs w:val="16"/>
          <w:lang w:eastAsia="ko-KR"/>
        </w:rPr>
        <w:t xml:space="preserve"> Finansowej m.st. Warszawy edycji </w:t>
      </w:r>
      <w:r w:rsidRPr="0090283F">
        <w:rPr>
          <w:rFonts w:ascii="Verdana" w:eastAsiaTheme="minorEastAsia" w:hAnsi="Verdana" w:cs="Verdana"/>
          <w:color w:val="000000"/>
          <w:sz w:val="16"/>
          <w:szCs w:val="16"/>
        </w:rPr>
        <w:t>2022</w:t>
      </w:r>
      <w:r w:rsidRPr="009E3E76">
        <w:rPr>
          <w:rFonts w:ascii="Verdana" w:hAnsi="Verdana" w:cs="Verdana"/>
          <w:sz w:val="16"/>
          <w:szCs w:val="16"/>
          <w:lang w:eastAsia="ko-KR"/>
        </w:rPr>
        <w:t xml:space="preserve">-2050 stanowią co do zasady kontynuację założeń ujętych w Wieloletniej Prognozie Finansowej edycji </w:t>
      </w:r>
      <w:r w:rsidRPr="0090283F">
        <w:rPr>
          <w:rFonts w:ascii="Verdana" w:eastAsiaTheme="minorEastAsia" w:hAnsi="Verdana" w:cs="Verdana"/>
          <w:color w:val="000000"/>
          <w:sz w:val="16"/>
          <w:szCs w:val="16"/>
        </w:rPr>
        <w:t>2021</w:t>
      </w:r>
      <w:r w:rsidRPr="009E3E76">
        <w:rPr>
          <w:rFonts w:ascii="Verdana" w:hAnsi="Verdana" w:cs="Verdana"/>
          <w:sz w:val="16"/>
          <w:szCs w:val="16"/>
          <w:lang w:eastAsia="ko-KR"/>
        </w:rPr>
        <w:t xml:space="preserve">-2050. </w:t>
      </w:r>
      <w:r>
        <w:rPr>
          <w:rFonts w:ascii="Verdana" w:hAnsi="Verdana" w:cs="Verdana"/>
          <w:sz w:val="16"/>
          <w:szCs w:val="16"/>
          <w:lang w:eastAsia="ko-KR"/>
        </w:rPr>
        <w:br/>
      </w:r>
      <w:r w:rsidRPr="009E3E76">
        <w:rPr>
          <w:rFonts w:ascii="Verdana" w:hAnsi="Verdana" w:cs="Verdana"/>
          <w:sz w:val="16"/>
          <w:szCs w:val="16"/>
          <w:lang w:eastAsia="ko-KR"/>
        </w:rPr>
        <w:t>Ze względu jednak na przełomową negatywną zmianę uwarunkowań budżetowych</w:t>
      </w:r>
      <w:r>
        <w:rPr>
          <w:rFonts w:ascii="Verdana" w:hAnsi="Verdana" w:cs="Verdana"/>
          <w:sz w:val="16"/>
          <w:szCs w:val="16"/>
          <w:lang w:eastAsia="ko-KR"/>
        </w:rPr>
        <w:t xml:space="preserve"> związaną ze znaczącym ubytkiem dochodów m.st. Warszawy z udziału w podatku dochodowym od osób fizycznych (PIT) na skutek rządowego Programu Polski Ład</w:t>
      </w:r>
      <w:r w:rsidRPr="009E3E76">
        <w:rPr>
          <w:rFonts w:ascii="Verdana" w:hAnsi="Verdana" w:cs="Verdana"/>
          <w:sz w:val="16"/>
          <w:szCs w:val="16"/>
          <w:lang w:eastAsia="ko-KR"/>
        </w:rPr>
        <w:t xml:space="preserve">, tempo realizacji </w:t>
      </w:r>
      <w:r>
        <w:rPr>
          <w:rFonts w:ascii="Verdana" w:hAnsi="Verdana" w:cs="Verdana"/>
          <w:sz w:val="16"/>
          <w:szCs w:val="16"/>
          <w:lang w:eastAsia="ko-KR"/>
        </w:rPr>
        <w:t xml:space="preserve">tych celów </w:t>
      </w:r>
      <w:r w:rsidRPr="009E3E76">
        <w:rPr>
          <w:rFonts w:ascii="Verdana" w:hAnsi="Verdana" w:cs="Verdana"/>
          <w:sz w:val="16"/>
          <w:szCs w:val="16"/>
          <w:lang w:eastAsia="ko-KR"/>
        </w:rPr>
        <w:t>ulegnie istotnemu wyhamowaniu i każdy</w:t>
      </w:r>
      <w:r>
        <w:rPr>
          <w:rFonts w:ascii="Verdana" w:hAnsi="Verdana" w:cs="Verdana"/>
          <w:sz w:val="16"/>
          <w:szCs w:val="16"/>
          <w:lang w:eastAsia="ko-KR"/>
        </w:rPr>
        <w:t xml:space="preserve"> z celów polityki budżetowej m.</w:t>
      </w:r>
      <w:r w:rsidRPr="009E3E76">
        <w:rPr>
          <w:rFonts w:ascii="Verdana" w:hAnsi="Verdana" w:cs="Verdana"/>
          <w:sz w:val="16"/>
          <w:szCs w:val="16"/>
          <w:lang w:eastAsia="ko-KR"/>
        </w:rPr>
        <w:t xml:space="preserve">st. Warszawy definiowany jest obecnie jako wyzwanie dla Miasta w dłuższym okresie, </w:t>
      </w:r>
      <w:r>
        <w:rPr>
          <w:rFonts w:ascii="Verdana" w:hAnsi="Verdana" w:cs="Verdana"/>
          <w:sz w:val="16"/>
          <w:szCs w:val="16"/>
          <w:lang w:eastAsia="ko-KR"/>
        </w:rPr>
        <w:br/>
      </w:r>
      <w:r w:rsidRPr="009E3E76">
        <w:rPr>
          <w:rFonts w:ascii="Verdana" w:hAnsi="Verdana" w:cs="Verdana"/>
          <w:sz w:val="16"/>
          <w:szCs w:val="16"/>
          <w:lang w:eastAsia="ko-KR"/>
        </w:rPr>
        <w:t>w tym szczególnym wyzwaniem staje się redukcja deficytu budżetowego oraz ograniczenie przyrostu zadłużenia i</w:t>
      </w:r>
      <w:r>
        <w:rPr>
          <w:rFonts w:ascii="Verdana" w:hAnsi="Verdana" w:cs="Verdana"/>
          <w:sz w:val="16"/>
          <w:szCs w:val="16"/>
          <w:lang w:eastAsia="ko-KR"/>
        </w:rPr>
        <w:t xml:space="preserve"> </w:t>
      </w:r>
      <w:r w:rsidRPr="009E3E76">
        <w:rPr>
          <w:rFonts w:ascii="Verdana" w:hAnsi="Verdana" w:cs="Verdana"/>
          <w:sz w:val="16"/>
          <w:szCs w:val="16"/>
          <w:lang w:eastAsia="ko-KR"/>
        </w:rPr>
        <w:t xml:space="preserve">utrzymanie </w:t>
      </w:r>
      <w:r>
        <w:rPr>
          <w:rFonts w:ascii="Verdana" w:hAnsi="Verdana" w:cs="Verdana"/>
          <w:sz w:val="16"/>
          <w:szCs w:val="16"/>
          <w:lang w:eastAsia="ko-KR"/>
        </w:rPr>
        <w:t xml:space="preserve">jego poziomu </w:t>
      </w:r>
      <w:r w:rsidRPr="009E3E76">
        <w:rPr>
          <w:rFonts w:ascii="Verdana" w:hAnsi="Verdana" w:cs="Verdana"/>
          <w:sz w:val="16"/>
          <w:szCs w:val="16"/>
          <w:lang w:eastAsia="ko-KR"/>
        </w:rPr>
        <w:t>w relacji do dochodów</w:t>
      </w:r>
      <w:r>
        <w:rPr>
          <w:rFonts w:ascii="Verdana" w:hAnsi="Verdana" w:cs="Verdana"/>
          <w:sz w:val="16"/>
          <w:szCs w:val="16"/>
          <w:lang w:eastAsia="ko-KR"/>
        </w:rPr>
        <w:t xml:space="preserve"> na założonym poziomie</w:t>
      </w:r>
      <w:r w:rsidRPr="009E3E76">
        <w:rPr>
          <w:rFonts w:ascii="Verdana" w:hAnsi="Verdana" w:cs="Verdana"/>
          <w:sz w:val="16"/>
          <w:szCs w:val="16"/>
          <w:lang w:eastAsia="ko-KR"/>
        </w:rPr>
        <w:t xml:space="preserve">. </w:t>
      </w:r>
    </w:p>
    <w:p w:rsidR="007F07DD" w:rsidRDefault="007F07DD" w:rsidP="007F07DD">
      <w:pPr>
        <w:spacing w:before="60" w:after="60"/>
        <w:jc w:val="both"/>
        <w:rPr>
          <w:rFonts w:ascii="Verdana" w:hAnsi="Verdana" w:cs="Verdana"/>
          <w:sz w:val="16"/>
          <w:szCs w:val="16"/>
          <w:lang w:eastAsia="ko-KR"/>
        </w:rPr>
      </w:pPr>
      <w:r w:rsidRPr="009E3E76">
        <w:rPr>
          <w:rFonts w:ascii="Verdana" w:hAnsi="Verdana" w:cs="Verdana"/>
          <w:sz w:val="16"/>
          <w:szCs w:val="16"/>
          <w:lang w:eastAsia="ko-KR"/>
        </w:rPr>
        <w:t>Niemn</w:t>
      </w:r>
      <w:r>
        <w:rPr>
          <w:rFonts w:ascii="Verdana" w:hAnsi="Verdana" w:cs="Verdana"/>
          <w:sz w:val="16"/>
          <w:szCs w:val="16"/>
          <w:lang w:eastAsia="ko-KR"/>
        </w:rPr>
        <w:t>iej cele polityki budżetowej m.</w:t>
      </w:r>
      <w:r w:rsidRPr="009E3E76">
        <w:rPr>
          <w:rFonts w:ascii="Verdana" w:hAnsi="Verdana" w:cs="Verdana"/>
          <w:sz w:val="16"/>
          <w:szCs w:val="16"/>
          <w:lang w:eastAsia="ko-KR"/>
        </w:rPr>
        <w:t>st. Warszawy</w:t>
      </w:r>
      <w:r w:rsidRPr="009E3E76">
        <w:rPr>
          <w:rFonts w:ascii="Verdana" w:hAnsi="Verdana"/>
          <w:iCs/>
          <w:sz w:val="16"/>
          <w:szCs w:val="16"/>
        </w:rPr>
        <w:t xml:space="preserve"> są ukierunkowane na:</w:t>
      </w:r>
    </w:p>
    <w:p w:rsidR="007F07DD" w:rsidRPr="00011AAA" w:rsidRDefault="007F07DD" w:rsidP="007F07DD">
      <w:pPr>
        <w:pStyle w:val="Akapitzlist"/>
        <w:numPr>
          <w:ilvl w:val="0"/>
          <w:numId w:val="48"/>
        </w:numPr>
        <w:spacing w:before="60" w:after="60"/>
        <w:ind w:left="567" w:hanging="283"/>
        <w:contextualSpacing w:val="0"/>
        <w:jc w:val="both"/>
        <w:rPr>
          <w:rFonts w:ascii="Verdana" w:hAnsi="Verdana" w:cs="Verdana"/>
          <w:sz w:val="16"/>
          <w:szCs w:val="16"/>
          <w:lang w:eastAsia="ko-KR"/>
        </w:rPr>
      </w:pPr>
      <w:r>
        <w:rPr>
          <w:rFonts w:ascii="Verdana" w:hAnsi="Verdana" w:cs="Verdana"/>
          <w:sz w:val="16"/>
          <w:szCs w:val="16"/>
          <w:lang w:eastAsia="ko-KR"/>
        </w:rPr>
        <w:t>redukcję</w:t>
      </w:r>
      <w:r w:rsidRPr="00011AAA">
        <w:rPr>
          <w:rFonts w:ascii="Verdana" w:hAnsi="Verdana" w:cs="Verdana"/>
          <w:sz w:val="16"/>
          <w:szCs w:val="16"/>
          <w:lang w:eastAsia="ko-KR"/>
        </w:rPr>
        <w:t xml:space="preserve"> </w:t>
      </w:r>
      <w:r>
        <w:rPr>
          <w:rFonts w:ascii="Verdana" w:hAnsi="Verdana" w:cs="Verdana"/>
          <w:sz w:val="16"/>
          <w:szCs w:val="16"/>
          <w:lang w:eastAsia="ko-KR"/>
        </w:rPr>
        <w:t>deficytu budżetowego prowadzoną</w:t>
      </w:r>
      <w:r w:rsidRPr="00011AAA">
        <w:rPr>
          <w:rFonts w:ascii="Verdana" w:hAnsi="Verdana" w:cs="Verdana"/>
          <w:sz w:val="16"/>
          <w:szCs w:val="16"/>
          <w:lang w:eastAsia="ko-KR"/>
        </w:rPr>
        <w:t xml:space="preserve"> w sposób niezagrażający rozwojowi Miasta, </w:t>
      </w:r>
    </w:p>
    <w:p w:rsidR="007F07DD" w:rsidRPr="00011AAA" w:rsidRDefault="007F07DD" w:rsidP="007F07DD">
      <w:pPr>
        <w:pStyle w:val="Akapitzlist"/>
        <w:numPr>
          <w:ilvl w:val="0"/>
          <w:numId w:val="48"/>
        </w:numPr>
        <w:spacing w:before="60" w:after="60"/>
        <w:ind w:left="567" w:hanging="283"/>
        <w:contextualSpacing w:val="0"/>
        <w:jc w:val="both"/>
        <w:rPr>
          <w:rFonts w:ascii="Verdana" w:hAnsi="Verdana" w:cs="Verdana"/>
          <w:sz w:val="16"/>
          <w:szCs w:val="16"/>
          <w:lang w:eastAsia="ko-KR"/>
        </w:rPr>
      </w:pPr>
      <w:r>
        <w:rPr>
          <w:rFonts w:ascii="Verdana" w:hAnsi="Verdana" w:cs="Verdana"/>
          <w:sz w:val="16"/>
          <w:szCs w:val="16"/>
          <w:lang w:eastAsia="ko-KR"/>
        </w:rPr>
        <w:t>ograniczenie</w:t>
      </w:r>
      <w:r w:rsidRPr="00011AAA">
        <w:rPr>
          <w:rFonts w:ascii="Verdana" w:hAnsi="Verdana" w:cs="Verdana"/>
          <w:sz w:val="16"/>
          <w:szCs w:val="16"/>
          <w:lang w:eastAsia="ko-KR"/>
        </w:rPr>
        <w:t xml:space="preserve"> przyrostu zadłużenia poprzez utrzymanie jego poziomu poniżej wewnętrznego limitu zadłużenia w relacji do dochodów, ustalonego n</w:t>
      </w:r>
      <w:r>
        <w:rPr>
          <w:rFonts w:ascii="Verdana" w:hAnsi="Verdana" w:cs="Verdana"/>
          <w:sz w:val="16"/>
          <w:szCs w:val="16"/>
          <w:lang w:eastAsia="ko-KR"/>
        </w:rPr>
        <w:t>a poziomie nieprzekraczającym 55</w:t>
      </w:r>
      <w:r w:rsidRPr="00011AAA">
        <w:rPr>
          <w:rFonts w:ascii="Verdana" w:hAnsi="Verdana" w:cs="Verdana"/>
          <w:sz w:val="16"/>
          <w:szCs w:val="16"/>
          <w:lang w:eastAsia="ko-KR"/>
        </w:rPr>
        <w:t>%,</w:t>
      </w:r>
    </w:p>
    <w:p w:rsidR="007F07DD" w:rsidRPr="00011AAA" w:rsidRDefault="007F07DD" w:rsidP="007F07DD">
      <w:pPr>
        <w:pStyle w:val="Akapitzlist"/>
        <w:numPr>
          <w:ilvl w:val="0"/>
          <w:numId w:val="48"/>
        </w:numPr>
        <w:spacing w:before="60" w:after="60"/>
        <w:ind w:left="567" w:hanging="283"/>
        <w:contextualSpacing w:val="0"/>
        <w:jc w:val="both"/>
        <w:rPr>
          <w:rFonts w:ascii="Verdana" w:hAnsi="Verdana" w:cs="Verdana"/>
          <w:sz w:val="16"/>
          <w:szCs w:val="16"/>
          <w:lang w:eastAsia="ko-KR"/>
        </w:rPr>
      </w:pPr>
      <w:r>
        <w:rPr>
          <w:rFonts w:ascii="Verdana" w:hAnsi="Verdana" w:cs="Verdana"/>
          <w:sz w:val="16"/>
          <w:szCs w:val="16"/>
          <w:lang w:eastAsia="ko-KR"/>
        </w:rPr>
        <w:t>maksymalne wykorzystanie</w:t>
      </w:r>
      <w:r w:rsidRPr="00011AAA">
        <w:rPr>
          <w:rFonts w:ascii="Verdana" w:hAnsi="Verdana" w:cs="Verdana"/>
          <w:sz w:val="16"/>
          <w:szCs w:val="16"/>
          <w:lang w:eastAsia="ko-KR"/>
        </w:rPr>
        <w:t xml:space="preserve"> środków unijnych w ramach perspektywy finansowej 2014-2020,</w:t>
      </w:r>
    </w:p>
    <w:p w:rsidR="007F07DD" w:rsidRDefault="007F07DD" w:rsidP="007F07DD">
      <w:pPr>
        <w:pStyle w:val="Akapitzlist"/>
        <w:numPr>
          <w:ilvl w:val="0"/>
          <w:numId w:val="48"/>
        </w:numPr>
        <w:spacing w:before="60" w:after="60"/>
        <w:ind w:left="567" w:hanging="283"/>
        <w:contextualSpacing w:val="0"/>
        <w:jc w:val="both"/>
        <w:rPr>
          <w:rFonts w:ascii="Verdana" w:hAnsi="Verdana"/>
          <w:sz w:val="16"/>
          <w:szCs w:val="16"/>
        </w:rPr>
      </w:pPr>
      <w:r>
        <w:rPr>
          <w:rFonts w:ascii="Verdana" w:hAnsi="Verdana"/>
          <w:sz w:val="16"/>
          <w:szCs w:val="16"/>
        </w:rPr>
        <w:t>zachowanie</w:t>
      </w:r>
      <w:r w:rsidRPr="00011AAA">
        <w:rPr>
          <w:rFonts w:ascii="Verdana" w:hAnsi="Verdana"/>
          <w:sz w:val="16"/>
          <w:szCs w:val="16"/>
        </w:rPr>
        <w:t xml:space="preserve"> prorozwojowej orientacji budżetu w warunkach ograniczeń wynikających z działania dwóch systemowych reguł fiskalnych określonych w art. 242 i 243 ustawy o finansach publicznych, </w:t>
      </w:r>
      <w:r w:rsidRPr="00011AAA">
        <w:rPr>
          <w:rFonts w:ascii="Verdana" w:hAnsi="Verdana"/>
          <w:sz w:val="16"/>
          <w:szCs w:val="16"/>
        </w:rPr>
        <w:br/>
        <w:t>tj. utrzymania dodatniej różnicy między dochodami bieżącymi a wydatkami bieżącymi oraz nieprzekraczania zindywidualizowanego limitu obsługi zadłużenia,</w:t>
      </w:r>
    </w:p>
    <w:p w:rsidR="007F07DD" w:rsidRPr="00011AAA" w:rsidRDefault="007F07DD" w:rsidP="007F07DD">
      <w:pPr>
        <w:pStyle w:val="Akapitzlist"/>
        <w:numPr>
          <w:ilvl w:val="0"/>
          <w:numId w:val="48"/>
        </w:numPr>
        <w:spacing w:before="60" w:after="60"/>
        <w:ind w:left="567" w:hanging="283"/>
        <w:contextualSpacing w:val="0"/>
        <w:jc w:val="both"/>
        <w:rPr>
          <w:rFonts w:ascii="Verdana" w:hAnsi="Verdana"/>
          <w:sz w:val="16"/>
          <w:szCs w:val="16"/>
        </w:rPr>
      </w:pPr>
      <w:r>
        <w:rPr>
          <w:rFonts w:ascii="Verdana" w:hAnsi="Verdana"/>
          <w:sz w:val="16"/>
          <w:szCs w:val="16"/>
        </w:rPr>
        <w:t>zapewnienie optymalnego poziomu dostarczanych usług publicznych w ramach istotnie obniżonych możliwości budżetowych związanych z negatywnymi następstwami Programu Polski Ład dla poziomu dochodów z głównego źródła dochodów Miasta, tj. udziału w podatku dochodowym od osób fizycznych (PIT),</w:t>
      </w:r>
    </w:p>
    <w:p w:rsidR="007F07DD" w:rsidRPr="00011AAA" w:rsidRDefault="007F07DD" w:rsidP="007F07DD">
      <w:pPr>
        <w:pStyle w:val="Akapitzlist"/>
        <w:numPr>
          <w:ilvl w:val="0"/>
          <w:numId w:val="48"/>
        </w:numPr>
        <w:spacing w:before="60" w:after="60"/>
        <w:ind w:left="567" w:hanging="283"/>
        <w:contextualSpacing w:val="0"/>
        <w:jc w:val="both"/>
        <w:rPr>
          <w:rFonts w:ascii="Verdana" w:hAnsi="Verdana" w:cs="Verdana"/>
          <w:sz w:val="16"/>
          <w:szCs w:val="16"/>
          <w:lang w:eastAsia="ko-KR"/>
        </w:rPr>
      </w:pPr>
      <w:r>
        <w:rPr>
          <w:rFonts w:ascii="Verdana" w:hAnsi="Verdana" w:cs="Verdana"/>
          <w:sz w:val="16"/>
          <w:szCs w:val="16"/>
          <w:lang w:eastAsia="ko-KR"/>
        </w:rPr>
        <w:t>kontynuację</w:t>
      </w:r>
      <w:r w:rsidRPr="00011AAA">
        <w:rPr>
          <w:rFonts w:ascii="Verdana" w:hAnsi="Verdana" w:cs="Verdana"/>
          <w:sz w:val="16"/>
          <w:szCs w:val="16"/>
          <w:lang w:eastAsia="ko-KR"/>
        </w:rPr>
        <w:t xml:space="preserve"> projektów infrastrukturalnych, takich jak rozbudowa II linii metra, przy wzrastającym znaczeniu społecznych programów rozwojowych związanych zarówno z inwestycjami, jak też </w:t>
      </w:r>
      <w:r w:rsidRPr="00011AAA">
        <w:rPr>
          <w:rFonts w:ascii="Verdana" w:hAnsi="Verdana" w:cs="Verdana"/>
          <w:sz w:val="16"/>
          <w:szCs w:val="16"/>
          <w:lang w:eastAsia="ko-KR"/>
        </w:rPr>
        <w:br/>
        <w:t>z projektami tzw. „miękkimi”.</w:t>
      </w:r>
    </w:p>
    <w:p w:rsidR="007F07DD" w:rsidRPr="00011AAA" w:rsidRDefault="007F07DD" w:rsidP="007F07DD">
      <w:pPr>
        <w:spacing w:before="60" w:after="60"/>
        <w:jc w:val="both"/>
        <w:rPr>
          <w:rFonts w:ascii="Verdana" w:hAnsi="Verdana" w:cs="Verdana"/>
          <w:sz w:val="16"/>
          <w:szCs w:val="16"/>
          <w:lang w:eastAsia="ko-KR"/>
        </w:rPr>
      </w:pPr>
      <w:r w:rsidRPr="00011AAA">
        <w:rPr>
          <w:rFonts w:ascii="Verdana" w:hAnsi="Verdana" w:cs="Verdana"/>
          <w:sz w:val="16"/>
          <w:szCs w:val="16"/>
          <w:lang w:eastAsia="ko-KR"/>
        </w:rPr>
        <w:t xml:space="preserve">Priorytetem w zakresie planowania wydatków bieżących będzie zapewnienie prawidłowego funkcjonowania obiektów i urządzeń miejskiej infrastruktury społecznej i technicznej oraz zaspokojenie bieżących potrzeb </w:t>
      </w:r>
      <w:r w:rsidRPr="00011AAA">
        <w:rPr>
          <w:rFonts w:ascii="Verdana" w:hAnsi="Verdana" w:cs="Verdana"/>
          <w:sz w:val="16"/>
          <w:szCs w:val="16"/>
          <w:lang w:eastAsia="ko-KR"/>
        </w:rPr>
        <w:br/>
        <w:t>w związku z realizacją zadań Miasta jako gminy i powiatu, w tym zadań powierzonych do realizacji dzielnicom.</w:t>
      </w:r>
    </w:p>
    <w:p w:rsidR="007F07DD" w:rsidRPr="00C855F4" w:rsidRDefault="007F07DD" w:rsidP="007F07DD">
      <w:pPr>
        <w:spacing w:before="60" w:after="60"/>
        <w:jc w:val="both"/>
        <w:rPr>
          <w:rFonts w:ascii="Verdana" w:hAnsi="Verdana" w:cs="Verdana"/>
          <w:sz w:val="16"/>
          <w:szCs w:val="16"/>
          <w:lang w:eastAsia="ko-KR"/>
        </w:rPr>
      </w:pPr>
      <w:r w:rsidRPr="00011AAA">
        <w:rPr>
          <w:rFonts w:ascii="Verdana" w:hAnsi="Verdana"/>
          <w:color w:val="000000"/>
          <w:sz w:val="16"/>
          <w:szCs w:val="16"/>
        </w:rPr>
        <w:t xml:space="preserve">Ponadto koniecznym jest zabezpieczenie środków na wydatki stanowiące przedsięwzięcia wieloletnie, które zostały uwzględnione w Wieloletniej Prognozie Finansowej m.st. </w:t>
      </w:r>
      <w:r w:rsidRPr="00011AAA">
        <w:rPr>
          <w:rFonts w:ascii="Verdana" w:hAnsi="Verdana"/>
          <w:iCs/>
          <w:sz w:val="16"/>
          <w:szCs w:val="16"/>
        </w:rPr>
        <w:t>Warszawy</w:t>
      </w:r>
      <w:r>
        <w:rPr>
          <w:rFonts w:ascii="Verdana" w:hAnsi="Verdana"/>
          <w:color w:val="000000"/>
          <w:sz w:val="16"/>
          <w:szCs w:val="16"/>
        </w:rPr>
        <w:t xml:space="preserve"> na lata </w:t>
      </w:r>
      <w:r w:rsidRPr="0090283F">
        <w:rPr>
          <w:rFonts w:ascii="Verdana" w:eastAsiaTheme="minorEastAsia" w:hAnsi="Verdana" w:cs="Verdana"/>
          <w:color w:val="000000"/>
          <w:sz w:val="16"/>
          <w:szCs w:val="16"/>
        </w:rPr>
        <w:t>2021</w:t>
      </w:r>
      <w:r>
        <w:rPr>
          <w:rFonts w:ascii="Verdana" w:hAnsi="Verdana"/>
          <w:color w:val="000000"/>
          <w:sz w:val="16"/>
          <w:szCs w:val="16"/>
        </w:rPr>
        <w:t xml:space="preserve">-2050 w części dotyczącej </w:t>
      </w:r>
      <w:r w:rsidRPr="0090283F">
        <w:rPr>
          <w:rFonts w:ascii="Verdana" w:eastAsiaTheme="minorEastAsia" w:hAnsi="Verdana" w:cs="Verdana"/>
          <w:color w:val="000000"/>
          <w:sz w:val="16"/>
          <w:szCs w:val="16"/>
        </w:rPr>
        <w:t>2022</w:t>
      </w:r>
      <w:r w:rsidRPr="00011AAA">
        <w:rPr>
          <w:rFonts w:ascii="Verdana" w:hAnsi="Verdana"/>
          <w:color w:val="000000"/>
          <w:sz w:val="16"/>
          <w:szCs w:val="16"/>
        </w:rPr>
        <w:t xml:space="preserve"> r. oraz na wydatki </w:t>
      </w:r>
      <w:r>
        <w:rPr>
          <w:rFonts w:ascii="Verdana" w:hAnsi="Verdana"/>
          <w:color w:val="000000"/>
          <w:sz w:val="16"/>
          <w:szCs w:val="16"/>
        </w:rPr>
        <w:t xml:space="preserve">związane z przekazywanymi w </w:t>
      </w:r>
      <w:r w:rsidRPr="0090283F">
        <w:rPr>
          <w:rFonts w:ascii="Verdana" w:eastAsiaTheme="minorEastAsia" w:hAnsi="Verdana" w:cs="Verdana"/>
          <w:color w:val="000000"/>
          <w:sz w:val="16"/>
          <w:szCs w:val="16"/>
        </w:rPr>
        <w:t>2021</w:t>
      </w:r>
      <w:r w:rsidRPr="00011AAA">
        <w:rPr>
          <w:rFonts w:ascii="Verdana" w:hAnsi="Verdana"/>
          <w:color w:val="000000"/>
          <w:sz w:val="16"/>
          <w:szCs w:val="16"/>
        </w:rPr>
        <w:t xml:space="preserve"> r. i planowanymi do prze</w:t>
      </w:r>
      <w:r>
        <w:rPr>
          <w:rFonts w:ascii="Verdana" w:hAnsi="Verdana"/>
          <w:color w:val="000000"/>
          <w:sz w:val="16"/>
          <w:szCs w:val="16"/>
        </w:rPr>
        <w:t xml:space="preserve">kazania </w:t>
      </w:r>
      <w:r>
        <w:rPr>
          <w:rFonts w:ascii="Verdana" w:hAnsi="Verdana"/>
          <w:color w:val="000000"/>
          <w:sz w:val="16"/>
          <w:szCs w:val="16"/>
        </w:rPr>
        <w:br/>
        <w:t xml:space="preserve">w </w:t>
      </w:r>
      <w:r w:rsidRPr="0090283F">
        <w:rPr>
          <w:rFonts w:ascii="Verdana" w:eastAsiaTheme="minorEastAsia" w:hAnsi="Verdana" w:cs="Verdana"/>
          <w:color w:val="000000"/>
          <w:sz w:val="16"/>
          <w:szCs w:val="16"/>
        </w:rPr>
        <w:t>2022</w:t>
      </w:r>
      <w:r w:rsidRPr="00011AAA">
        <w:rPr>
          <w:rFonts w:ascii="Verdana" w:hAnsi="Verdana"/>
          <w:color w:val="000000"/>
          <w:sz w:val="16"/>
          <w:szCs w:val="16"/>
        </w:rPr>
        <w:t xml:space="preserve"> r. do użytkowania i do bieżącego utrzymania inwestycjami, w tym w szczególności w zakresie </w:t>
      </w:r>
      <w:r w:rsidRPr="00C855F4">
        <w:rPr>
          <w:rFonts w:ascii="Verdana" w:hAnsi="Verdana" w:cs="Verdana"/>
          <w:sz w:val="16"/>
          <w:szCs w:val="16"/>
          <w:lang w:eastAsia="ko-KR"/>
        </w:rPr>
        <w:t>infrastruktury transportowej oraz w obszarze oświaty i kultury.</w:t>
      </w:r>
    </w:p>
    <w:p w:rsidR="007F07DD" w:rsidRDefault="007F07DD" w:rsidP="007F07DD">
      <w:pPr>
        <w:spacing w:before="60" w:after="60"/>
        <w:jc w:val="both"/>
        <w:rPr>
          <w:rFonts w:ascii="Verdana" w:hAnsi="Verdana" w:cs="Verdana"/>
          <w:sz w:val="16"/>
          <w:szCs w:val="16"/>
          <w:lang w:eastAsia="ko-KR"/>
        </w:rPr>
      </w:pPr>
      <w:r w:rsidRPr="00C855F4">
        <w:rPr>
          <w:rFonts w:ascii="Verdana" w:hAnsi="Verdana" w:cs="Verdana"/>
          <w:sz w:val="16"/>
          <w:szCs w:val="16"/>
          <w:lang w:eastAsia="ko-KR"/>
        </w:rPr>
        <w:t>W zakresie wydatków inwestycyjnych ustalono parametry budżetowe zapewniające kontynuację finansowania zadań wcześniej rozpoczętych wraz z dostosowaniem realizacji nowych projektów inwestycyjnych do możliwości finansowych Miasta</w:t>
      </w:r>
      <w:r>
        <w:rPr>
          <w:rFonts w:ascii="Verdana" w:hAnsi="Verdana" w:cs="Verdana"/>
          <w:sz w:val="16"/>
          <w:szCs w:val="16"/>
          <w:lang w:eastAsia="ko-KR"/>
        </w:rPr>
        <w:t>, co było możliwe dzięki utrzymaniu na niezmienionym poziomie ogólnej wartości programu inwestycyjnego przy dostosowaniu limitów w poszczególnych latach do zmienionych harmonogramów realizacji poszczególnych inwestycji</w:t>
      </w:r>
      <w:r w:rsidRPr="00C855F4">
        <w:rPr>
          <w:rFonts w:ascii="Verdana" w:hAnsi="Verdana" w:cs="Verdana"/>
          <w:sz w:val="16"/>
          <w:szCs w:val="16"/>
          <w:lang w:eastAsia="ko-KR"/>
        </w:rPr>
        <w:t xml:space="preserve">. Jednocześnie w </w:t>
      </w:r>
      <w:r>
        <w:rPr>
          <w:rFonts w:ascii="Verdana" w:hAnsi="Verdana" w:cs="Verdana"/>
          <w:sz w:val="16"/>
          <w:szCs w:val="16"/>
          <w:lang w:eastAsia="ko-KR"/>
        </w:rPr>
        <w:t xml:space="preserve">WPF </w:t>
      </w:r>
      <w:r w:rsidRPr="0090283F">
        <w:rPr>
          <w:rFonts w:ascii="Verdana" w:eastAsiaTheme="minorEastAsia" w:hAnsi="Verdana" w:cs="Verdana"/>
          <w:color w:val="000000"/>
          <w:sz w:val="16"/>
          <w:szCs w:val="16"/>
        </w:rPr>
        <w:t>2022</w:t>
      </w:r>
      <w:r>
        <w:rPr>
          <w:rFonts w:ascii="Verdana" w:hAnsi="Verdana" w:cs="Verdana"/>
          <w:sz w:val="16"/>
          <w:szCs w:val="16"/>
          <w:lang w:eastAsia="ko-KR"/>
        </w:rPr>
        <w:t>-2050</w:t>
      </w:r>
      <w:r w:rsidRPr="00C855F4">
        <w:rPr>
          <w:rFonts w:ascii="Verdana" w:hAnsi="Verdana" w:cs="Verdana"/>
          <w:sz w:val="16"/>
          <w:szCs w:val="16"/>
          <w:lang w:eastAsia="ko-KR"/>
        </w:rPr>
        <w:t xml:space="preserve"> ujęte są programy strategiczne obejmujące realizację innych zadań na terenie poszczególnych dzielnic. Środki finansowe zaplanowane w ramach powyższych programów będą sukcesywnie – wraz z kolejnymi etapami ich wdrażania – rozdysponowywane pomiędzy dysponentów na konkretne przedsięwzięcia inwestycyjne.</w:t>
      </w:r>
      <w:r>
        <w:rPr>
          <w:rFonts w:ascii="Verdana" w:hAnsi="Verdana" w:cs="Verdana"/>
          <w:sz w:val="16"/>
          <w:szCs w:val="16"/>
          <w:lang w:eastAsia="ko-KR"/>
        </w:rPr>
        <w:br w:type="page"/>
      </w:r>
    </w:p>
    <w:p w:rsidR="007F07DD" w:rsidRPr="000A6485" w:rsidRDefault="007F07DD" w:rsidP="007F07DD">
      <w:pPr>
        <w:spacing w:before="160" w:after="160" w:line="240" w:lineRule="auto"/>
        <w:ind w:left="426" w:hanging="426"/>
        <w:rPr>
          <w:rFonts w:ascii="Verdana" w:hAnsi="Verdana"/>
          <w:b/>
          <w:bCs/>
          <w:sz w:val="20"/>
          <w:szCs w:val="20"/>
        </w:rPr>
      </w:pPr>
      <w:r w:rsidRPr="000A6485">
        <w:rPr>
          <w:rFonts w:ascii="Verdana" w:hAnsi="Verdana"/>
          <w:b/>
          <w:bCs/>
          <w:sz w:val="20"/>
          <w:szCs w:val="20"/>
        </w:rPr>
        <w:lastRenderedPageBreak/>
        <w:t xml:space="preserve">5.1 </w:t>
      </w:r>
      <w:r w:rsidRPr="0031630F">
        <w:rPr>
          <w:rFonts w:ascii="Verdana" w:hAnsi="Verdana"/>
          <w:b/>
          <w:bCs/>
          <w:sz w:val="20"/>
          <w:szCs w:val="20"/>
        </w:rPr>
        <w:t xml:space="preserve">Dostosowanie założeń budżetowych do utraty dochodów w zakresie podatku dochodowego od osób fizycznych PIT oraz utraty dochodów związanych </w:t>
      </w:r>
      <w:r>
        <w:rPr>
          <w:rFonts w:ascii="Verdana" w:hAnsi="Verdana"/>
          <w:b/>
          <w:bCs/>
          <w:sz w:val="20"/>
          <w:szCs w:val="20"/>
        </w:rPr>
        <w:br/>
      </w:r>
      <w:r w:rsidRPr="0031630F">
        <w:rPr>
          <w:rFonts w:ascii="Verdana" w:hAnsi="Verdana"/>
          <w:b/>
          <w:bCs/>
          <w:sz w:val="20"/>
          <w:szCs w:val="20"/>
        </w:rPr>
        <w:t>z użytkowaniem wieczystym nieruchomości</w:t>
      </w:r>
    </w:p>
    <w:p w:rsidR="007F07DD" w:rsidRPr="000A6485" w:rsidRDefault="007F07DD" w:rsidP="007F07DD">
      <w:pPr>
        <w:spacing w:before="240" w:after="240" w:line="240" w:lineRule="auto"/>
        <w:ind w:left="567" w:hanging="567"/>
        <w:rPr>
          <w:rFonts w:ascii="Verdana" w:hAnsi="Verdana"/>
          <w:b/>
          <w:bCs/>
          <w:sz w:val="20"/>
          <w:szCs w:val="20"/>
        </w:rPr>
      </w:pPr>
      <w:r>
        <w:rPr>
          <w:rFonts w:ascii="Verdana" w:hAnsi="Verdana"/>
          <w:b/>
          <w:bCs/>
          <w:sz w:val="20"/>
          <w:szCs w:val="20"/>
        </w:rPr>
        <w:t>5.1.1</w:t>
      </w:r>
      <w:r w:rsidRPr="000A6485">
        <w:rPr>
          <w:rFonts w:ascii="Verdana" w:hAnsi="Verdana"/>
          <w:b/>
          <w:bCs/>
          <w:sz w:val="20"/>
          <w:szCs w:val="20"/>
        </w:rPr>
        <w:t xml:space="preserve"> Dostosowanie założeń budżetowych do utraty dochodów w konsekwencji  </w:t>
      </w:r>
      <w:r w:rsidRPr="000A6485">
        <w:rPr>
          <w:rFonts w:ascii="Verdana" w:hAnsi="Verdana"/>
          <w:b/>
          <w:bCs/>
          <w:sz w:val="20"/>
          <w:szCs w:val="20"/>
        </w:rPr>
        <w:br/>
        <w:t xml:space="preserve"> wprowadzenia regulacji ustawowych dotyczących przekształcania prawa </w:t>
      </w:r>
      <w:r w:rsidRPr="000A6485">
        <w:rPr>
          <w:rFonts w:ascii="Verdana" w:hAnsi="Verdana"/>
          <w:b/>
          <w:bCs/>
          <w:sz w:val="20"/>
          <w:szCs w:val="20"/>
        </w:rPr>
        <w:br/>
        <w:t xml:space="preserve"> użytkowania wieczystego gruntów zabudowanych na cele mieszkaniowe </w:t>
      </w:r>
      <w:r w:rsidRPr="000A6485">
        <w:rPr>
          <w:rFonts w:ascii="Verdana" w:hAnsi="Verdana"/>
          <w:b/>
          <w:bCs/>
          <w:sz w:val="20"/>
          <w:szCs w:val="20"/>
        </w:rPr>
        <w:br/>
        <w:t xml:space="preserve"> w prawo własności tych gruntów </w:t>
      </w:r>
      <w:r w:rsidRPr="00DA39DC">
        <w:rPr>
          <w:rFonts w:ascii="Verdana" w:hAnsi="Verdana"/>
          <w:bCs/>
          <w:sz w:val="20"/>
          <w:szCs w:val="20"/>
        </w:rPr>
        <w:t>– prowadzone od WPF</w:t>
      </w:r>
      <w:r>
        <w:rPr>
          <w:rFonts w:ascii="Verdana" w:hAnsi="Verdana"/>
          <w:bCs/>
          <w:sz w:val="20"/>
          <w:szCs w:val="20"/>
        </w:rPr>
        <w:t xml:space="preserve"> </w:t>
      </w:r>
      <w:r w:rsidRPr="00DA39DC">
        <w:rPr>
          <w:rFonts w:ascii="Verdana" w:hAnsi="Verdana"/>
          <w:bCs/>
          <w:sz w:val="20"/>
          <w:szCs w:val="20"/>
        </w:rPr>
        <w:t xml:space="preserve">edycji </w:t>
      </w:r>
      <w:r>
        <w:rPr>
          <w:rFonts w:ascii="Verdana" w:hAnsi="Verdana"/>
          <w:bCs/>
          <w:sz w:val="20"/>
          <w:szCs w:val="20"/>
        </w:rPr>
        <w:t>2019</w:t>
      </w:r>
      <w:r w:rsidRPr="00DA39DC">
        <w:rPr>
          <w:rFonts w:ascii="Verdana" w:hAnsi="Verdana"/>
          <w:bCs/>
          <w:sz w:val="20"/>
          <w:szCs w:val="20"/>
        </w:rPr>
        <w:t>-2050</w:t>
      </w:r>
    </w:p>
    <w:p w:rsidR="007F07DD" w:rsidRPr="000A6485" w:rsidRDefault="007F07DD" w:rsidP="007F07DD">
      <w:pPr>
        <w:autoSpaceDE w:val="0"/>
        <w:autoSpaceDN w:val="0"/>
        <w:spacing w:before="20" w:after="20"/>
        <w:ind w:firstLine="709"/>
        <w:jc w:val="both"/>
        <w:rPr>
          <w:rFonts w:ascii="Verdana" w:hAnsi="Verdana" w:cs="Verdana"/>
          <w:sz w:val="16"/>
          <w:szCs w:val="16"/>
          <w:lang w:eastAsia="ko-KR"/>
        </w:rPr>
      </w:pPr>
      <w:r w:rsidRPr="000A6485">
        <w:rPr>
          <w:rFonts w:ascii="Verdana" w:hAnsi="Verdana" w:cs="Verdana"/>
          <w:sz w:val="16"/>
          <w:szCs w:val="16"/>
          <w:lang w:eastAsia="ko-KR"/>
        </w:rPr>
        <w:t xml:space="preserve">W dniu 5 października 2018 r. weszła w życie ustawa z dnia 20 lipca 2018 r. </w:t>
      </w:r>
      <w:r w:rsidRPr="00AF68CB">
        <w:rPr>
          <w:rFonts w:ascii="Verdana" w:hAnsi="Verdana" w:cs="Verdana"/>
          <w:i/>
          <w:sz w:val="16"/>
          <w:szCs w:val="16"/>
          <w:lang w:eastAsia="ko-KR"/>
        </w:rPr>
        <w:t>o przekształceniu prawa użytkowania wieczystego gruntów zabudowanych na cele mieszkaniowe w prawo własności tych gruntów</w:t>
      </w:r>
      <w:r w:rsidRPr="000A6485">
        <w:rPr>
          <w:rFonts w:ascii="Verdana" w:hAnsi="Verdana" w:cs="Verdana"/>
          <w:sz w:val="16"/>
          <w:szCs w:val="16"/>
          <w:lang w:eastAsia="ko-KR"/>
        </w:rPr>
        <w:t xml:space="preserve"> </w:t>
      </w:r>
      <w:r w:rsidRPr="000A6485">
        <w:rPr>
          <w:rFonts w:ascii="Verdana" w:hAnsi="Verdana" w:cs="Verdana"/>
          <w:sz w:val="16"/>
          <w:szCs w:val="16"/>
          <w:lang w:eastAsia="ko-KR"/>
        </w:rPr>
        <w:br/>
        <w:t>(</w:t>
      </w:r>
      <w:r>
        <w:rPr>
          <w:rFonts w:ascii="Verdana" w:hAnsi="Verdana"/>
          <w:sz w:val="16"/>
          <w:szCs w:val="16"/>
        </w:rPr>
        <w:t>Dz. U. z 2020</w:t>
      </w:r>
      <w:r w:rsidRPr="000A6485">
        <w:rPr>
          <w:rFonts w:ascii="Verdana" w:hAnsi="Verdana"/>
          <w:sz w:val="16"/>
          <w:szCs w:val="16"/>
        </w:rPr>
        <w:t xml:space="preserve"> r. poz. </w:t>
      </w:r>
      <w:r>
        <w:rPr>
          <w:rFonts w:ascii="Verdana" w:hAnsi="Verdana"/>
          <w:sz w:val="16"/>
          <w:szCs w:val="16"/>
        </w:rPr>
        <w:t>2040</w:t>
      </w:r>
      <w:r w:rsidRPr="000A6485">
        <w:rPr>
          <w:rFonts w:ascii="Verdana" w:hAnsi="Verdana" w:cs="Verdana"/>
          <w:sz w:val="16"/>
          <w:szCs w:val="16"/>
          <w:lang w:eastAsia="ko-KR"/>
        </w:rPr>
        <w:t>).</w:t>
      </w:r>
    </w:p>
    <w:p w:rsidR="007F07DD" w:rsidRPr="000A6485" w:rsidRDefault="007F07DD" w:rsidP="007F07DD">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Przedmiotowa ustawa m</w:t>
      </w:r>
      <w:r>
        <w:rPr>
          <w:rFonts w:ascii="Verdana" w:hAnsi="Verdana" w:cs="Verdana"/>
          <w:sz w:val="16"/>
          <w:szCs w:val="16"/>
          <w:lang w:eastAsia="ko-KR"/>
        </w:rPr>
        <w:t>iała</w:t>
      </w:r>
      <w:r w:rsidRPr="000A6485">
        <w:rPr>
          <w:rFonts w:ascii="Verdana" w:hAnsi="Verdana" w:cs="Verdana"/>
          <w:sz w:val="16"/>
          <w:szCs w:val="16"/>
          <w:lang w:eastAsia="ko-KR"/>
        </w:rPr>
        <w:t xml:space="preserve"> na celu przekształcenie prawa użytkowania wieczystego nieruchomości zabudowanymi budynkami: </w:t>
      </w:r>
    </w:p>
    <w:p w:rsidR="007F07DD" w:rsidRPr="000A6485" w:rsidRDefault="007F07DD" w:rsidP="007F07DD">
      <w:pPr>
        <w:numPr>
          <w:ilvl w:val="0"/>
          <w:numId w:val="30"/>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mieszkalnymi jednorodzinnymi,</w:t>
      </w:r>
    </w:p>
    <w:p w:rsidR="007F07DD" w:rsidRPr="000A6485" w:rsidRDefault="007F07DD" w:rsidP="007F07DD">
      <w:pPr>
        <w:numPr>
          <w:ilvl w:val="0"/>
          <w:numId w:val="30"/>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mieszkalnymi wielorodzinnymi, w których co najmniej połowę liczby lokali stanowią lokale mieszkalne,</w:t>
      </w:r>
    </w:p>
    <w:p w:rsidR="007F07DD" w:rsidRPr="000A6485" w:rsidRDefault="007F07DD" w:rsidP="007F07DD">
      <w:pPr>
        <w:numPr>
          <w:ilvl w:val="0"/>
          <w:numId w:val="30"/>
        </w:numPr>
        <w:autoSpaceDE w:val="0"/>
        <w:autoSpaceDN w:val="0"/>
        <w:spacing w:before="20" w:after="20"/>
        <w:ind w:left="714" w:hanging="357"/>
        <w:jc w:val="both"/>
        <w:rPr>
          <w:rFonts w:ascii="Verdana" w:hAnsi="Verdana" w:cs="Verdana"/>
          <w:sz w:val="16"/>
          <w:szCs w:val="16"/>
          <w:lang w:eastAsia="ko-KR"/>
        </w:rPr>
      </w:pPr>
      <w:r w:rsidRPr="000A6485">
        <w:rPr>
          <w:rFonts w:ascii="Verdana" w:hAnsi="Verdana" w:cs="Verdana"/>
          <w:sz w:val="16"/>
          <w:szCs w:val="16"/>
          <w:lang w:eastAsia="ko-KR"/>
        </w:rPr>
        <w:t>powyższymi budynkami wraz z garażami, budynkami gospodarczymi i innymi budynkami umożliwiającymi korzystanie z budynków mieszkalnych.</w:t>
      </w:r>
    </w:p>
    <w:p w:rsidR="007F07DD" w:rsidRPr="000A6485" w:rsidRDefault="007F07DD" w:rsidP="007F07DD">
      <w:pPr>
        <w:tabs>
          <w:tab w:val="left" w:pos="3052"/>
        </w:tabs>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Dla przekształconych nieruchomości została wprowadzona roczna opłata </w:t>
      </w:r>
      <w:proofErr w:type="spellStart"/>
      <w:r w:rsidRPr="000A6485">
        <w:rPr>
          <w:rFonts w:ascii="Verdana" w:hAnsi="Verdana" w:cs="Verdana"/>
          <w:sz w:val="16"/>
          <w:szCs w:val="16"/>
          <w:lang w:eastAsia="ko-KR"/>
        </w:rPr>
        <w:t>przekształceniowa</w:t>
      </w:r>
      <w:proofErr w:type="spellEnd"/>
      <w:r w:rsidRPr="000A6485">
        <w:rPr>
          <w:rFonts w:ascii="Verdana" w:hAnsi="Verdana" w:cs="Verdana"/>
          <w:sz w:val="16"/>
          <w:szCs w:val="16"/>
          <w:lang w:eastAsia="ko-KR"/>
        </w:rPr>
        <w:t xml:space="preserve">, wnoszona przez okres 20 lat, czyli w latach 2019-2038. Wysokość tej opłaty odpowiada wysokości opłaty rocznej za użytkowanie wieczyste. </w:t>
      </w:r>
    </w:p>
    <w:p w:rsidR="007F07DD" w:rsidRPr="000A6485" w:rsidRDefault="007F07DD" w:rsidP="007F07DD">
      <w:pPr>
        <w:tabs>
          <w:tab w:val="left" w:pos="3052"/>
        </w:tabs>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Na mocy ww. ustawy istnieje także możliwość wniesienia przez dotychczasowych użytkowników wieczystych jednorazowej opłaty. Jednorazową opłatę można wnieść w 20-letnim okresie wnoszenia opłaty </w:t>
      </w:r>
      <w:proofErr w:type="spellStart"/>
      <w:r w:rsidRPr="000A6485">
        <w:rPr>
          <w:rFonts w:ascii="Verdana" w:hAnsi="Verdana" w:cs="Verdana"/>
          <w:sz w:val="16"/>
          <w:szCs w:val="16"/>
          <w:lang w:eastAsia="ko-KR"/>
        </w:rPr>
        <w:t>przekształceniowej</w:t>
      </w:r>
      <w:proofErr w:type="spellEnd"/>
      <w:r w:rsidRPr="000A6485">
        <w:rPr>
          <w:rFonts w:ascii="Verdana" w:hAnsi="Verdana" w:cs="Verdana"/>
          <w:sz w:val="16"/>
          <w:szCs w:val="16"/>
          <w:lang w:eastAsia="ko-KR"/>
        </w:rPr>
        <w:t xml:space="preserve">. Wysokość opłaty odpowiada iloczynowi rocznej opłaty </w:t>
      </w:r>
      <w:proofErr w:type="spellStart"/>
      <w:r w:rsidRPr="000A6485">
        <w:rPr>
          <w:rFonts w:ascii="Verdana" w:hAnsi="Verdana" w:cs="Verdana"/>
          <w:sz w:val="16"/>
          <w:szCs w:val="16"/>
          <w:lang w:eastAsia="ko-KR"/>
        </w:rPr>
        <w:t>przekształceniowej</w:t>
      </w:r>
      <w:proofErr w:type="spellEnd"/>
      <w:r w:rsidRPr="000A6485">
        <w:rPr>
          <w:rFonts w:ascii="Verdana" w:hAnsi="Verdana" w:cs="Verdana"/>
          <w:sz w:val="16"/>
          <w:szCs w:val="16"/>
          <w:lang w:eastAsia="ko-KR"/>
        </w:rPr>
        <w:t xml:space="preserve"> oraz liczby pozostałych lat jej wnoszenia. </w:t>
      </w:r>
    </w:p>
    <w:p w:rsidR="007F07DD" w:rsidRPr="000A6485" w:rsidRDefault="007F07DD" w:rsidP="007F07DD">
      <w:pPr>
        <w:autoSpaceDE w:val="0"/>
        <w:autoSpaceDN w:val="0"/>
        <w:spacing w:before="20" w:after="20"/>
        <w:ind w:firstLine="709"/>
        <w:jc w:val="both"/>
        <w:rPr>
          <w:rFonts w:ascii="Verdana" w:hAnsi="Verdana" w:cs="Verdana"/>
          <w:sz w:val="16"/>
          <w:szCs w:val="16"/>
          <w:lang w:eastAsia="ko-KR"/>
        </w:rPr>
      </w:pPr>
      <w:r w:rsidRPr="000A6485">
        <w:rPr>
          <w:rFonts w:ascii="Verdana" w:hAnsi="Verdana" w:cs="Verdana"/>
          <w:sz w:val="16"/>
          <w:szCs w:val="16"/>
          <w:lang w:eastAsia="ko-KR"/>
        </w:rPr>
        <w:t xml:space="preserve">W dniu 18 października 2018 r. na mocy delegacji ustawowej została podjęta uchwała </w:t>
      </w:r>
      <w:r w:rsidRPr="000A6485">
        <w:rPr>
          <w:rFonts w:ascii="Verdana" w:hAnsi="Verdana" w:cs="Verdana"/>
          <w:sz w:val="16"/>
          <w:szCs w:val="16"/>
          <w:lang w:eastAsia="ko-KR"/>
        </w:rPr>
        <w:br/>
        <w:t xml:space="preserve">nr LXXV/2128/2018 Rady m.st. Warszawy </w:t>
      </w:r>
      <w:r w:rsidRPr="00AF68CB">
        <w:rPr>
          <w:rFonts w:ascii="Verdana" w:hAnsi="Verdana" w:cs="Verdana"/>
          <w:i/>
          <w:sz w:val="16"/>
          <w:szCs w:val="16"/>
          <w:lang w:eastAsia="ko-KR"/>
        </w:rPr>
        <w:t>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w:t>
      </w:r>
      <w:r w:rsidRPr="000A6485">
        <w:rPr>
          <w:rFonts w:ascii="Verdana" w:hAnsi="Verdana" w:cs="Verdana"/>
          <w:sz w:val="16"/>
          <w:szCs w:val="16"/>
          <w:lang w:eastAsia="ko-KR"/>
        </w:rPr>
        <w:t>.</w:t>
      </w:r>
    </w:p>
    <w:p w:rsidR="007F07DD" w:rsidRPr="000A6485" w:rsidRDefault="007F07DD" w:rsidP="007F07DD">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Na mocy tego dokumentu bonifikata może zostać udzielona osobom fizycznym posiadającym jednorodzinne budynki mieszkalne, osobom fizycznym posiadającym jednorodzinne budynki mieszkalne lub lokale mieszkalne oraz spółdzielniom mieszkaniowym.</w:t>
      </w:r>
    </w:p>
    <w:p w:rsidR="007F07DD" w:rsidRPr="000A6485" w:rsidRDefault="007F07DD" w:rsidP="007F07DD">
      <w:p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W uchwale zostały wyznaczone dwa poziomy bonifikaty – 98% i 99%:</w:t>
      </w:r>
    </w:p>
    <w:p w:rsidR="007F07DD" w:rsidRPr="000A6485" w:rsidRDefault="007F07DD" w:rsidP="007F07DD">
      <w:pPr>
        <w:numPr>
          <w:ilvl w:val="0"/>
          <w:numId w:val="31"/>
        </w:num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 xml:space="preserve">98% - dla osób fizycznych będących właścicielami budynków mieszkalnych, jednorodzinnych lub lokali mieszkalnych lub spółdzielni mieszkaniowych, </w:t>
      </w:r>
    </w:p>
    <w:p w:rsidR="007F07DD" w:rsidRPr="000A6485" w:rsidRDefault="007F07DD" w:rsidP="007F07DD">
      <w:pPr>
        <w:numPr>
          <w:ilvl w:val="0"/>
          <w:numId w:val="31"/>
        </w:numPr>
        <w:autoSpaceDE w:val="0"/>
        <w:autoSpaceDN w:val="0"/>
        <w:spacing w:before="20" w:after="20"/>
        <w:jc w:val="both"/>
        <w:rPr>
          <w:rFonts w:ascii="Verdana" w:hAnsi="Verdana" w:cs="Verdana"/>
          <w:sz w:val="16"/>
          <w:szCs w:val="16"/>
          <w:lang w:eastAsia="ko-KR"/>
        </w:rPr>
      </w:pPr>
      <w:r w:rsidRPr="000A6485">
        <w:rPr>
          <w:rFonts w:ascii="Verdana" w:hAnsi="Verdana" w:cs="Verdana"/>
          <w:sz w:val="16"/>
          <w:szCs w:val="16"/>
          <w:lang w:eastAsia="ko-KR"/>
        </w:rPr>
        <w:t>99% - dla osób fizycznych będących właścicielami budynków mieszkalnych, jednorodzinnych lub lokali mieszkalnych lub spółdzielni mieszkaniowych, które wniosły opłatę za co najmniej 50-letni okres użytkowania wieczystego.</w:t>
      </w:r>
    </w:p>
    <w:p w:rsidR="007F07DD" w:rsidRDefault="007F07DD" w:rsidP="007F07DD">
      <w:pPr>
        <w:autoSpaceDE w:val="0"/>
        <w:autoSpaceDN w:val="0"/>
        <w:adjustRightInd w:val="0"/>
        <w:spacing w:before="120" w:after="120"/>
        <w:ind w:firstLine="567"/>
        <w:jc w:val="both"/>
        <w:rPr>
          <w:rFonts w:ascii="Verdana" w:hAnsi="Verdana" w:cs="Verdana"/>
          <w:sz w:val="16"/>
          <w:szCs w:val="16"/>
        </w:rPr>
      </w:pPr>
      <w:r w:rsidRPr="000A6485">
        <w:rPr>
          <w:rFonts w:ascii="Verdana" w:hAnsi="Verdana" w:cs="Verdana"/>
          <w:sz w:val="16"/>
          <w:szCs w:val="16"/>
        </w:rPr>
        <w:t xml:space="preserve">Na skutek </w:t>
      </w:r>
      <w:r w:rsidRPr="000A6485">
        <w:rPr>
          <w:rFonts w:ascii="Verdana" w:hAnsi="Verdana" w:cs="Verdana"/>
          <w:b/>
          <w:sz w:val="16"/>
          <w:szCs w:val="16"/>
        </w:rPr>
        <w:t>przekształcania prawa użytkowania wieczystego w prawo własności</w:t>
      </w:r>
      <w:r w:rsidRPr="000A6485">
        <w:rPr>
          <w:rFonts w:ascii="Verdana" w:hAnsi="Verdana" w:cs="Verdana"/>
          <w:sz w:val="16"/>
          <w:szCs w:val="16"/>
        </w:rPr>
        <w:t>, przy bonifikatach sięgających 98</w:t>
      </w:r>
      <w:r>
        <w:rPr>
          <w:rFonts w:ascii="Verdana" w:hAnsi="Verdana" w:cs="Verdana"/>
          <w:sz w:val="16"/>
          <w:szCs w:val="16"/>
        </w:rPr>
        <w:t>%</w:t>
      </w:r>
      <w:r w:rsidRPr="000A6485">
        <w:rPr>
          <w:rFonts w:ascii="Verdana" w:hAnsi="Verdana" w:cs="Verdana"/>
          <w:sz w:val="16"/>
          <w:szCs w:val="16"/>
        </w:rPr>
        <w:t xml:space="preserve"> i 99% opłaty </w:t>
      </w:r>
      <w:proofErr w:type="spellStart"/>
      <w:r w:rsidRPr="000A6485">
        <w:rPr>
          <w:rFonts w:ascii="Verdana" w:hAnsi="Verdana" w:cs="Verdana"/>
          <w:sz w:val="16"/>
          <w:szCs w:val="16"/>
        </w:rPr>
        <w:t>przekształceniowej</w:t>
      </w:r>
      <w:proofErr w:type="spellEnd"/>
      <w:r w:rsidRPr="000A6485">
        <w:rPr>
          <w:rFonts w:ascii="Verdana" w:hAnsi="Verdana" w:cs="Verdana"/>
          <w:sz w:val="16"/>
          <w:szCs w:val="16"/>
        </w:rPr>
        <w:t>,</w:t>
      </w:r>
      <w:r w:rsidRPr="000A6485">
        <w:rPr>
          <w:rFonts w:ascii="Verdana" w:hAnsi="Verdana" w:cs="Verdana"/>
          <w:b/>
          <w:sz w:val="16"/>
          <w:szCs w:val="16"/>
        </w:rPr>
        <w:t xml:space="preserve"> </w:t>
      </w:r>
      <w:r w:rsidRPr="000A6485">
        <w:rPr>
          <w:rFonts w:ascii="Verdana" w:hAnsi="Verdana" w:cs="Verdana"/>
          <w:sz w:val="16"/>
          <w:szCs w:val="16"/>
        </w:rPr>
        <w:t xml:space="preserve">ubytek dochodów z opłat za użytkowanie wieczyste gruntów przeznaczonych na cele mieszkaniowe </w:t>
      </w:r>
      <w:r>
        <w:rPr>
          <w:rFonts w:ascii="Verdana" w:hAnsi="Verdana" w:cs="Verdana"/>
          <w:sz w:val="16"/>
          <w:szCs w:val="16"/>
        </w:rPr>
        <w:t>sięga</w:t>
      </w:r>
      <w:r w:rsidRPr="000A6485">
        <w:rPr>
          <w:rFonts w:ascii="Verdana" w:hAnsi="Verdana" w:cs="Verdana"/>
          <w:sz w:val="16"/>
          <w:szCs w:val="16"/>
        </w:rPr>
        <w:t xml:space="preserve"> kwoty </w:t>
      </w:r>
      <w:r w:rsidRPr="000A6485">
        <w:rPr>
          <w:rFonts w:ascii="Verdana" w:hAnsi="Verdana" w:cs="Verdana"/>
          <w:b/>
          <w:sz w:val="16"/>
          <w:szCs w:val="16"/>
        </w:rPr>
        <w:t>330 mln zł</w:t>
      </w:r>
      <w:r w:rsidRPr="000A6485">
        <w:rPr>
          <w:rFonts w:ascii="Verdana" w:hAnsi="Verdana" w:cs="Verdana"/>
          <w:sz w:val="16"/>
          <w:szCs w:val="16"/>
        </w:rPr>
        <w:t xml:space="preserve"> corocznie w okresie objętym Wieloletnią Prognozą Finansową. </w:t>
      </w:r>
      <w:r>
        <w:rPr>
          <w:rFonts w:ascii="Verdana" w:hAnsi="Verdana" w:cs="Verdana"/>
          <w:sz w:val="16"/>
          <w:szCs w:val="16"/>
        </w:rPr>
        <w:br w:type="page"/>
      </w:r>
    </w:p>
    <w:p w:rsidR="007F07DD" w:rsidRPr="000A6485" w:rsidRDefault="007F07DD" w:rsidP="007F07DD">
      <w:pPr>
        <w:spacing w:before="240" w:after="240" w:line="240" w:lineRule="auto"/>
        <w:ind w:left="567" w:hanging="567"/>
        <w:rPr>
          <w:rFonts w:ascii="Verdana" w:hAnsi="Verdana"/>
          <w:b/>
          <w:bCs/>
          <w:sz w:val="20"/>
          <w:szCs w:val="20"/>
        </w:rPr>
      </w:pPr>
      <w:r w:rsidRPr="000A6485">
        <w:rPr>
          <w:rFonts w:ascii="Verdana" w:hAnsi="Verdana"/>
          <w:b/>
          <w:bCs/>
          <w:sz w:val="20"/>
          <w:szCs w:val="20"/>
        </w:rPr>
        <w:lastRenderedPageBreak/>
        <w:t>5.1</w:t>
      </w:r>
      <w:r>
        <w:rPr>
          <w:rFonts w:ascii="Verdana" w:hAnsi="Verdana"/>
          <w:b/>
          <w:bCs/>
          <w:sz w:val="20"/>
          <w:szCs w:val="20"/>
        </w:rPr>
        <w:t>.2</w:t>
      </w:r>
      <w:r w:rsidRPr="000A6485">
        <w:rPr>
          <w:rFonts w:ascii="Verdana" w:hAnsi="Verdana"/>
          <w:b/>
          <w:bCs/>
          <w:sz w:val="20"/>
          <w:szCs w:val="20"/>
        </w:rPr>
        <w:t xml:space="preserve"> Dostosowanie założeń budżetowych do utraty dochodów w związku </w:t>
      </w:r>
      <w:r>
        <w:rPr>
          <w:rFonts w:ascii="Verdana" w:hAnsi="Verdana"/>
          <w:b/>
          <w:bCs/>
          <w:sz w:val="20"/>
          <w:szCs w:val="20"/>
        </w:rPr>
        <w:br/>
        <w:t xml:space="preserve"> </w:t>
      </w:r>
      <w:r w:rsidRPr="000A6485">
        <w:rPr>
          <w:rFonts w:ascii="Verdana" w:hAnsi="Verdana"/>
          <w:b/>
          <w:bCs/>
          <w:sz w:val="20"/>
          <w:szCs w:val="20"/>
        </w:rPr>
        <w:t xml:space="preserve">ze zmianami legislacyjnymi w podatku dochodowym od osób </w:t>
      </w:r>
      <w:r>
        <w:rPr>
          <w:rFonts w:ascii="Verdana" w:hAnsi="Verdana"/>
          <w:b/>
          <w:bCs/>
          <w:sz w:val="20"/>
          <w:szCs w:val="20"/>
        </w:rPr>
        <w:t xml:space="preserve"> </w:t>
      </w:r>
      <w:r>
        <w:rPr>
          <w:rFonts w:ascii="Verdana" w:hAnsi="Verdana"/>
          <w:b/>
          <w:bCs/>
          <w:sz w:val="20"/>
          <w:szCs w:val="20"/>
        </w:rPr>
        <w:br/>
        <w:t xml:space="preserve"> </w:t>
      </w:r>
      <w:r w:rsidRPr="000A6485">
        <w:rPr>
          <w:rFonts w:ascii="Verdana" w:hAnsi="Verdana"/>
          <w:b/>
          <w:bCs/>
          <w:sz w:val="20"/>
          <w:szCs w:val="20"/>
        </w:rPr>
        <w:t>fizycznych PIT</w:t>
      </w:r>
      <w:r>
        <w:rPr>
          <w:rFonts w:ascii="Verdana" w:hAnsi="Verdana"/>
          <w:b/>
          <w:bCs/>
          <w:sz w:val="20"/>
          <w:szCs w:val="20"/>
        </w:rPr>
        <w:t xml:space="preserve"> wprowadzonymi w latach 2019-2020</w:t>
      </w:r>
      <w:r w:rsidRPr="000A6485">
        <w:rPr>
          <w:rFonts w:ascii="Verdana" w:hAnsi="Verdana"/>
          <w:b/>
          <w:bCs/>
          <w:sz w:val="20"/>
          <w:szCs w:val="20"/>
        </w:rPr>
        <w:t xml:space="preserve"> </w:t>
      </w:r>
      <w:r>
        <w:rPr>
          <w:rFonts w:ascii="Verdana" w:hAnsi="Verdana"/>
          <w:b/>
          <w:bCs/>
          <w:sz w:val="20"/>
          <w:szCs w:val="20"/>
        </w:rPr>
        <w:t xml:space="preserve">z pełnymi skutkami   </w:t>
      </w:r>
      <w:r>
        <w:rPr>
          <w:rFonts w:ascii="Verdana" w:hAnsi="Verdana"/>
          <w:b/>
          <w:bCs/>
          <w:sz w:val="20"/>
          <w:szCs w:val="20"/>
        </w:rPr>
        <w:br/>
        <w:t xml:space="preserve"> od 2021 r. </w:t>
      </w:r>
      <w:r w:rsidRPr="00DA39DC">
        <w:rPr>
          <w:rFonts w:ascii="Verdana" w:hAnsi="Verdana"/>
          <w:bCs/>
          <w:sz w:val="20"/>
          <w:szCs w:val="20"/>
        </w:rPr>
        <w:t>– prowadzone od WPF edycji 2020-2050</w:t>
      </w:r>
    </w:p>
    <w:p w:rsidR="007F07DD" w:rsidRDefault="007F07DD" w:rsidP="007F07DD">
      <w:pPr>
        <w:spacing w:before="60" w:after="60"/>
        <w:ind w:firstLine="567"/>
        <w:jc w:val="both"/>
        <w:rPr>
          <w:rFonts w:ascii="Verdana" w:hAnsi="Verdana" w:cs="Verdana"/>
          <w:b/>
          <w:sz w:val="16"/>
          <w:szCs w:val="16"/>
        </w:rPr>
      </w:pPr>
      <w:r>
        <w:rPr>
          <w:rFonts w:ascii="Verdana" w:hAnsi="Verdana" w:cs="Verdana"/>
          <w:sz w:val="16"/>
          <w:szCs w:val="16"/>
        </w:rPr>
        <w:t>C</w:t>
      </w:r>
      <w:r w:rsidRPr="000A6485">
        <w:rPr>
          <w:rFonts w:ascii="Verdana" w:hAnsi="Verdana" w:cs="Verdana"/>
          <w:sz w:val="16"/>
          <w:szCs w:val="16"/>
        </w:rPr>
        <w:t xml:space="preserve">zynnikiem mającym wpływ na możliwości </w:t>
      </w:r>
      <w:r>
        <w:rPr>
          <w:rFonts w:ascii="Verdana" w:hAnsi="Verdana" w:cs="Verdana"/>
          <w:sz w:val="16"/>
          <w:szCs w:val="16"/>
        </w:rPr>
        <w:t>budżetowe</w:t>
      </w:r>
      <w:r w:rsidRPr="000A6485">
        <w:rPr>
          <w:rFonts w:ascii="Verdana" w:hAnsi="Verdana" w:cs="Verdana"/>
          <w:sz w:val="16"/>
          <w:szCs w:val="16"/>
        </w:rPr>
        <w:t xml:space="preserve"> m.st. </w:t>
      </w:r>
      <w:r w:rsidRPr="000A6485">
        <w:rPr>
          <w:rFonts w:ascii="Verdana" w:hAnsi="Verdana"/>
          <w:iCs/>
          <w:sz w:val="16"/>
          <w:szCs w:val="16"/>
        </w:rPr>
        <w:t>Warszawy</w:t>
      </w:r>
      <w:r w:rsidRPr="000A6485">
        <w:rPr>
          <w:rFonts w:ascii="Verdana" w:hAnsi="Verdana" w:cs="Verdana"/>
          <w:sz w:val="16"/>
          <w:szCs w:val="16"/>
        </w:rPr>
        <w:t xml:space="preserve"> </w:t>
      </w:r>
      <w:r>
        <w:rPr>
          <w:rFonts w:ascii="Verdana" w:hAnsi="Verdana" w:cs="Verdana"/>
          <w:sz w:val="16"/>
          <w:szCs w:val="16"/>
        </w:rPr>
        <w:t>od edycji WPF 2020-2050</w:t>
      </w:r>
      <w:r w:rsidRPr="000A6485">
        <w:rPr>
          <w:rFonts w:ascii="Verdana" w:hAnsi="Verdana" w:cs="Verdana"/>
          <w:sz w:val="16"/>
          <w:szCs w:val="16"/>
        </w:rPr>
        <w:t xml:space="preserve">, są wprowadzone </w:t>
      </w:r>
      <w:r>
        <w:rPr>
          <w:rFonts w:ascii="Verdana" w:hAnsi="Verdana" w:cs="Verdana"/>
          <w:sz w:val="16"/>
          <w:szCs w:val="16"/>
        </w:rPr>
        <w:t xml:space="preserve">w 2019 r. </w:t>
      </w:r>
      <w:r w:rsidRPr="000A6485">
        <w:rPr>
          <w:rFonts w:ascii="Verdana" w:hAnsi="Verdana" w:cs="Verdana"/>
          <w:sz w:val="16"/>
          <w:szCs w:val="16"/>
        </w:rPr>
        <w:t xml:space="preserve">zmiany legislacyjne skutkujące istotnym </w:t>
      </w:r>
      <w:r w:rsidRPr="000A6485">
        <w:rPr>
          <w:rFonts w:ascii="Verdana" w:hAnsi="Verdana" w:cs="Verdana"/>
          <w:b/>
          <w:sz w:val="16"/>
          <w:szCs w:val="16"/>
        </w:rPr>
        <w:t xml:space="preserve">ograniczeniem dochodów </w:t>
      </w:r>
      <w:r>
        <w:rPr>
          <w:rFonts w:ascii="Verdana" w:hAnsi="Verdana" w:cs="Verdana"/>
          <w:b/>
          <w:sz w:val="16"/>
          <w:szCs w:val="16"/>
        </w:rPr>
        <w:br/>
      </w:r>
      <w:r w:rsidRPr="000A6485">
        <w:rPr>
          <w:rFonts w:ascii="Verdana" w:hAnsi="Verdana" w:cs="Verdana"/>
          <w:b/>
          <w:sz w:val="16"/>
          <w:szCs w:val="16"/>
        </w:rPr>
        <w:t xml:space="preserve">m.st. </w:t>
      </w:r>
      <w:r w:rsidRPr="000A6485">
        <w:rPr>
          <w:rFonts w:ascii="Verdana" w:hAnsi="Verdana"/>
          <w:b/>
          <w:iCs/>
          <w:sz w:val="16"/>
          <w:szCs w:val="16"/>
        </w:rPr>
        <w:t>Warszawy</w:t>
      </w:r>
      <w:r w:rsidRPr="000A6485">
        <w:rPr>
          <w:rFonts w:ascii="Verdana" w:hAnsi="Verdana" w:cs="Verdana"/>
          <w:sz w:val="16"/>
          <w:szCs w:val="16"/>
        </w:rPr>
        <w:t xml:space="preserve">, jak również całego podsektora samorządowego, </w:t>
      </w:r>
      <w:r w:rsidRPr="000A6485">
        <w:rPr>
          <w:rFonts w:ascii="Verdana" w:hAnsi="Verdana" w:cs="Verdana"/>
          <w:b/>
          <w:sz w:val="16"/>
          <w:szCs w:val="16"/>
        </w:rPr>
        <w:t>z tytułu udziału we wpływach z podatku dochodowego od osób fizycznych (PIT</w:t>
      </w:r>
      <w:r>
        <w:rPr>
          <w:rFonts w:ascii="Verdana" w:hAnsi="Verdana" w:cs="Verdana"/>
          <w:b/>
          <w:sz w:val="16"/>
          <w:szCs w:val="16"/>
        </w:rPr>
        <w:t>)</w:t>
      </w:r>
      <w:r w:rsidRPr="00B23D3B">
        <w:rPr>
          <w:rFonts w:ascii="Verdana" w:hAnsi="Verdana" w:cs="Verdana"/>
          <w:sz w:val="16"/>
          <w:szCs w:val="16"/>
        </w:rPr>
        <w:t>.</w:t>
      </w:r>
      <w:r>
        <w:rPr>
          <w:rFonts w:ascii="Verdana" w:hAnsi="Verdana" w:cs="Verdana"/>
          <w:b/>
          <w:sz w:val="16"/>
          <w:szCs w:val="16"/>
        </w:rPr>
        <w:t xml:space="preserve"> </w:t>
      </w:r>
    </w:p>
    <w:p w:rsidR="007F07DD" w:rsidRPr="00DA39DC" w:rsidRDefault="007F07DD" w:rsidP="007F07DD">
      <w:pPr>
        <w:spacing w:before="60" w:after="60"/>
        <w:jc w:val="both"/>
        <w:rPr>
          <w:rFonts w:ascii="Verdana" w:hAnsi="Verdana" w:cs="Verdana"/>
          <w:sz w:val="16"/>
          <w:szCs w:val="16"/>
        </w:rPr>
      </w:pPr>
      <w:r>
        <w:rPr>
          <w:rFonts w:ascii="Verdana" w:hAnsi="Verdana"/>
          <w:sz w:val="16"/>
          <w:szCs w:val="16"/>
        </w:rPr>
        <w:t>Wdrożone w 2019 r. zmiany w podatku dochodowym od osób fizycznych PIT, polegały na:</w:t>
      </w:r>
    </w:p>
    <w:p w:rsidR="007F07DD" w:rsidRPr="00285178" w:rsidRDefault="007F07DD" w:rsidP="007F07DD">
      <w:pPr>
        <w:pStyle w:val="Akapitzlist"/>
        <w:numPr>
          <w:ilvl w:val="0"/>
          <w:numId w:val="47"/>
        </w:numPr>
        <w:tabs>
          <w:tab w:val="left" w:pos="360"/>
        </w:tabs>
        <w:spacing w:before="60" w:after="60"/>
        <w:ind w:left="567" w:hanging="283"/>
        <w:contextualSpacing w:val="0"/>
        <w:jc w:val="both"/>
        <w:rPr>
          <w:rFonts w:ascii="Verdana" w:hAnsi="Verdana"/>
          <w:sz w:val="16"/>
          <w:szCs w:val="16"/>
        </w:rPr>
      </w:pPr>
      <w:r w:rsidRPr="00285178">
        <w:rPr>
          <w:rFonts w:ascii="Verdana" w:hAnsi="Verdana"/>
          <w:sz w:val="16"/>
          <w:szCs w:val="16"/>
        </w:rPr>
        <w:t>obniżeniu stawki podatku z 18% do 17%,</w:t>
      </w:r>
    </w:p>
    <w:p w:rsidR="007F07DD" w:rsidRDefault="007F07DD" w:rsidP="007F07DD">
      <w:pPr>
        <w:pStyle w:val="Akapitzlist"/>
        <w:numPr>
          <w:ilvl w:val="0"/>
          <w:numId w:val="47"/>
        </w:numPr>
        <w:tabs>
          <w:tab w:val="left" w:pos="360"/>
        </w:tabs>
        <w:spacing w:before="60" w:after="60"/>
        <w:ind w:left="567" w:hanging="283"/>
        <w:contextualSpacing w:val="0"/>
        <w:jc w:val="both"/>
        <w:rPr>
          <w:rFonts w:ascii="Verdana" w:hAnsi="Verdana"/>
          <w:sz w:val="16"/>
          <w:szCs w:val="16"/>
        </w:rPr>
      </w:pPr>
      <w:r w:rsidRPr="00285178">
        <w:rPr>
          <w:rFonts w:ascii="Verdana" w:hAnsi="Verdana"/>
          <w:sz w:val="16"/>
          <w:szCs w:val="16"/>
        </w:rPr>
        <w:t>podwyższeniu kosztów uzyskania przychodu,</w:t>
      </w:r>
    </w:p>
    <w:p w:rsidR="007F07DD" w:rsidRDefault="007F07DD" w:rsidP="007F07DD">
      <w:pPr>
        <w:pStyle w:val="Akapitzlist"/>
        <w:numPr>
          <w:ilvl w:val="0"/>
          <w:numId w:val="47"/>
        </w:numPr>
        <w:tabs>
          <w:tab w:val="left" w:pos="360"/>
        </w:tabs>
        <w:spacing w:before="60" w:after="60"/>
        <w:ind w:left="567" w:hanging="283"/>
        <w:contextualSpacing w:val="0"/>
        <w:jc w:val="both"/>
        <w:rPr>
          <w:rFonts w:ascii="Verdana" w:hAnsi="Verdana"/>
          <w:sz w:val="16"/>
          <w:szCs w:val="16"/>
        </w:rPr>
      </w:pPr>
      <w:r w:rsidRPr="00285178">
        <w:rPr>
          <w:rFonts w:ascii="Verdana" w:hAnsi="Verdana"/>
          <w:sz w:val="16"/>
          <w:szCs w:val="16"/>
        </w:rPr>
        <w:t>zwolnieniu z podatku osób w wieku poniżej 26 roku życia</w:t>
      </w:r>
      <w:r>
        <w:rPr>
          <w:rFonts w:ascii="Verdana" w:hAnsi="Verdana"/>
          <w:sz w:val="16"/>
          <w:szCs w:val="16"/>
        </w:rPr>
        <w:t>.</w:t>
      </w:r>
    </w:p>
    <w:p w:rsidR="007F07DD" w:rsidRDefault="007F07DD" w:rsidP="007F07DD">
      <w:pPr>
        <w:tabs>
          <w:tab w:val="left" w:pos="360"/>
        </w:tabs>
        <w:spacing w:before="60" w:after="60"/>
        <w:jc w:val="both"/>
        <w:rPr>
          <w:rFonts w:ascii="Verdana" w:hAnsi="Verdana"/>
          <w:sz w:val="16"/>
          <w:szCs w:val="16"/>
        </w:rPr>
      </w:pPr>
      <w:r>
        <w:rPr>
          <w:rFonts w:ascii="Verdana" w:hAnsi="Verdana" w:cs="Verdana"/>
          <w:sz w:val="16"/>
          <w:szCs w:val="16"/>
        </w:rPr>
        <w:t>Następnie na skutek decyzji podjętej w 2020 r. od 2021 r.</w:t>
      </w:r>
      <w:r w:rsidRPr="00243A9C">
        <w:rPr>
          <w:rFonts w:ascii="Verdana" w:hAnsi="Verdana" w:cs="Verdana"/>
          <w:sz w:val="16"/>
          <w:szCs w:val="16"/>
        </w:rPr>
        <w:t xml:space="preserve"> </w:t>
      </w:r>
      <w:r>
        <w:rPr>
          <w:rFonts w:ascii="Verdana" w:hAnsi="Verdana" w:cs="Verdana"/>
          <w:sz w:val="16"/>
          <w:szCs w:val="16"/>
        </w:rPr>
        <w:t xml:space="preserve">nastąpiło podwyższenie </w:t>
      </w:r>
      <w:r w:rsidRPr="00243A9C">
        <w:rPr>
          <w:rFonts w:ascii="Verdana" w:hAnsi="Verdana" w:cs="Verdana"/>
          <w:sz w:val="16"/>
          <w:szCs w:val="16"/>
        </w:rPr>
        <w:t>z 250 tys. euro do 2 mln euro limitu przychodu umożliwiającego podatnikom prowadzącym pozarolniczą działalność gospodarczą skorzystanie z uproszczonej zryc</w:t>
      </w:r>
      <w:r>
        <w:rPr>
          <w:rFonts w:ascii="Verdana" w:hAnsi="Verdana" w:cs="Verdana"/>
          <w:sz w:val="16"/>
          <w:szCs w:val="16"/>
        </w:rPr>
        <w:t>załtowanej formy opodatkowania, czego efektem było</w:t>
      </w:r>
      <w:r w:rsidRPr="00243A9C">
        <w:rPr>
          <w:rFonts w:ascii="Verdana" w:hAnsi="Verdana" w:cs="Verdana"/>
          <w:sz w:val="16"/>
          <w:szCs w:val="16"/>
        </w:rPr>
        <w:t xml:space="preserve"> przejście podatników podatku dochodowego od osób fizycznych prowadzących działalność gospodarczą z opodatkowania na zasadach ogólnych, które stanowi podstawę udziału jednostek samorządu terytorialnego we wpływach z podatku dochodowego na zryczałtowany podatek dochodowy, który nie podlega dystryb</w:t>
      </w:r>
      <w:r>
        <w:rPr>
          <w:rFonts w:ascii="Verdana" w:hAnsi="Verdana" w:cs="Verdana"/>
          <w:sz w:val="16"/>
          <w:szCs w:val="16"/>
        </w:rPr>
        <w:t>ucji do jednostek samorządowych</w:t>
      </w:r>
      <w:r>
        <w:rPr>
          <w:rFonts w:ascii="Verdana" w:hAnsi="Verdana"/>
          <w:iCs/>
          <w:sz w:val="16"/>
          <w:szCs w:val="16"/>
        </w:rPr>
        <w:t>.</w:t>
      </w:r>
    </w:p>
    <w:p w:rsidR="007F07DD" w:rsidRPr="000A6485" w:rsidRDefault="007F07DD" w:rsidP="007F07DD">
      <w:pPr>
        <w:tabs>
          <w:tab w:val="left" w:pos="0"/>
        </w:tabs>
        <w:spacing w:before="120" w:after="120"/>
        <w:jc w:val="both"/>
        <w:rPr>
          <w:rFonts w:ascii="Verdana" w:hAnsi="Verdana"/>
          <w:bCs/>
          <w:sz w:val="16"/>
          <w:szCs w:val="16"/>
        </w:rPr>
      </w:pPr>
      <w:r>
        <w:rPr>
          <w:rFonts w:ascii="Verdana" w:hAnsi="Verdana"/>
          <w:bCs/>
          <w:sz w:val="16"/>
          <w:szCs w:val="16"/>
        </w:rPr>
        <w:t>U</w:t>
      </w:r>
      <w:r w:rsidRPr="000A6485">
        <w:rPr>
          <w:rFonts w:ascii="Verdana" w:hAnsi="Verdana"/>
          <w:bCs/>
          <w:sz w:val="16"/>
          <w:szCs w:val="16"/>
        </w:rPr>
        <w:t xml:space="preserve">bytek dochodów m.st. </w:t>
      </w:r>
      <w:r w:rsidRPr="000A6485">
        <w:rPr>
          <w:rFonts w:ascii="Verdana" w:hAnsi="Verdana"/>
          <w:iCs/>
          <w:sz w:val="16"/>
          <w:szCs w:val="16"/>
        </w:rPr>
        <w:t>Warszawy</w:t>
      </w:r>
      <w:r w:rsidRPr="000A6485">
        <w:rPr>
          <w:rFonts w:ascii="Verdana" w:hAnsi="Verdana"/>
          <w:bCs/>
          <w:sz w:val="16"/>
          <w:szCs w:val="16"/>
        </w:rPr>
        <w:t xml:space="preserve"> związany ze zmianami w PIT </w:t>
      </w:r>
      <w:r>
        <w:rPr>
          <w:rFonts w:ascii="Verdana" w:hAnsi="Verdana"/>
          <w:bCs/>
          <w:sz w:val="16"/>
          <w:szCs w:val="16"/>
        </w:rPr>
        <w:t xml:space="preserve">wprowadzonymi w latach 2019-2020 </w:t>
      </w:r>
      <w:r w:rsidRPr="000A6485">
        <w:rPr>
          <w:rFonts w:ascii="Verdana" w:hAnsi="Verdana"/>
          <w:bCs/>
          <w:sz w:val="16"/>
          <w:szCs w:val="16"/>
        </w:rPr>
        <w:t xml:space="preserve">sięga </w:t>
      </w:r>
      <w:r>
        <w:rPr>
          <w:rFonts w:ascii="Verdana" w:hAnsi="Verdana"/>
          <w:bCs/>
          <w:sz w:val="16"/>
          <w:szCs w:val="16"/>
        </w:rPr>
        <w:t xml:space="preserve">corocznie kwoty </w:t>
      </w:r>
      <w:r>
        <w:rPr>
          <w:rFonts w:ascii="Verdana" w:hAnsi="Verdana"/>
          <w:b/>
          <w:bCs/>
          <w:sz w:val="16"/>
          <w:szCs w:val="16"/>
        </w:rPr>
        <w:t>89</w:t>
      </w:r>
      <w:r w:rsidRPr="000A6485">
        <w:rPr>
          <w:rFonts w:ascii="Verdana" w:hAnsi="Verdana"/>
          <w:b/>
          <w:bCs/>
          <w:sz w:val="16"/>
          <w:szCs w:val="16"/>
        </w:rPr>
        <w:t>0 mln zł</w:t>
      </w:r>
      <w:r w:rsidRPr="000A6485">
        <w:rPr>
          <w:rFonts w:ascii="Verdana" w:hAnsi="Verdana"/>
          <w:bCs/>
          <w:sz w:val="16"/>
          <w:szCs w:val="16"/>
        </w:rPr>
        <w:t xml:space="preserve"> (tj. szacunkowe dochody z </w:t>
      </w:r>
      <w:r>
        <w:rPr>
          <w:rFonts w:ascii="Verdana" w:hAnsi="Verdana"/>
          <w:bCs/>
          <w:sz w:val="16"/>
          <w:szCs w:val="16"/>
        </w:rPr>
        <w:t xml:space="preserve">udziału </w:t>
      </w:r>
      <w:r w:rsidRPr="000A6485">
        <w:rPr>
          <w:rFonts w:ascii="Verdana" w:hAnsi="Verdana"/>
          <w:bCs/>
          <w:sz w:val="16"/>
          <w:szCs w:val="16"/>
        </w:rPr>
        <w:t xml:space="preserve">PIT </w:t>
      </w:r>
      <w:r>
        <w:rPr>
          <w:rFonts w:ascii="Verdana" w:hAnsi="Verdana"/>
          <w:bCs/>
          <w:sz w:val="16"/>
          <w:szCs w:val="16"/>
        </w:rPr>
        <w:t xml:space="preserve">w danym roku byłyby wyższe o kwotę </w:t>
      </w:r>
      <w:r>
        <w:rPr>
          <w:rFonts w:ascii="Verdana" w:hAnsi="Verdana"/>
          <w:bCs/>
          <w:sz w:val="16"/>
          <w:szCs w:val="16"/>
        </w:rPr>
        <w:br/>
        <w:t>89</w:t>
      </w:r>
      <w:r w:rsidRPr="000A6485">
        <w:rPr>
          <w:rFonts w:ascii="Verdana" w:hAnsi="Verdana"/>
          <w:bCs/>
          <w:sz w:val="16"/>
          <w:szCs w:val="16"/>
        </w:rPr>
        <w:t xml:space="preserve">0 mln zł jeżeli nie byłyby dokonane zmiany w przepisach dotyczących PIT). </w:t>
      </w:r>
    </w:p>
    <w:p w:rsidR="007F07DD" w:rsidRPr="000A6485" w:rsidRDefault="007F07DD" w:rsidP="007F07DD">
      <w:pPr>
        <w:spacing w:before="240" w:after="240" w:line="240" w:lineRule="auto"/>
        <w:ind w:left="567" w:hanging="567"/>
        <w:rPr>
          <w:rFonts w:ascii="Verdana" w:hAnsi="Verdana"/>
          <w:b/>
          <w:bCs/>
          <w:sz w:val="20"/>
          <w:szCs w:val="20"/>
        </w:rPr>
      </w:pPr>
      <w:r w:rsidRPr="000A6485">
        <w:rPr>
          <w:rFonts w:ascii="Verdana" w:hAnsi="Verdana"/>
          <w:b/>
          <w:bCs/>
          <w:sz w:val="20"/>
          <w:szCs w:val="20"/>
        </w:rPr>
        <w:t>5.1</w:t>
      </w:r>
      <w:r>
        <w:rPr>
          <w:rFonts w:ascii="Verdana" w:hAnsi="Verdana"/>
          <w:b/>
          <w:bCs/>
          <w:sz w:val="20"/>
          <w:szCs w:val="20"/>
        </w:rPr>
        <w:t>.3</w:t>
      </w:r>
      <w:r w:rsidRPr="000A6485">
        <w:rPr>
          <w:rFonts w:ascii="Verdana" w:hAnsi="Verdana"/>
          <w:b/>
          <w:bCs/>
          <w:sz w:val="20"/>
          <w:szCs w:val="20"/>
        </w:rPr>
        <w:t xml:space="preserve"> Dostosowanie założeń budżetowych do utraty dochodów w związku </w:t>
      </w:r>
      <w:r>
        <w:rPr>
          <w:rFonts w:ascii="Verdana" w:hAnsi="Verdana"/>
          <w:b/>
          <w:bCs/>
          <w:sz w:val="20"/>
          <w:szCs w:val="20"/>
        </w:rPr>
        <w:br/>
        <w:t xml:space="preserve"> </w:t>
      </w:r>
      <w:r w:rsidRPr="000A6485">
        <w:rPr>
          <w:rFonts w:ascii="Verdana" w:hAnsi="Verdana"/>
          <w:b/>
          <w:bCs/>
          <w:sz w:val="20"/>
          <w:szCs w:val="20"/>
        </w:rPr>
        <w:t xml:space="preserve">ze zmianami legislacyjnymi w podatku dochodowym od osób </w:t>
      </w:r>
      <w:r>
        <w:rPr>
          <w:rFonts w:ascii="Verdana" w:hAnsi="Verdana"/>
          <w:b/>
          <w:bCs/>
          <w:sz w:val="20"/>
          <w:szCs w:val="20"/>
        </w:rPr>
        <w:t xml:space="preserve"> </w:t>
      </w:r>
      <w:r>
        <w:rPr>
          <w:rFonts w:ascii="Verdana" w:hAnsi="Verdana"/>
          <w:b/>
          <w:bCs/>
          <w:sz w:val="20"/>
          <w:szCs w:val="20"/>
        </w:rPr>
        <w:br/>
        <w:t xml:space="preserve"> </w:t>
      </w:r>
      <w:r w:rsidRPr="000A6485">
        <w:rPr>
          <w:rFonts w:ascii="Verdana" w:hAnsi="Verdana"/>
          <w:b/>
          <w:bCs/>
          <w:sz w:val="20"/>
          <w:szCs w:val="20"/>
        </w:rPr>
        <w:t>fizycznych PIT</w:t>
      </w:r>
      <w:r>
        <w:rPr>
          <w:rFonts w:ascii="Verdana" w:hAnsi="Verdana"/>
          <w:b/>
          <w:bCs/>
          <w:sz w:val="20"/>
          <w:szCs w:val="20"/>
        </w:rPr>
        <w:t xml:space="preserve"> przewidzianymi w rządowym Programie Polski Ład  </w:t>
      </w:r>
      <w:r>
        <w:rPr>
          <w:rFonts w:ascii="Verdana" w:hAnsi="Verdana"/>
          <w:b/>
          <w:bCs/>
          <w:sz w:val="20"/>
          <w:szCs w:val="20"/>
        </w:rPr>
        <w:br/>
        <w:t xml:space="preserve"> wprowadzonymi w 2021 r.</w:t>
      </w:r>
      <w:r w:rsidRPr="000A6485">
        <w:rPr>
          <w:rFonts w:ascii="Verdana" w:hAnsi="Verdana"/>
          <w:b/>
          <w:bCs/>
          <w:sz w:val="20"/>
          <w:szCs w:val="20"/>
        </w:rPr>
        <w:t xml:space="preserve"> </w:t>
      </w:r>
      <w:r>
        <w:rPr>
          <w:rFonts w:ascii="Verdana" w:hAnsi="Verdana"/>
          <w:b/>
          <w:bCs/>
          <w:sz w:val="20"/>
          <w:szCs w:val="20"/>
        </w:rPr>
        <w:t xml:space="preserve">ze skutkami od 2022 r. </w:t>
      </w:r>
      <w:r>
        <w:rPr>
          <w:rFonts w:ascii="Verdana" w:hAnsi="Verdana"/>
          <w:b/>
          <w:bCs/>
          <w:sz w:val="20"/>
          <w:szCs w:val="20"/>
        </w:rPr>
        <w:br/>
        <w:t xml:space="preserve">  </w:t>
      </w:r>
      <w:r w:rsidRPr="00DA39DC">
        <w:rPr>
          <w:rFonts w:ascii="Verdana" w:hAnsi="Verdana"/>
          <w:bCs/>
          <w:sz w:val="20"/>
          <w:szCs w:val="20"/>
        </w:rPr>
        <w:t xml:space="preserve">– prowadzone od WPF edycji </w:t>
      </w:r>
      <w:r>
        <w:rPr>
          <w:rFonts w:ascii="Verdana" w:hAnsi="Verdana"/>
          <w:bCs/>
          <w:sz w:val="20"/>
          <w:szCs w:val="20"/>
        </w:rPr>
        <w:t>2022</w:t>
      </w:r>
      <w:r w:rsidRPr="00DA39DC">
        <w:rPr>
          <w:rFonts w:ascii="Verdana" w:hAnsi="Verdana"/>
          <w:bCs/>
          <w:sz w:val="20"/>
          <w:szCs w:val="20"/>
        </w:rPr>
        <w:t>-2050</w:t>
      </w:r>
    </w:p>
    <w:p w:rsidR="007F07DD" w:rsidRDefault="007F07DD" w:rsidP="007F07DD">
      <w:pPr>
        <w:spacing w:before="120" w:after="60"/>
        <w:jc w:val="both"/>
        <w:rPr>
          <w:rFonts w:ascii="Verdana" w:hAnsi="Verdana"/>
          <w:b/>
          <w:iCs/>
          <w:sz w:val="16"/>
          <w:szCs w:val="16"/>
        </w:rPr>
      </w:pPr>
      <w:r w:rsidRPr="00106F36">
        <w:rPr>
          <w:rFonts w:ascii="Verdana" w:hAnsi="Verdana" w:cs="Arial"/>
          <w:sz w:val="16"/>
          <w:szCs w:val="16"/>
        </w:rPr>
        <w:t xml:space="preserve">Negatywny </w:t>
      </w:r>
      <w:r>
        <w:rPr>
          <w:rFonts w:ascii="Verdana" w:hAnsi="Verdana" w:cs="Arial"/>
          <w:sz w:val="16"/>
          <w:szCs w:val="16"/>
        </w:rPr>
        <w:t xml:space="preserve">dla finansów m.st. Warszawy </w:t>
      </w:r>
      <w:r w:rsidRPr="00106F36">
        <w:rPr>
          <w:rFonts w:ascii="Verdana" w:hAnsi="Verdana" w:cs="Arial"/>
          <w:sz w:val="16"/>
          <w:szCs w:val="16"/>
        </w:rPr>
        <w:t xml:space="preserve">charakter </w:t>
      </w:r>
      <w:r>
        <w:rPr>
          <w:rFonts w:ascii="Verdana" w:hAnsi="Verdana" w:cs="Arial"/>
          <w:sz w:val="16"/>
          <w:szCs w:val="16"/>
        </w:rPr>
        <w:t>rozwiązań zawartych w Programie Polski Ład</w:t>
      </w:r>
      <w:r w:rsidRPr="00106F36">
        <w:rPr>
          <w:rFonts w:ascii="Verdana" w:hAnsi="Verdana" w:cs="Arial"/>
          <w:sz w:val="16"/>
          <w:szCs w:val="16"/>
        </w:rPr>
        <w:t xml:space="preserve"> przejawia się </w:t>
      </w:r>
      <w:r>
        <w:rPr>
          <w:rFonts w:ascii="Verdana" w:hAnsi="Verdana" w:cs="Arial"/>
          <w:sz w:val="16"/>
          <w:szCs w:val="16"/>
        </w:rPr>
        <w:br/>
        <w:t xml:space="preserve">w </w:t>
      </w:r>
      <w:r w:rsidRPr="00E600B6">
        <w:rPr>
          <w:rFonts w:ascii="Verdana" w:hAnsi="Verdana"/>
          <w:iCs/>
          <w:sz w:val="16"/>
          <w:szCs w:val="16"/>
        </w:rPr>
        <w:t>znaczący</w:t>
      </w:r>
      <w:r>
        <w:rPr>
          <w:rFonts w:ascii="Verdana" w:hAnsi="Verdana"/>
          <w:iCs/>
          <w:sz w:val="16"/>
          <w:szCs w:val="16"/>
        </w:rPr>
        <w:t>m</w:t>
      </w:r>
      <w:r w:rsidRPr="00E600B6">
        <w:rPr>
          <w:rFonts w:ascii="Verdana" w:hAnsi="Verdana"/>
          <w:iCs/>
          <w:sz w:val="16"/>
          <w:szCs w:val="16"/>
        </w:rPr>
        <w:t xml:space="preserve"> poziom</w:t>
      </w:r>
      <w:r>
        <w:rPr>
          <w:rFonts w:ascii="Verdana" w:hAnsi="Verdana"/>
          <w:iCs/>
          <w:sz w:val="16"/>
          <w:szCs w:val="16"/>
        </w:rPr>
        <w:t>ie</w:t>
      </w:r>
      <w:r w:rsidRPr="00E600B6">
        <w:rPr>
          <w:rFonts w:ascii="Verdana" w:hAnsi="Verdana"/>
          <w:iCs/>
          <w:sz w:val="16"/>
          <w:szCs w:val="16"/>
        </w:rPr>
        <w:t xml:space="preserve"> u</w:t>
      </w:r>
      <w:r>
        <w:rPr>
          <w:rFonts w:ascii="Verdana" w:hAnsi="Verdana"/>
          <w:iCs/>
          <w:sz w:val="16"/>
          <w:szCs w:val="16"/>
        </w:rPr>
        <w:t xml:space="preserve">szczuplenia dochodów z PIT </w:t>
      </w:r>
      <w:r w:rsidRPr="00E600B6">
        <w:rPr>
          <w:rFonts w:ascii="Verdana" w:hAnsi="Verdana"/>
          <w:iCs/>
          <w:sz w:val="16"/>
          <w:szCs w:val="16"/>
        </w:rPr>
        <w:t xml:space="preserve">stanowiących główne źródło dochodów własnych </w:t>
      </w:r>
      <w:r>
        <w:rPr>
          <w:rFonts w:ascii="Verdana" w:hAnsi="Verdana"/>
          <w:iCs/>
          <w:sz w:val="16"/>
          <w:szCs w:val="16"/>
        </w:rPr>
        <w:t xml:space="preserve">Miasta. Jednocześnie </w:t>
      </w:r>
      <w:r w:rsidRPr="009A19F1">
        <w:rPr>
          <w:rFonts w:ascii="Verdana" w:hAnsi="Verdana"/>
          <w:iCs/>
          <w:sz w:val="16"/>
          <w:szCs w:val="16"/>
        </w:rPr>
        <w:t>r</w:t>
      </w:r>
      <w:r w:rsidRPr="009A19F1">
        <w:rPr>
          <w:rFonts w:ascii="Verdana" w:hAnsi="Verdana" w:cs="Arial"/>
          <w:sz w:val="16"/>
          <w:szCs w:val="16"/>
        </w:rPr>
        <w:t xml:space="preserve">ozwiązania przewidziane w Programie Polski Ład </w:t>
      </w:r>
      <w:r w:rsidRPr="009A19F1">
        <w:rPr>
          <w:rFonts w:ascii="Verdana" w:hAnsi="Verdana"/>
          <w:iCs/>
          <w:sz w:val="16"/>
          <w:szCs w:val="16"/>
        </w:rPr>
        <w:t>nie ustanawiają trwałego mechanizmu rekompensaty ubytku dochodów własnych JST z tytułu zmian podatkowych w PIT, będących z punktu widzenia finansowania JST, zasadniczym elementem Programu Polski Ład.</w:t>
      </w:r>
    </w:p>
    <w:p w:rsidR="007F07DD" w:rsidRPr="00850028" w:rsidRDefault="007F07DD" w:rsidP="007F07DD">
      <w:pPr>
        <w:spacing w:before="60" w:after="60"/>
        <w:jc w:val="both"/>
        <w:rPr>
          <w:rFonts w:ascii="Verdana" w:hAnsi="Verdana"/>
          <w:b/>
          <w:iCs/>
          <w:sz w:val="16"/>
          <w:szCs w:val="16"/>
        </w:rPr>
      </w:pPr>
      <w:r>
        <w:rPr>
          <w:rFonts w:ascii="Verdana" w:hAnsi="Verdana"/>
          <w:b/>
          <w:iCs/>
          <w:sz w:val="16"/>
          <w:szCs w:val="16"/>
        </w:rPr>
        <w:t>Podsumowując, główne założenia rządowego Programu Polski Ład wpływające na finanse jednostek samorządu terytorialnego przewidują:</w:t>
      </w:r>
    </w:p>
    <w:p w:rsidR="007F07DD" w:rsidRPr="00850028" w:rsidRDefault="007F07DD" w:rsidP="007F07DD">
      <w:pPr>
        <w:pStyle w:val="Akapitzlist"/>
        <w:numPr>
          <w:ilvl w:val="0"/>
          <w:numId w:val="58"/>
        </w:numPr>
        <w:spacing w:before="60" w:after="60"/>
        <w:ind w:left="568" w:hanging="284"/>
        <w:contextualSpacing w:val="0"/>
        <w:jc w:val="both"/>
        <w:rPr>
          <w:rFonts w:ascii="Verdana" w:hAnsi="Verdana"/>
          <w:iCs/>
          <w:sz w:val="16"/>
          <w:szCs w:val="16"/>
        </w:rPr>
      </w:pPr>
      <w:r w:rsidRPr="00264257">
        <w:rPr>
          <w:rFonts w:ascii="Verdana" w:hAnsi="Verdana"/>
          <w:b/>
          <w:iCs/>
          <w:sz w:val="16"/>
          <w:szCs w:val="16"/>
        </w:rPr>
        <w:t>trwałe coroczne od 2022 r. ograniczenie dochodów JST z udziału podatku dochodowym od osób fizycznych (PIT)</w:t>
      </w:r>
      <w:r w:rsidRPr="00850028">
        <w:rPr>
          <w:rFonts w:ascii="Verdana" w:hAnsi="Verdana"/>
          <w:iCs/>
          <w:sz w:val="16"/>
          <w:szCs w:val="16"/>
        </w:rPr>
        <w:t xml:space="preserve"> </w:t>
      </w:r>
      <w:r>
        <w:rPr>
          <w:rFonts w:ascii="Verdana" w:hAnsi="Verdana"/>
          <w:iCs/>
          <w:sz w:val="16"/>
          <w:szCs w:val="16"/>
        </w:rPr>
        <w:t>na skutek</w:t>
      </w:r>
      <w:r w:rsidRPr="00850028">
        <w:rPr>
          <w:rFonts w:ascii="Verdana" w:hAnsi="Verdana"/>
          <w:iCs/>
          <w:sz w:val="16"/>
          <w:szCs w:val="16"/>
        </w:rPr>
        <w:t>:</w:t>
      </w:r>
    </w:p>
    <w:p w:rsidR="007F07DD" w:rsidRPr="006A430E" w:rsidRDefault="007F07DD" w:rsidP="007F07DD">
      <w:pPr>
        <w:pStyle w:val="Akapitzlist"/>
        <w:numPr>
          <w:ilvl w:val="0"/>
          <w:numId w:val="59"/>
        </w:numPr>
        <w:spacing w:before="60" w:after="60"/>
        <w:ind w:left="1134" w:hanging="283"/>
        <w:contextualSpacing w:val="0"/>
        <w:jc w:val="both"/>
        <w:rPr>
          <w:rFonts w:ascii="Verdana" w:hAnsi="Verdana"/>
          <w:iCs/>
          <w:sz w:val="16"/>
          <w:szCs w:val="16"/>
        </w:rPr>
      </w:pPr>
      <w:r w:rsidRPr="006A430E">
        <w:rPr>
          <w:rFonts w:ascii="Verdana" w:hAnsi="Verdana"/>
          <w:iCs/>
          <w:sz w:val="16"/>
          <w:szCs w:val="16"/>
        </w:rPr>
        <w:t>p</w:t>
      </w:r>
      <w:r>
        <w:rPr>
          <w:rFonts w:ascii="Verdana" w:hAnsi="Verdana"/>
          <w:iCs/>
          <w:sz w:val="16"/>
          <w:szCs w:val="16"/>
        </w:rPr>
        <w:t>odwyższenia</w:t>
      </w:r>
      <w:r w:rsidRPr="006A430E">
        <w:rPr>
          <w:rFonts w:ascii="Verdana" w:hAnsi="Verdana"/>
          <w:iCs/>
          <w:sz w:val="16"/>
          <w:szCs w:val="16"/>
        </w:rPr>
        <w:t xml:space="preserve"> do 30 tys. zł „kwoty wolnej” od podatku dla ogółu podatników obliczających podatek wg skali podatkowej,</w:t>
      </w:r>
    </w:p>
    <w:p w:rsidR="007F07DD" w:rsidRPr="006A430E" w:rsidRDefault="007F07DD" w:rsidP="007F07DD">
      <w:pPr>
        <w:pStyle w:val="Akapitzlist"/>
        <w:numPr>
          <w:ilvl w:val="0"/>
          <w:numId w:val="59"/>
        </w:numPr>
        <w:spacing w:before="60" w:after="60"/>
        <w:ind w:left="1134" w:hanging="283"/>
        <w:contextualSpacing w:val="0"/>
        <w:jc w:val="both"/>
        <w:rPr>
          <w:rFonts w:ascii="Verdana" w:hAnsi="Verdana"/>
          <w:iCs/>
          <w:sz w:val="16"/>
          <w:szCs w:val="16"/>
        </w:rPr>
      </w:pPr>
      <w:r w:rsidRPr="006A430E">
        <w:rPr>
          <w:rFonts w:ascii="Verdana" w:hAnsi="Verdana"/>
          <w:iCs/>
          <w:sz w:val="16"/>
          <w:szCs w:val="16"/>
        </w:rPr>
        <w:t>podwyższeni</w:t>
      </w:r>
      <w:r>
        <w:rPr>
          <w:rFonts w:ascii="Verdana" w:hAnsi="Verdana"/>
          <w:iCs/>
          <w:sz w:val="16"/>
          <w:szCs w:val="16"/>
        </w:rPr>
        <w:t>a</w:t>
      </w:r>
      <w:r w:rsidRPr="006A430E">
        <w:rPr>
          <w:rFonts w:ascii="Verdana" w:hAnsi="Verdana"/>
          <w:iCs/>
          <w:sz w:val="16"/>
          <w:szCs w:val="16"/>
        </w:rPr>
        <w:t xml:space="preserve"> do 120 tys. zł progu dochodów, po przekroczeniu którego ma zastosowanie 32% stawka podatku,</w:t>
      </w:r>
    </w:p>
    <w:p w:rsidR="007F07DD" w:rsidRDefault="007F07DD" w:rsidP="007F07DD">
      <w:pPr>
        <w:pStyle w:val="Akapitzlist"/>
        <w:numPr>
          <w:ilvl w:val="0"/>
          <w:numId w:val="59"/>
        </w:numPr>
        <w:spacing w:before="60" w:after="60"/>
        <w:ind w:left="1134" w:hanging="283"/>
        <w:contextualSpacing w:val="0"/>
        <w:jc w:val="both"/>
        <w:rPr>
          <w:rFonts w:ascii="Verdana" w:hAnsi="Verdana"/>
          <w:iCs/>
          <w:sz w:val="16"/>
          <w:szCs w:val="16"/>
        </w:rPr>
      </w:pPr>
      <w:r>
        <w:rPr>
          <w:rFonts w:ascii="Verdana" w:hAnsi="Verdana"/>
          <w:iCs/>
          <w:sz w:val="16"/>
          <w:szCs w:val="16"/>
        </w:rPr>
        <w:t>likwidacji</w:t>
      </w:r>
      <w:r w:rsidRPr="006A430E">
        <w:rPr>
          <w:rFonts w:ascii="Verdana" w:hAnsi="Verdana"/>
          <w:iCs/>
          <w:sz w:val="16"/>
          <w:szCs w:val="16"/>
        </w:rPr>
        <w:t xml:space="preserve"> możliwości odliczenia od podatku składki na ubezpieczenie </w:t>
      </w:r>
      <w:r>
        <w:rPr>
          <w:rFonts w:ascii="Verdana" w:hAnsi="Verdana"/>
          <w:iCs/>
          <w:sz w:val="16"/>
          <w:szCs w:val="16"/>
        </w:rPr>
        <w:t>zdrowotne,</w:t>
      </w:r>
    </w:p>
    <w:p w:rsidR="007F07DD" w:rsidRDefault="007F07DD" w:rsidP="007F07DD">
      <w:pPr>
        <w:pStyle w:val="Akapitzlist"/>
        <w:numPr>
          <w:ilvl w:val="0"/>
          <w:numId w:val="59"/>
        </w:numPr>
        <w:spacing w:before="60" w:after="60"/>
        <w:ind w:left="1134" w:hanging="283"/>
        <w:contextualSpacing w:val="0"/>
        <w:jc w:val="both"/>
        <w:rPr>
          <w:rFonts w:ascii="Verdana" w:hAnsi="Verdana"/>
          <w:iCs/>
          <w:sz w:val="16"/>
          <w:szCs w:val="16"/>
        </w:rPr>
      </w:pPr>
      <w:r w:rsidRPr="006A430E">
        <w:rPr>
          <w:rFonts w:ascii="Verdana" w:hAnsi="Verdana"/>
          <w:iCs/>
          <w:sz w:val="16"/>
          <w:szCs w:val="16"/>
        </w:rPr>
        <w:t>w</w:t>
      </w:r>
      <w:r>
        <w:rPr>
          <w:rFonts w:ascii="Verdana" w:hAnsi="Verdana"/>
          <w:iCs/>
          <w:sz w:val="16"/>
          <w:szCs w:val="16"/>
        </w:rPr>
        <w:t>prowadzenia</w:t>
      </w:r>
      <w:r w:rsidRPr="006A430E">
        <w:rPr>
          <w:rFonts w:ascii="Verdana" w:hAnsi="Verdana"/>
          <w:iCs/>
          <w:sz w:val="16"/>
          <w:szCs w:val="16"/>
        </w:rPr>
        <w:t xml:space="preserve"> ulgi obniżającej </w:t>
      </w:r>
      <w:r>
        <w:rPr>
          <w:rFonts w:ascii="Verdana" w:hAnsi="Verdana"/>
          <w:iCs/>
          <w:sz w:val="16"/>
          <w:szCs w:val="16"/>
        </w:rPr>
        <w:t xml:space="preserve">(do celów wyliczenia podatku) </w:t>
      </w:r>
      <w:r w:rsidRPr="006A430E">
        <w:rPr>
          <w:rFonts w:ascii="Verdana" w:hAnsi="Verdana"/>
          <w:iCs/>
          <w:sz w:val="16"/>
          <w:szCs w:val="16"/>
        </w:rPr>
        <w:t xml:space="preserve">dochód dla określonego przedziału dochodowego (miesięczny przychód brutto od 5.701 zł do 11.141 zł), w celu zniwelowania straty spowodowanej zniesieniem </w:t>
      </w:r>
      <w:proofErr w:type="spellStart"/>
      <w:r w:rsidRPr="006A430E">
        <w:rPr>
          <w:rFonts w:ascii="Verdana" w:hAnsi="Verdana"/>
          <w:iCs/>
          <w:sz w:val="16"/>
          <w:szCs w:val="16"/>
        </w:rPr>
        <w:t>odliczalności</w:t>
      </w:r>
      <w:proofErr w:type="spellEnd"/>
      <w:r w:rsidRPr="006A430E">
        <w:rPr>
          <w:rFonts w:ascii="Verdana" w:hAnsi="Verdana"/>
          <w:iCs/>
          <w:sz w:val="16"/>
          <w:szCs w:val="16"/>
        </w:rPr>
        <w:t xml:space="preserve"> składki zdrowotnej</w:t>
      </w:r>
      <w:r>
        <w:rPr>
          <w:rFonts w:ascii="Verdana" w:hAnsi="Verdana"/>
          <w:iCs/>
          <w:sz w:val="16"/>
          <w:szCs w:val="16"/>
        </w:rPr>
        <w:t>,</w:t>
      </w:r>
    </w:p>
    <w:p w:rsidR="007F07DD" w:rsidRDefault="007F07DD" w:rsidP="007F07DD">
      <w:pPr>
        <w:pStyle w:val="Akapitzlist"/>
        <w:spacing w:before="60" w:after="60"/>
        <w:ind w:left="567"/>
        <w:contextualSpacing w:val="0"/>
        <w:jc w:val="both"/>
        <w:rPr>
          <w:rFonts w:ascii="Verdana" w:hAnsi="Verdana"/>
          <w:iCs/>
          <w:sz w:val="16"/>
          <w:szCs w:val="16"/>
        </w:rPr>
      </w:pPr>
      <w:r>
        <w:rPr>
          <w:rFonts w:ascii="Verdana" w:hAnsi="Verdana"/>
          <w:iCs/>
          <w:sz w:val="16"/>
          <w:szCs w:val="16"/>
        </w:rPr>
        <w:lastRenderedPageBreak/>
        <w:t xml:space="preserve">co zgodnie z szacunkami sporządzonymi na podstawie Ocen Skutków Regulacji </w:t>
      </w:r>
      <w:r>
        <w:rPr>
          <w:rFonts w:ascii="Verdana" w:hAnsi="Verdana" w:cs="Arial"/>
          <w:sz w:val="16"/>
          <w:szCs w:val="16"/>
        </w:rPr>
        <w:t>ustawy z 29</w:t>
      </w:r>
      <w:r w:rsidRPr="00C06E0B">
        <w:rPr>
          <w:rFonts w:ascii="Verdana" w:hAnsi="Verdana" w:cs="Arial"/>
          <w:sz w:val="16"/>
          <w:szCs w:val="16"/>
        </w:rPr>
        <w:t xml:space="preserve">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(Dz.U. poz. 2105)</w:t>
      </w:r>
      <w:r>
        <w:rPr>
          <w:rFonts w:ascii="Verdana" w:hAnsi="Verdana" w:cs="Arial"/>
          <w:i/>
          <w:sz w:val="16"/>
          <w:szCs w:val="16"/>
        </w:rPr>
        <w:t xml:space="preserve"> </w:t>
      </w:r>
      <w:r>
        <w:rPr>
          <w:rFonts w:ascii="Verdana" w:hAnsi="Verdana"/>
          <w:iCs/>
          <w:sz w:val="16"/>
          <w:szCs w:val="16"/>
        </w:rPr>
        <w:t xml:space="preserve">prezentowanych na poszczególnych etapach jej procedowania, spowoduje </w:t>
      </w:r>
      <w:r w:rsidRPr="00264257">
        <w:rPr>
          <w:rFonts w:ascii="Verdana" w:hAnsi="Verdana"/>
          <w:b/>
          <w:iCs/>
          <w:sz w:val="16"/>
          <w:szCs w:val="16"/>
        </w:rPr>
        <w:t>ograniczenie dochodów m.st. Warszawy z PIT</w:t>
      </w:r>
      <w:r>
        <w:rPr>
          <w:rFonts w:ascii="Verdana" w:hAnsi="Verdana"/>
          <w:iCs/>
          <w:sz w:val="16"/>
          <w:szCs w:val="16"/>
        </w:rPr>
        <w:t xml:space="preserve"> w kwocie </w:t>
      </w:r>
      <w:r>
        <w:rPr>
          <w:rFonts w:ascii="Verdana" w:hAnsi="Verdana"/>
          <w:iCs/>
          <w:sz w:val="16"/>
          <w:szCs w:val="16"/>
        </w:rPr>
        <w:br/>
      </w:r>
      <w:r w:rsidRPr="00264257">
        <w:rPr>
          <w:rFonts w:ascii="Verdana" w:hAnsi="Verdana"/>
          <w:b/>
          <w:iCs/>
          <w:sz w:val="16"/>
          <w:szCs w:val="16"/>
        </w:rPr>
        <w:t>14,2 mld zł</w:t>
      </w:r>
      <w:r>
        <w:rPr>
          <w:rFonts w:ascii="Verdana" w:hAnsi="Verdana"/>
          <w:iCs/>
          <w:sz w:val="16"/>
          <w:szCs w:val="16"/>
        </w:rPr>
        <w:t xml:space="preserve"> w okresie 10 lat i </w:t>
      </w:r>
      <w:r w:rsidRPr="00264257">
        <w:rPr>
          <w:rFonts w:ascii="Verdana" w:hAnsi="Verdana"/>
          <w:b/>
          <w:iCs/>
          <w:sz w:val="16"/>
          <w:szCs w:val="16"/>
        </w:rPr>
        <w:t>1,416 mld zł</w:t>
      </w:r>
      <w:r>
        <w:rPr>
          <w:rFonts w:ascii="Verdana" w:hAnsi="Verdana"/>
          <w:iCs/>
          <w:sz w:val="16"/>
          <w:szCs w:val="16"/>
        </w:rPr>
        <w:t xml:space="preserve"> corocznie,</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iCs/>
          <w:sz w:val="16"/>
          <w:szCs w:val="16"/>
        </w:rPr>
        <w:t xml:space="preserve">przekazanie samorządom w 2021 r. na poczet  wydatków 2022 r. </w:t>
      </w:r>
      <w:r w:rsidRPr="00264257">
        <w:rPr>
          <w:rFonts w:ascii="Verdana" w:hAnsi="Verdana"/>
          <w:b/>
          <w:iCs/>
          <w:sz w:val="16"/>
          <w:szCs w:val="16"/>
        </w:rPr>
        <w:t xml:space="preserve">dodatkowej kwoty subwencji </w:t>
      </w:r>
      <w:r>
        <w:rPr>
          <w:rFonts w:ascii="Verdana" w:hAnsi="Verdana"/>
          <w:b/>
          <w:iCs/>
          <w:sz w:val="16"/>
          <w:szCs w:val="16"/>
        </w:rPr>
        <w:br/>
      </w:r>
      <w:r w:rsidRPr="00264257">
        <w:rPr>
          <w:rFonts w:ascii="Verdana" w:hAnsi="Verdana"/>
          <w:b/>
          <w:iCs/>
          <w:sz w:val="16"/>
          <w:szCs w:val="16"/>
        </w:rPr>
        <w:t>w wysokości 8 mld zł, z tego 468 mln zł dla m.st. Warszawy</w:t>
      </w:r>
      <w:r>
        <w:rPr>
          <w:rFonts w:ascii="Verdana" w:hAnsi="Verdana"/>
          <w:iCs/>
          <w:sz w:val="16"/>
          <w:szCs w:val="16"/>
        </w:rPr>
        <w:t>,</w:t>
      </w:r>
    </w:p>
    <w:p w:rsidR="007F07DD" w:rsidRDefault="007F07DD" w:rsidP="007F07DD">
      <w:pPr>
        <w:pStyle w:val="Akapitzlist"/>
        <w:numPr>
          <w:ilvl w:val="0"/>
          <w:numId w:val="57"/>
        </w:numPr>
        <w:spacing w:before="60" w:after="60"/>
        <w:ind w:left="568" w:hanging="284"/>
        <w:contextualSpacing w:val="0"/>
        <w:jc w:val="both"/>
        <w:rPr>
          <w:rFonts w:ascii="Verdana" w:hAnsi="Verdana"/>
          <w:iCs/>
          <w:sz w:val="16"/>
          <w:szCs w:val="16"/>
        </w:rPr>
      </w:pPr>
      <w:r>
        <w:rPr>
          <w:rFonts w:ascii="Verdana" w:hAnsi="Verdana"/>
          <w:iCs/>
          <w:sz w:val="16"/>
          <w:szCs w:val="16"/>
        </w:rPr>
        <w:t xml:space="preserve">wprowadzenie od 2023 r. </w:t>
      </w:r>
      <w:r w:rsidRPr="00264257">
        <w:rPr>
          <w:rFonts w:ascii="Verdana" w:hAnsi="Verdana"/>
          <w:b/>
          <w:iCs/>
          <w:sz w:val="16"/>
          <w:szCs w:val="16"/>
        </w:rPr>
        <w:t>nowej subwencji tzw. rozwojowej w ogólnej kwocie</w:t>
      </w:r>
      <w:r>
        <w:rPr>
          <w:rFonts w:ascii="Verdana" w:hAnsi="Verdana"/>
          <w:iCs/>
          <w:sz w:val="16"/>
          <w:szCs w:val="16"/>
        </w:rPr>
        <w:t xml:space="preserve"> </w:t>
      </w:r>
      <w:r w:rsidRPr="00264257">
        <w:rPr>
          <w:rFonts w:ascii="Verdana" w:hAnsi="Verdana"/>
          <w:b/>
          <w:iCs/>
          <w:sz w:val="16"/>
          <w:szCs w:val="16"/>
        </w:rPr>
        <w:t>3-4 mld zł rocznie</w:t>
      </w:r>
      <w:r>
        <w:rPr>
          <w:rFonts w:ascii="Verdana" w:hAnsi="Verdana"/>
          <w:iCs/>
          <w:sz w:val="16"/>
          <w:szCs w:val="16"/>
        </w:rPr>
        <w:t xml:space="preserve">, w której </w:t>
      </w:r>
      <w:r w:rsidRPr="00264257">
        <w:rPr>
          <w:rFonts w:ascii="Verdana" w:hAnsi="Verdana"/>
          <w:b/>
          <w:iCs/>
          <w:sz w:val="16"/>
          <w:szCs w:val="16"/>
        </w:rPr>
        <w:t>partycypacja m.st. Warszawy</w:t>
      </w:r>
      <w:r>
        <w:rPr>
          <w:rFonts w:ascii="Verdana" w:hAnsi="Verdana"/>
          <w:iCs/>
          <w:sz w:val="16"/>
          <w:szCs w:val="16"/>
        </w:rPr>
        <w:t xml:space="preserve"> jak się szacuje </w:t>
      </w:r>
      <w:r w:rsidRPr="00264257">
        <w:rPr>
          <w:rFonts w:ascii="Verdana" w:hAnsi="Verdana"/>
          <w:b/>
          <w:iCs/>
          <w:sz w:val="16"/>
          <w:szCs w:val="16"/>
        </w:rPr>
        <w:t>wyniesie ok.</w:t>
      </w:r>
      <w:r>
        <w:rPr>
          <w:rFonts w:ascii="Verdana" w:hAnsi="Verdana"/>
          <w:iCs/>
          <w:sz w:val="16"/>
          <w:szCs w:val="16"/>
        </w:rPr>
        <w:t xml:space="preserve"> </w:t>
      </w:r>
      <w:r w:rsidRPr="00264257">
        <w:rPr>
          <w:rFonts w:ascii="Verdana" w:hAnsi="Verdana"/>
          <w:b/>
          <w:iCs/>
          <w:sz w:val="16"/>
          <w:szCs w:val="16"/>
        </w:rPr>
        <w:t>40 mln zł</w:t>
      </w:r>
      <w:r>
        <w:rPr>
          <w:rFonts w:ascii="Verdana" w:hAnsi="Verdana"/>
          <w:iCs/>
          <w:sz w:val="16"/>
          <w:szCs w:val="16"/>
        </w:rPr>
        <w:t xml:space="preserve"> z puli 60% kwoty subwencji przekazywanej wszystkim samorządom, natomiast beneficjentami pozostałych 40% będą jednostki samorządu terytorialnego o ponadprzeciętnej dynamice wydatków majątkowych w przeliczeniu na jednego mieszkańca oraz charakteryzujące się przewyższającymi średnią wydatkami majątkowymi przypadającymi na jednego mieszkańca.</w:t>
      </w:r>
    </w:p>
    <w:p w:rsidR="007F07DD" w:rsidRPr="00C75078" w:rsidRDefault="007F07DD" w:rsidP="007F07DD">
      <w:pPr>
        <w:spacing w:before="60" w:after="60"/>
        <w:jc w:val="both"/>
        <w:rPr>
          <w:rFonts w:ascii="Verdana" w:hAnsi="Verdana"/>
          <w:iCs/>
          <w:sz w:val="16"/>
          <w:szCs w:val="16"/>
        </w:rPr>
      </w:pPr>
    </w:p>
    <w:p w:rsidR="007F07DD" w:rsidRPr="000A6485" w:rsidRDefault="007F07DD" w:rsidP="007F07DD">
      <w:pPr>
        <w:tabs>
          <w:tab w:val="left" w:pos="0"/>
        </w:tabs>
        <w:spacing w:before="120" w:after="120"/>
        <w:jc w:val="both"/>
        <w:rPr>
          <w:rFonts w:ascii="Verdana" w:hAnsi="Verdana"/>
          <w:bCs/>
          <w:sz w:val="16"/>
          <w:szCs w:val="16"/>
        </w:rPr>
      </w:pPr>
      <w:r w:rsidRPr="000A6485">
        <w:rPr>
          <w:rFonts w:ascii="Verdana" w:hAnsi="Verdana" w:cs="Verdana"/>
          <w:noProof/>
          <w:sz w:val="16"/>
          <w:szCs w:val="16"/>
        </w:rPr>
        <mc:AlternateContent>
          <mc:Choice Requires="wps">
            <w:drawing>
              <wp:anchor distT="0" distB="0" distL="114300" distR="114300" simplePos="0" relativeHeight="251703296" behindDoc="0" locked="0" layoutInCell="1" allowOverlap="1" wp14:anchorId="36D9591B" wp14:editId="4B3C3EC5">
                <wp:simplePos x="0" y="0"/>
                <wp:positionH relativeFrom="margin">
                  <wp:posOffset>-81280</wp:posOffset>
                </wp:positionH>
                <wp:positionV relativeFrom="paragraph">
                  <wp:posOffset>-67398</wp:posOffset>
                </wp:positionV>
                <wp:extent cx="5908040" cy="1023582"/>
                <wp:effectExtent l="0" t="0" r="16510" b="24765"/>
                <wp:wrapNone/>
                <wp:docPr id="15" name="Prostokąt 15"/>
                <wp:cNvGraphicFramePr/>
                <a:graphic xmlns:a="http://schemas.openxmlformats.org/drawingml/2006/main">
                  <a:graphicData uri="http://schemas.microsoft.com/office/word/2010/wordprocessingShape">
                    <wps:wsp>
                      <wps:cNvSpPr/>
                      <wps:spPr>
                        <a:xfrm>
                          <a:off x="0" y="0"/>
                          <a:ext cx="5908040" cy="1023582"/>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F2787" id="Prostokąt 15" o:spid="_x0000_s1026" style="position:absolute;margin-left:-6.4pt;margin-top:-5.3pt;width:465.2pt;height:80.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" filled="f" strokecolor="black [3213]" strokeweight="1pt">
                <w10:wrap anchorx="margin"/>
              </v:rect>
            </w:pict>
          </mc:Fallback>
        </mc:AlternateContent>
      </w:r>
      <w:r>
        <w:rPr>
          <w:rFonts w:ascii="Verdana" w:hAnsi="Verdana"/>
          <w:bCs/>
          <w:sz w:val="16"/>
          <w:szCs w:val="16"/>
        </w:rPr>
        <w:t>U</w:t>
      </w:r>
      <w:r w:rsidRPr="000A6485">
        <w:rPr>
          <w:rFonts w:ascii="Verdana" w:hAnsi="Verdana"/>
          <w:bCs/>
          <w:sz w:val="16"/>
          <w:szCs w:val="16"/>
        </w:rPr>
        <w:t xml:space="preserve">bytek dochodów m.st. </w:t>
      </w:r>
      <w:r w:rsidRPr="000A6485">
        <w:rPr>
          <w:rFonts w:ascii="Verdana" w:hAnsi="Verdana"/>
          <w:iCs/>
          <w:sz w:val="16"/>
          <w:szCs w:val="16"/>
        </w:rPr>
        <w:t>Warszawy</w:t>
      </w:r>
      <w:r w:rsidRPr="000A6485">
        <w:rPr>
          <w:rFonts w:ascii="Verdana" w:hAnsi="Verdana"/>
          <w:bCs/>
          <w:sz w:val="16"/>
          <w:szCs w:val="16"/>
        </w:rPr>
        <w:t xml:space="preserve"> związany ze zmianami w PIT </w:t>
      </w:r>
      <w:r>
        <w:rPr>
          <w:rFonts w:ascii="Verdana" w:hAnsi="Verdana"/>
          <w:bCs/>
          <w:sz w:val="16"/>
          <w:szCs w:val="16"/>
        </w:rPr>
        <w:t xml:space="preserve">przewidzianymi w rządowym Programie Polski Ład </w:t>
      </w:r>
      <w:r w:rsidRPr="000A6485">
        <w:rPr>
          <w:rFonts w:ascii="Verdana" w:hAnsi="Verdana"/>
          <w:bCs/>
          <w:sz w:val="16"/>
          <w:szCs w:val="16"/>
        </w:rPr>
        <w:t xml:space="preserve">sięga </w:t>
      </w:r>
      <w:r>
        <w:rPr>
          <w:rFonts w:ascii="Verdana" w:hAnsi="Verdana"/>
          <w:bCs/>
          <w:sz w:val="16"/>
          <w:szCs w:val="16"/>
        </w:rPr>
        <w:t xml:space="preserve">corocznie od 2022 r. kwoty </w:t>
      </w:r>
      <w:r>
        <w:rPr>
          <w:rFonts w:ascii="Verdana" w:hAnsi="Verdana"/>
          <w:b/>
          <w:bCs/>
          <w:sz w:val="16"/>
          <w:szCs w:val="16"/>
        </w:rPr>
        <w:t>1,416</w:t>
      </w:r>
      <w:r w:rsidRPr="000A6485">
        <w:rPr>
          <w:rFonts w:ascii="Verdana" w:hAnsi="Verdana"/>
          <w:b/>
          <w:bCs/>
          <w:sz w:val="16"/>
          <w:szCs w:val="16"/>
        </w:rPr>
        <w:t xml:space="preserve"> mln zł</w:t>
      </w:r>
      <w:r w:rsidRPr="000A6485">
        <w:rPr>
          <w:rFonts w:ascii="Verdana" w:hAnsi="Verdana"/>
          <w:bCs/>
          <w:sz w:val="16"/>
          <w:szCs w:val="16"/>
        </w:rPr>
        <w:t xml:space="preserve"> (tj. szacunkowe dochody z PIT </w:t>
      </w:r>
      <w:r>
        <w:rPr>
          <w:rFonts w:ascii="Verdana" w:hAnsi="Verdana"/>
          <w:bCs/>
          <w:sz w:val="16"/>
          <w:szCs w:val="16"/>
        </w:rPr>
        <w:t>w danym roku</w:t>
      </w:r>
      <w:r w:rsidRPr="000A6485">
        <w:rPr>
          <w:rFonts w:ascii="Verdana" w:hAnsi="Verdana"/>
          <w:bCs/>
          <w:sz w:val="16"/>
          <w:szCs w:val="16"/>
        </w:rPr>
        <w:t xml:space="preserve"> byłyby wyższe o kwotę </w:t>
      </w:r>
      <w:r>
        <w:rPr>
          <w:rFonts w:ascii="Verdana" w:hAnsi="Verdana"/>
          <w:bCs/>
          <w:sz w:val="16"/>
          <w:szCs w:val="16"/>
        </w:rPr>
        <w:t>1,416 mld</w:t>
      </w:r>
      <w:r w:rsidRPr="000A6485">
        <w:rPr>
          <w:rFonts w:ascii="Verdana" w:hAnsi="Verdana"/>
          <w:bCs/>
          <w:sz w:val="16"/>
          <w:szCs w:val="16"/>
        </w:rPr>
        <w:t xml:space="preserve"> zł jeżeli nie byłyby dokonane zmiany w przepisach dotyczących PIT)</w:t>
      </w:r>
      <w:r>
        <w:rPr>
          <w:rFonts w:ascii="Verdana" w:hAnsi="Verdana"/>
          <w:bCs/>
          <w:sz w:val="16"/>
          <w:szCs w:val="16"/>
        </w:rPr>
        <w:t xml:space="preserve">, </w:t>
      </w:r>
      <w:r>
        <w:rPr>
          <w:rFonts w:ascii="Verdana" w:hAnsi="Verdana"/>
          <w:iCs/>
          <w:sz w:val="16"/>
          <w:szCs w:val="16"/>
        </w:rPr>
        <w:t>które to s</w:t>
      </w:r>
      <w:r w:rsidRPr="00E600B6">
        <w:rPr>
          <w:rFonts w:ascii="Verdana" w:hAnsi="Verdana"/>
          <w:iCs/>
          <w:sz w:val="16"/>
          <w:szCs w:val="16"/>
        </w:rPr>
        <w:t xml:space="preserve">kutki będą złagodzone, </w:t>
      </w:r>
      <w:r>
        <w:rPr>
          <w:rFonts w:ascii="Verdana" w:hAnsi="Verdana"/>
          <w:iCs/>
          <w:sz w:val="16"/>
          <w:szCs w:val="16"/>
        </w:rPr>
        <w:t>w 2022 r. o 46</w:t>
      </w:r>
      <w:r w:rsidRPr="00E600B6">
        <w:rPr>
          <w:rFonts w:ascii="Verdana" w:hAnsi="Verdana"/>
          <w:iCs/>
          <w:sz w:val="16"/>
          <w:szCs w:val="16"/>
        </w:rPr>
        <w:t xml:space="preserve">8 mln zł poprzez dodatkową jednorazową subwencję, a od 2023 r. o 40 mln zł z uwagi na kwotę </w:t>
      </w:r>
      <w:r>
        <w:rPr>
          <w:rFonts w:ascii="Verdana" w:hAnsi="Verdana"/>
          <w:iCs/>
          <w:sz w:val="16"/>
          <w:szCs w:val="16"/>
        </w:rPr>
        <w:t>podstawową subwencji rozwojowej</w:t>
      </w:r>
      <w:r w:rsidRPr="000A6485">
        <w:rPr>
          <w:rFonts w:ascii="Verdana" w:hAnsi="Verdana"/>
          <w:bCs/>
          <w:sz w:val="16"/>
          <w:szCs w:val="16"/>
        </w:rPr>
        <w:t xml:space="preserve">. </w:t>
      </w:r>
    </w:p>
    <w:p w:rsidR="007F07DD" w:rsidRPr="000A6485" w:rsidRDefault="007F07DD" w:rsidP="007F07DD">
      <w:pPr>
        <w:spacing w:before="360" w:after="240" w:line="240" w:lineRule="auto"/>
        <w:ind w:left="425" w:hanging="425"/>
        <w:rPr>
          <w:rFonts w:ascii="Verdana" w:hAnsi="Verdana"/>
          <w:b/>
          <w:bCs/>
          <w:sz w:val="20"/>
          <w:szCs w:val="20"/>
        </w:rPr>
      </w:pPr>
      <w:r w:rsidRPr="000A6485">
        <w:rPr>
          <w:rFonts w:ascii="Verdana" w:hAnsi="Verdana"/>
          <w:b/>
          <w:bCs/>
          <w:sz w:val="20"/>
          <w:szCs w:val="20"/>
        </w:rPr>
        <w:t xml:space="preserve">5.2 </w:t>
      </w:r>
      <w:r>
        <w:rPr>
          <w:rFonts w:ascii="Verdana" w:hAnsi="Verdana"/>
          <w:b/>
          <w:bCs/>
          <w:sz w:val="20"/>
          <w:szCs w:val="20"/>
        </w:rPr>
        <w:t xml:space="preserve">Dostosowanie założeń budżetowych do obniżonych dochodów w związku </w:t>
      </w:r>
      <w:r>
        <w:rPr>
          <w:rFonts w:ascii="Verdana" w:hAnsi="Verdana"/>
          <w:b/>
          <w:bCs/>
          <w:sz w:val="20"/>
          <w:szCs w:val="20"/>
        </w:rPr>
        <w:br/>
        <w:t xml:space="preserve">z sytuacją społeczno-gospodarczą będącą konsekwencją pandemii </w:t>
      </w:r>
      <w:proofErr w:type="spellStart"/>
      <w:r>
        <w:rPr>
          <w:rFonts w:ascii="Verdana" w:hAnsi="Verdana"/>
          <w:b/>
          <w:bCs/>
          <w:sz w:val="20"/>
          <w:szCs w:val="20"/>
        </w:rPr>
        <w:t>koronawirusa</w:t>
      </w:r>
      <w:proofErr w:type="spellEnd"/>
      <w:r>
        <w:rPr>
          <w:rFonts w:ascii="Verdana" w:hAnsi="Verdana"/>
          <w:b/>
          <w:bCs/>
          <w:sz w:val="20"/>
          <w:szCs w:val="20"/>
        </w:rPr>
        <w:t xml:space="preserve"> SARS-Cov-2 wywołującego chorobę COVID-19</w:t>
      </w:r>
    </w:p>
    <w:p w:rsidR="007F07DD" w:rsidRDefault="007F07DD" w:rsidP="007F07DD">
      <w:pPr>
        <w:spacing w:before="60" w:after="60"/>
        <w:ind w:firstLine="567"/>
        <w:jc w:val="both"/>
        <w:rPr>
          <w:rFonts w:ascii="Verdana" w:hAnsi="Verdana"/>
          <w:sz w:val="16"/>
          <w:szCs w:val="16"/>
        </w:rPr>
      </w:pPr>
      <w:r w:rsidRPr="00627BD4">
        <w:rPr>
          <w:rFonts w:ascii="Verdana" w:hAnsi="Verdana"/>
          <w:iCs/>
          <w:sz w:val="16"/>
          <w:szCs w:val="16"/>
        </w:rPr>
        <w:t>Stan epidemii w Polsce, formalnie wprowadzony w Polsce w marcu 2020 r., spowodował gwałtowne osłabienie aktywności gospodarczej w całym kraju, w tym w m.st. Warszaw</w:t>
      </w:r>
      <w:r>
        <w:rPr>
          <w:rFonts w:ascii="Verdana" w:hAnsi="Verdana"/>
          <w:iCs/>
          <w:sz w:val="16"/>
          <w:szCs w:val="16"/>
        </w:rPr>
        <w:t>ie</w:t>
      </w:r>
      <w:r w:rsidRPr="00627BD4">
        <w:rPr>
          <w:rFonts w:ascii="Verdana" w:hAnsi="Verdana"/>
          <w:iCs/>
          <w:sz w:val="16"/>
          <w:szCs w:val="16"/>
        </w:rPr>
        <w:t xml:space="preserve">. W związku z powyższym </w:t>
      </w:r>
      <w:r>
        <w:rPr>
          <w:rFonts w:ascii="Verdana" w:hAnsi="Verdana"/>
          <w:iCs/>
          <w:sz w:val="16"/>
          <w:szCs w:val="16"/>
        </w:rPr>
        <w:br/>
      </w:r>
      <w:r w:rsidRPr="00627BD4">
        <w:rPr>
          <w:rFonts w:ascii="Verdana" w:hAnsi="Verdana"/>
          <w:iCs/>
          <w:sz w:val="16"/>
          <w:szCs w:val="16"/>
        </w:rPr>
        <w:t xml:space="preserve">z początkiem drugiego kwartału 2020 r. </w:t>
      </w:r>
      <w:r>
        <w:rPr>
          <w:rFonts w:ascii="Verdana" w:hAnsi="Verdana"/>
          <w:iCs/>
          <w:sz w:val="16"/>
          <w:szCs w:val="16"/>
        </w:rPr>
        <w:t>miało miejsce</w:t>
      </w:r>
      <w:r w:rsidRPr="00627BD4">
        <w:rPr>
          <w:rFonts w:ascii="Verdana" w:hAnsi="Verdana"/>
          <w:iCs/>
          <w:sz w:val="16"/>
          <w:szCs w:val="16"/>
        </w:rPr>
        <w:t xml:space="preserve"> pogorszenie sytuacji dochodowej podatników, co </w:t>
      </w:r>
      <w:r>
        <w:rPr>
          <w:rFonts w:ascii="Verdana" w:hAnsi="Verdana"/>
          <w:iCs/>
          <w:sz w:val="16"/>
          <w:szCs w:val="16"/>
        </w:rPr>
        <w:t>przełożyło</w:t>
      </w:r>
      <w:r w:rsidRPr="00627BD4">
        <w:rPr>
          <w:rFonts w:ascii="Verdana" w:hAnsi="Verdana"/>
          <w:iCs/>
          <w:sz w:val="16"/>
          <w:szCs w:val="16"/>
        </w:rPr>
        <w:t xml:space="preserve"> się na spadek Produktu Krajowego Brutto w skali kraju, a w rezultacie na ubytek dochodów budżetowych </w:t>
      </w:r>
      <w:r>
        <w:rPr>
          <w:rFonts w:ascii="Verdana" w:hAnsi="Verdana"/>
          <w:iCs/>
          <w:sz w:val="16"/>
          <w:szCs w:val="16"/>
        </w:rPr>
        <w:br/>
      </w:r>
      <w:r w:rsidRPr="00627BD4">
        <w:rPr>
          <w:rFonts w:ascii="Verdana" w:hAnsi="Verdana"/>
          <w:iCs/>
          <w:sz w:val="16"/>
          <w:szCs w:val="16"/>
        </w:rPr>
        <w:t>m.st. Warszawy.</w:t>
      </w:r>
      <w:r>
        <w:rPr>
          <w:rFonts w:ascii="Verdana" w:hAnsi="Verdana"/>
          <w:iCs/>
          <w:sz w:val="16"/>
          <w:szCs w:val="16"/>
        </w:rPr>
        <w:t xml:space="preserve"> Z podsumowania wyników budżetowych m.st. Warszawy za 2020 r. przedstawionego w rocznym sprawozdaniu z wykonania budżetu wynika, iż </w:t>
      </w:r>
      <w:r>
        <w:rPr>
          <w:rFonts w:ascii="Verdana" w:hAnsi="Verdana"/>
          <w:b/>
          <w:sz w:val="16"/>
          <w:szCs w:val="16"/>
        </w:rPr>
        <w:t>u</w:t>
      </w:r>
      <w:r w:rsidRPr="00F722AB">
        <w:rPr>
          <w:rFonts w:ascii="Verdana" w:hAnsi="Verdana"/>
          <w:b/>
          <w:sz w:val="16"/>
          <w:szCs w:val="16"/>
        </w:rPr>
        <w:t>bytek dochodów m.st. Warszawy w związku z sytuacją społeczno-gospodarczą wy</w:t>
      </w:r>
      <w:r>
        <w:rPr>
          <w:rFonts w:ascii="Verdana" w:hAnsi="Verdana"/>
          <w:b/>
          <w:sz w:val="16"/>
          <w:szCs w:val="16"/>
        </w:rPr>
        <w:t>wołaną epidemią wyniósł 1,16</w:t>
      </w:r>
      <w:r w:rsidRPr="00F722AB">
        <w:rPr>
          <w:rFonts w:ascii="Verdana" w:hAnsi="Verdana"/>
          <w:b/>
          <w:sz w:val="16"/>
          <w:szCs w:val="16"/>
        </w:rPr>
        <w:t>2 mld zł. Jednocześnie na działania związane z COVID-19 uzyskano dochody w łącznej kwocie 144,4 mln zł</w:t>
      </w:r>
      <w:r>
        <w:rPr>
          <w:rFonts w:ascii="Verdana" w:hAnsi="Verdana"/>
          <w:sz w:val="16"/>
          <w:szCs w:val="16"/>
        </w:rPr>
        <w:t xml:space="preserve">, w tym 93,5 mln zł z Rządowego Funduszu Inwestycji Lokalnych. Zgodnie z informacjami przekazanymi przez dysponentów budżetowych w ramach wdrożonego w m.st. Warszawie nowego systemu sprawozdawczego dotyczącego skutków finansowych będących konsekwencją pandemii COVID-19, </w:t>
      </w:r>
      <w:r w:rsidRPr="009A49BF">
        <w:rPr>
          <w:rFonts w:ascii="Verdana" w:hAnsi="Verdana"/>
          <w:b/>
          <w:sz w:val="16"/>
          <w:szCs w:val="16"/>
        </w:rPr>
        <w:t xml:space="preserve">w ramach wydatków poniesionych w 2020 r. na działania związane </w:t>
      </w:r>
      <w:r>
        <w:rPr>
          <w:rFonts w:ascii="Verdana" w:hAnsi="Verdana"/>
          <w:b/>
          <w:sz w:val="16"/>
          <w:szCs w:val="16"/>
        </w:rPr>
        <w:br/>
      </w:r>
      <w:r w:rsidRPr="009A49BF">
        <w:rPr>
          <w:rFonts w:ascii="Verdana" w:hAnsi="Verdana"/>
          <w:b/>
          <w:sz w:val="16"/>
          <w:szCs w:val="16"/>
        </w:rPr>
        <w:t>z przeciwdziałaniem i usuwaniem skutków</w:t>
      </w:r>
      <w:r>
        <w:rPr>
          <w:rFonts w:ascii="Verdana" w:hAnsi="Verdana"/>
          <w:b/>
          <w:sz w:val="16"/>
          <w:szCs w:val="16"/>
        </w:rPr>
        <w:t xml:space="preserve"> COVID-19 wydatkowano kwotę 144,9</w:t>
      </w:r>
      <w:r w:rsidRPr="009A49BF">
        <w:rPr>
          <w:rFonts w:ascii="Verdana" w:hAnsi="Verdana"/>
          <w:b/>
          <w:sz w:val="16"/>
          <w:szCs w:val="16"/>
        </w:rPr>
        <w:t xml:space="preserve"> mln zł</w:t>
      </w:r>
      <w:r>
        <w:rPr>
          <w:rFonts w:ascii="Verdana" w:hAnsi="Verdana"/>
          <w:sz w:val="16"/>
          <w:szCs w:val="16"/>
        </w:rPr>
        <w:t xml:space="preserve">. Z zestawienia powyższych kwot wynika, że w ujęciu netto </w:t>
      </w:r>
      <w:r w:rsidRPr="00F722AB">
        <w:rPr>
          <w:rFonts w:ascii="Verdana" w:hAnsi="Verdana"/>
          <w:b/>
          <w:sz w:val="16"/>
          <w:szCs w:val="16"/>
        </w:rPr>
        <w:t xml:space="preserve">negatywny wpływ COVID-19 na budżet m.st. Warszawy </w:t>
      </w:r>
      <w:r>
        <w:rPr>
          <w:rFonts w:ascii="Verdana" w:hAnsi="Verdana"/>
          <w:b/>
          <w:sz w:val="16"/>
          <w:szCs w:val="16"/>
        </w:rPr>
        <w:br/>
        <w:t>w 2020 r. zamknął się kwotą 1,162</w:t>
      </w:r>
      <w:r w:rsidRPr="00F722AB">
        <w:rPr>
          <w:rFonts w:ascii="Verdana" w:hAnsi="Verdana"/>
          <w:b/>
          <w:sz w:val="16"/>
          <w:szCs w:val="16"/>
        </w:rPr>
        <w:t xml:space="preserve"> mld zł</w:t>
      </w:r>
      <w:r>
        <w:rPr>
          <w:rFonts w:ascii="Verdana" w:hAnsi="Verdana"/>
          <w:sz w:val="16"/>
          <w:szCs w:val="16"/>
        </w:rPr>
        <w:t>.</w:t>
      </w:r>
    </w:p>
    <w:p w:rsidR="007F07DD" w:rsidRPr="00E41F06" w:rsidRDefault="007F07DD" w:rsidP="007F07DD">
      <w:pPr>
        <w:spacing w:before="60" w:after="60"/>
        <w:ind w:firstLine="567"/>
        <w:jc w:val="both"/>
        <w:rPr>
          <w:rFonts w:ascii="Verdana" w:hAnsi="Verdana"/>
          <w:iCs/>
          <w:sz w:val="16"/>
          <w:szCs w:val="16"/>
        </w:rPr>
      </w:pPr>
      <w:r>
        <w:rPr>
          <w:rFonts w:ascii="Verdana" w:hAnsi="Verdana"/>
          <w:sz w:val="16"/>
          <w:szCs w:val="16"/>
        </w:rPr>
        <w:t xml:space="preserve">Negatywny wpływ pandemii na sytuację budżetową m.st. Warszawy obserwowany jest także w 2021 r. Zgodnie z </w:t>
      </w:r>
      <w:r w:rsidRPr="00E41F06">
        <w:rPr>
          <w:rFonts w:ascii="Verdana" w:hAnsi="Verdana"/>
          <w:i/>
          <w:sz w:val="16"/>
          <w:szCs w:val="16"/>
        </w:rPr>
        <w:t>Informacją o przebiegu wykonania budżetu za I półrocze 2021 r.</w:t>
      </w:r>
      <w:r>
        <w:rPr>
          <w:rFonts w:ascii="Verdana" w:hAnsi="Verdana"/>
          <w:sz w:val="16"/>
          <w:szCs w:val="16"/>
        </w:rPr>
        <w:t xml:space="preserve"> w</w:t>
      </w:r>
      <w:r w:rsidRPr="006E3C03">
        <w:rPr>
          <w:rFonts w:ascii="Verdana" w:hAnsi="Verdana"/>
          <w:sz w:val="16"/>
          <w:szCs w:val="16"/>
        </w:rPr>
        <w:t xml:space="preserve"> </w:t>
      </w:r>
      <w:r>
        <w:rPr>
          <w:rFonts w:ascii="Verdana" w:hAnsi="Verdana"/>
          <w:sz w:val="16"/>
          <w:szCs w:val="16"/>
        </w:rPr>
        <w:t>I</w:t>
      </w:r>
      <w:r w:rsidRPr="006E3C03">
        <w:rPr>
          <w:rFonts w:ascii="Verdana" w:hAnsi="Verdana"/>
          <w:sz w:val="16"/>
          <w:szCs w:val="16"/>
        </w:rPr>
        <w:t xml:space="preserve"> półroczu </w:t>
      </w:r>
      <w:r w:rsidRPr="00AB214E">
        <w:rPr>
          <w:rFonts w:ascii="Verdana" w:eastAsiaTheme="minorEastAsia" w:hAnsi="Verdana" w:cs="Verdana"/>
          <w:color w:val="000000"/>
          <w:sz w:val="16"/>
          <w:szCs w:val="16"/>
        </w:rPr>
        <w:t>2021</w:t>
      </w:r>
      <w:r w:rsidRPr="006E3C03">
        <w:rPr>
          <w:rFonts w:ascii="Verdana" w:hAnsi="Verdana"/>
          <w:sz w:val="16"/>
          <w:szCs w:val="16"/>
        </w:rPr>
        <w:t xml:space="preserve"> r. na działania związane z przeciwdziałaniem i usuwaniem skutków COVID-19 </w:t>
      </w:r>
      <w:r w:rsidRPr="00E41F06">
        <w:rPr>
          <w:rFonts w:ascii="Verdana" w:hAnsi="Verdana"/>
          <w:b/>
          <w:sz w:val="16"/>
          <w:szCs w:val="16"/>
        </w:rPr>
        <w:t>uzyskano dochody w kwocie</w:t>
      </w:r>
      <w:r>
        <w:rPr>
          <w:rFonts w:ascii="Verdana" w:hAnsi="Verdana"/>
          <w:b/>
          <w:sz w:val="16"/>
          <w:szCs w:val="16"/>
        </w:rPr>
        <w:t xml:space="preserve"> 5,7</w:t>
      </w:r>
      <w:r w:rsidRPr="00FC068F">
        <w:rPr>
          <w:rFonts w:ascii="Verdana" w:hAnsi="Verdana"/>
          <w:b/>
          <w:sz w:val="16"/>
          <w:szCs w:val="16"/>
        </w:rPr>
        <w:t xml:space="preserve"> mln zł</w:t>
      </w:r>
      <w:r w:rsidRPr="006E3C03">
        <w:rPr>
          <w:rFonts w:ascii="Verdana" w:hAnsi="Verdana"/>
          <w:sz w:val="16"/>
          <w:szCs w:val="16"/>
        </w:rPr>
        <w:t>.</w:t>
      </w:r>
      <w:r>
        <w:rPr>
          <w:rFonts w:ascii="Verdana" w:hAnsi="Verdana"/>
          <w:sz w:val="16"/>
          <w:szCs w:val="16"/>
        </w:rPr>
        <w:t xml:space="preserve"> Według danych przekazanych przez dysponentów budżetowych, </w:t>
      </w:r>
      <w:r w:rsidRPr="00A30F36">
        <w:rPr>
          <w:rFonts w:ascii="Verdana" w:hAnsi="Verdana"/>
          <w:b/>
          <w:sz w:val="16"/>
          <w:szCs w:val="16"/>
        </w:rPr>
        <w:t xml:space="preserve">w </w:t>
      </w:r>
      <w:r w:rsidRPr="00FC068F">
        <w:rPr>
          <w:rFonts w:ascii="Verdana" w:hAnsi="Verdana"/>
          <w:b/>
          <w:sz w:val="16"/>
          <w:szCs w:val="16"/>
        </w:rPr>
        <w:t xml:space="preserve">ramach wydatków poniesionych </w:t>
      </w:r>
      <w:r>
        <w:rPr>
          <w:rFonts w:ascii="Verdana" w:hAnsi="Verdana"/>
          <w:b/>
          <w:sz w:val="16"/>
          <w:szCs w:val="16"/>
        </w:rPr>
        <w:br/>
      </w:r>
      <w:r w:rsidRPr="00FC068F">
        <w:rPr>
          <w:rFonts w:ascii="Verdana" w:hAnsi="Verdana"/>
          <w:b/>
          <w:sz w:val="16"/>
          <w:szCs w:val="16"/>
        </w:rPr>
        <w:t xml:space="preserve">w </w:t>
      </w:r>
      <w:r>
        <w:rPr>
          <w:rFonts w:ascii="Verdana" w:hAnsi="Verdana"/>
          <w:b/>
          <w:sz w:val="16"/>
          <w:szCs w:val="16"/>
        </w:rPr>
        <w:t>I półroczu 2021</w:t>
      </w:r>
      <w:r w:rsidRPr="00FC068F">
        <w:rPr>
          <w:rFonts w:ascii="Verdana" w:hAnsi="Verdana"/>
          <w:b/>
          <w:sz w:val="16"/>
          <w:szCs w:val="16"/>
        </w:rPr>
        <w:t xml:space="preserve"> r. na działania związane z przeciwdziałaniem i usuwaniem skutków</w:t>
      </w:r>
      <w:r>
        <w:rPr>
          <w:rFonts w:ascii="Verdana" w:hAnsi="Verdana"/>
          <w:b/>
          <w:sz w:val="16"/>
          <w:szCs w:val="16"/>
        </w:rPr>
        <w:t xml:space="preserve"> COVID-19 wydatkowano kwotę 47,9</w:t>
      </w:r>
      <w:r w:rsidRPr="00FC068F">
        <w:rPr>
          <w:rFonts w:ascii="Verdana" w:hAnsi="Verdana"/>
          <w:b/>
          <w:sz w:val="16"/>
          <w:szCs w:val="16"/>
        </w:rPr>
        <w:t xml:space="preserve"> mln zł</w:t>
      </w:r>
      <w:r w:rsidRPr="009370A1">
        <w:rPr>
          <w:rFonts w:ascii="Verdana" w:hAnsi="Verdana"/>
          <w:sz w:val="16"/>
          <w:szCs w:val="16"/>
        </w:rPr>
        <w:t>,</w:t>
      </w:r>
      <w:r>
        <w:rPr>
          <w:rFonts w:ascii="Verdana" w:hAnsi="Verdana"/>
          <w:b/>
          <w:sz w:val="16"/>
          <w:szCs w:val="16"/>
        </w:rPr>
        <w:t xml:space="preserve"> </w:t>
      </w:r>
      <w:r w:rsidRPr="004F082D">
        <w:rPr>
          <w:rFonts w:ascii="Verdana" w:hAnsi="Verdana"/>
          <w:sz w:val="16"/>
          <w:szCs w:val="16"/>
        </w:rPr>
        <w:t xml:space="preserve">z tego kwotę </w:t>
      </w:r>
      <w:r>
        <w:rPr>
          <w:rFonts w:ascii="Verdana" w:hAnsi="Verdana"/>
          <w:b/>
          <w:sz w:val="16"/>
          <w:szCs w:val="16"/>
        </w:rPr>
        <w:t>14,7</w:t>
      </w:r>
      <w:r w:rsidRPr="004F082D">
        <w:rPr>
          <w:rFonts w:ascii="Verdana" w:hAnsi="Verdana"/>
          <w:b/>
          <w:sz w:val="16"/>
          <w:szCs w:val="16"/>
        </w:rPr>
        <w:t xml:space="preserve"> mln zł</w:t>
      </w:r>
      <w:r w:rsidRPr="004F082D">
        <w:rPr>
          <w:rFonts w:ascii="Verdana" w:hAnsi="Verdana"/>
          <w:sz w:val="16"/>
          <w:szCs w:val="16"/>
        </w:rPr>
        <w:t xml:space="preserve"> w ramach wydatków bieżących i kwotę </w:t>
      </w:r>
      <w:r>
        <w:rPr>
          <w:rFonts w:ascii="Verdana" w:hAnsi="Verdana"/>
          <w:sz w:val="16"/>
          <w:szCs w:val="16"/>
        </w:rPr>
        <w:br/>
      </w:r>
      <w:r>
        <w:rPr>
          <w:rFonts w:ascii="Verdana" w:hAnsi="Verdana"/>
          <w:b/>
          <w:sz w:val="16"/>
          <w:szCs w:val="16"/>
        </w:rPr>
        <w:t>33,2</w:t>
      </w:r>
      <w:r w:rsidRPr="004F082D">
        <w:rPr>
          <w:rFonts w:ascii="Verdana" w:hAnsi="Verdana"/>
          <w:b/>
          <w:sz w:val="16"/>
          <w:szCs w:val="16"/>
        </w:rPr>
        <w:t xml:space="preserve"> mln zł</w:t>
      </w:r>
      <w:r>
        <w:rPr>
          <w:rFonts w:ascii="Verdana" w:hAnsi="Verdana"/>
          <w:sz w:val="16"/>
          <w:szCs w:val="16"/>
        </w:rPr>
        <w:t xml:space="preserve"> w ramach wydatków majątkowych, z czego wydatki majątkowe w kwocie </w:t>
      </w:r>
      <w:r>
        <w:rPr>
          <w:rFonts w:ascii="Verdana" w:hAnsi="Verdana"/>
          <w:b/>
          <w:sz w:val="16"/>
          <w:szCs w:val="16"/>
        </w:rPr>
        <w:t>16,7</w:t>
      </w:r>
      <w:r w:rsidRPr="00D8199F">
        <w:rPr>
          <w:rFonts w:ascii="Verdana" w:hAnsi="Verdana"/>
          <w:b/>
          <w:sz w:val="16"/>
          <w:szCs w:val="16"/>
        </w:rPr>
        <w:t xml:space="preserve"> mln zł</w:t>
      </w:r>
      <w:r>
        <w:rPr>
          <w:rFonts w:ascii="Verdana" w:hAnsi="Verdana"/>
          <w:sz w:val="16"/>
          <w:szCs w:val="16"/>
        </w:rPr>
        <w:t xml:space="preserve"> dotyczyły środków otrzymanych w 2020 r. z Rządowego Funduszu Inwestycji Lokalnych</w:t>
      </w:r>
      <w:r w:rsidRPr="006E3C03">
        <w:rPr>
          <w:rFonts w:ascii="Verdana" w:hAnsi="Verdana"/>
          <w:sz w:val="16"/>
          <w:szCs w:val="16"/>
        </w:rPr>
        <w:t>.</w:t>
      </w:r>
      <w:r>
        <w:rPr>
          <w:rFonts w:ascii="Verdana" w:hAnsi="Verdana"/>
          <w:sz w:val="16"/>
          <w:szCs w:val="16"/>
        </w:rPr>
        <w:t xml:space="preserve"> Niektóre źródła dochodów nadal nie odbudowały swoich pozycji sprzed pandemii. Przede wszystkim należy tu wymienić dochody ze sprzedaży </w:t>
      </w:r>
      <w:r>
        <w:rPr>
          <w:rFonts w:ascii="Verdana" w:hAnsi="Verdana"/>
          <w:sz w:val="16"/>
          <w:szCs w:val="16"/>
        </w:rPr>
        <w:lastRenderedPageBreak/>
        <w:t xml:space="preserve">biletów komunikacji miejskiej, w przypadku których wpływy po 9 miesiącach 2021 r. są niższe o </w:t>
      </w:r>
      <w:r w:rsidRPr="00FA3267">
        <w:rPr>
          <w:rFonts w:ascii="Verdana" w:hAnsi="Verdana"/>
          <w:b/>
          <w:sz w:val="16"/>
          <w:szCs w:val="16"/>
        </w:rPr>
        <w:t>5,4%</w:t>
      </w:r>
      <w:r>
        <w:rPr>
          <w:rFonts w:ascii="Verdana" w:hAnsi="Verdana"/>
          <w:sz w:val="16"/>
          <w:szCs w:val="16"/>
        </w:rPr>
        <w:t xml:space="preserve"> </w:t>
      </w:r>
      <w:r>
        <w:rPr>
          <w:rFonts w:ascii="Verdana" w:hAnsi="Verdana"/>
          <w:sz w:val="16"/>
          <w:szCs w:val="16"/>
        </w:rPr>
        <w:br/>
        <w:t xml:space="preserve">w porównaniu z analogicznym okresem 2020 r. i aż o </w:t>
      </w:r>
      <w:r w:rsidRPr="00FA3267">
        <w:rPr>
          <w:rFonts w:ascii="Verdana" w:hAnsi="Verdana"/>
          <w:b/>
          <w:sz w:val="16"/>
          <w:szCs w:val="16"/>
        </w:rPr>
        <w:t>36</w:t>
      </w:r>
      <w:r>
        <w:rPr>
          <w:rFonts w:ascii="Verdana" w:hAnsi="Verdana"/>
          <w:b/>
          <w:sz w:val="16"/>
          <w:szCs w:val="16"/>
        </w:rPr>
        <w:t>,1</w:t>
      </w:r>
      <w:r w:rsidRPr="00FA3267">
        <w:rPr>
          <w:rFonts w:ascii="Verdana" w:hAnsi="Verdana"/>
          <w:b/>
          <w:sz w:val="16"/>
          <w:szCs w:val="16"/>
        </w:rPr>
        <w:t>%</w:t>
      </w:r>
      <w:r>
        <w:rPr>
          <w:rFonts w:ascii="Verdana" w:hAnsi="Verdana"/>
          <w:sz w:val="16"/>
          <w:szCs w:val="16"/>
        </w:rPr>
        <w:t xml:space="preserve"> niższe w odniesieniu do porównywalnego okresu 2019 r. Dochody z najmu lokali użytkowych również odnotowują regres w zestawieniu z czasem </w:t>
      </w:r>
      <w:proofErr w:type="spellStart"/>
      <w:r>
        <w:rPr>
          <w:rFonts w:ascii="Verdana" w:hAnsi="Verdana"/>
          <w:sz w:val="16"/>
          <w:szCs w:val="16"/>
        </w:rPr>
        <w:t>przedpandemicznym</w:t>
      </w:r>
      <w:proofErr w:type="spellEnd"/>
      <w:r>
        <w:rPr>
          <w:rFonts w:ascii="Verdana" w:hAnsi="Verdana"/>
          <w:sz w:val="16"/>
          <w:szCs w:val="16"/>
        </w:rPr>
        <w:t xml:space="preserve">. W tym przypadku wyniki za 9 miesięcy 2021 r. w porównaniu do tego samego okresu </w:t>
      </w:r>
      <w:r>
        <w:rPr>
          <w:rFonts w:ascii="Verdana" w:hAnsi="Verdana"/>
          <w:sz w:val="16"/>
          <w:szCs w:val="16"/>
        </w:rPr>
        <w:br/>
        <w:t xml:space="preserve">2020 r. przynoszą co prawda wzrost o </w:t>
      </w:r>
      <w:r w:rsidRPr="00AB14D6">
        <w:rPr>
          <w:rFonts w:ascii="Verdana" w:hAnsi="Verdana"/>
          <w:b/>
          <w:sz w:val="16"/>
          <w:szCs w:val="16"/>
        </w:rPr>
        <w:t>3,3%</w:t>
      </w:r>
      <w:r>
        <w:rPr>
          <w:rFonts w:ascii="Verdana" w:hAnsi="Verdana"/>
          <w:sz w:val="16"/>
          <w:szCs w:val="16"/>
        </w:rPr>
        <w:t xml:space="preserve">, natomiast w na tle analogicznego okresu 2019 r. oznacza to spadek wpływów o </w:t>
      </w:r>
      <w:r w:rsidRPr="00B03616">
        <w:rPr>
          <w:rFonts w:ascii="Verdana" w:hAnsi="Verdana"/>
          <w:b/>
          <w:sz w:val="16"/>
          <w:szCs w:val="16"/>
        </w:rPr>
        <w:t>18,4%</w:t>
      </w:r>
      <w:r>
        <w:rPr>
          <w:rFonts w:ascii="Verdana" w:hAnsi="Verdana"/>
          <w:sz w:val="16"/>
          <w:szCs w:val="16"/>
        </w:rPr>
        <w:t>. Podsumowanie całego 2021 r. w zakresie wpływu pandemii na budżet Miasta zostanie zaprezentowane w sprawozdaniu rocznym z wykonania budżetu.</w:t>
      </w:r>
    </w:p>
    <w:p w:rsidR="007F07DD" w:rsidRPr="000A6485" w:rsidRDefault="007F07DD" w:rsidP="007F07DD">
      <w:pPr>
        <w:spacing w:before="240" w:after="240" w:line="240" w:lineRule="auto"/>
        <w:ind w:left="425" w:hanging="425"/>
        <w:rPr>
          <w:rFonts w:ascii="Verdana" w:hAnsi="Verdana"/>
          <w:b/>
          <w:bCs/>
          <w:sz w:val="20"/>
          <w:szCs w:val="20"/>
        </w:rPr>
      </w:pPr>
      <w:r w:rsidRPr="000A6485">
        <w:rPr>
          <w:rFonts w:ascii="Verdana" w:hAnsi="Verdana"/>
          <w:b/>
          <w:bCs/>
          <w:sz w:val="20"/>
          <w:szCs w:val="20"/>
        </w:rPr>
        <w:t>5.</w:t>
      </w:r>
      <w:r>
        <w:rPr>
          <w:rFonts w:ascii="Verdana" w:hAnsi="Verdana"/>
          <w:b/>
          <w:bCs/>
          <w:sz w:val="20"/>
          <w:szCs w:val="20"/>
        </w:rPr>
        <w:t>3</w:t>
      </w:r>
      <w:r w:rsidRPr="000A6485">
        <w:rPr>
          <w:rFonts w:ascii="Verdana" w:hAnsi="Verdana"/>
          <w:b/>
          <w:bCs/>
          <w:sz w:val="20"/>
          <w:szCs w:val="20"/>
        </w:rPr>
        <w:t xml:space="preserve"> Program przeciwdziałania narastaniu deficytu operacyjnego poprzez racjonalizację wydatków bieżących</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Realizacja celów polityki budżetowej Miasta, w tym m.in. generowanie nadwyżki operacyjnej, wymaga </w:t>
      </w:r>
      <w:r w:rsidRPr="000A6485">
        <w:rPr>
          <w:rFonts w:ascii="Verdana" w:hAnsi="Verdana"/>
          <w:b/>
          <w:sz w:val="16"/>
          <w:szCs w:val="16"/>
        </w:rPr>
        <w:t>stałego monitorowania</w:t>
      </w:r>
      <w:r w:rsidRPr="000A6485">
        <w:rPr>
          <w:rFonts w:ascii="Verdana" w:hAnsi="Verdana"/>
          <w:b/>
          <w:bCs/>
          <w:sz w:val="16"/>
          <w:szCs w:val="16"/>
        </w:rPr>
        <w:t xml:space="preserve"> wydatków bieżących</w:t>
      </w:r>
      <w:r w:rsidRPr="000A6485">
        <w:rPr>
          <w:rFonts w:ascii="Verdana" w:hAnsi="Verdana"/>
          <w:sz w:val="16"/>
          <w:szCs w:val="16"/>
        </w:rPr>
        <w:t xml:space="preserve">. Zakłada się kontynuację działań efektywnościowych </w:t>
      </w:r>
      <w:r w:rsidRPr="000A6485">
        <w:rPr>
          <w:rFonts w:ascii="Verdana" w:hAnsi="Verdana"/>
          <w:sz w:val="16"/>
          <w:szCs w:val="16"/>
        </w:rPr>
        <w:br/>
        <w:t>w obszarach, na które Miasto ma wpływ.</w:t>
      </w:r>
    </w:p>
    <w:p w:rsidR="007F07DD" w:rsidRPr="000A6485" w:rsidRDefault="007F07DD" w:rsidP="007F07DD">
      <w:pPr>
        <w:autoSpaceDE w:val="0"/>
        <w:autoSpaceDN w:val="0"/>
        <w:adjustRightInd w:val="0"/>
        <w:spacing w:before="60" w:after="60"/>
        <w:jc w:val="both"/>
        <w:rPr>
          <w:rFonts w:ascii="Verdana" w:hAnsi="Verdana" w:cs="Verdana"/>
          <w:sz w:val="16"/>
          <w:szCs w:val="16"/>
        </w:rPr>
      </w:pPr>
      <w:r w:rsidRPr="00D44050">
        <w:rPr>
          <w:rFonts w:ascii="Verdana" w:hAnsi="Verdana" w:cs="Verdana"/>
          <w:sz w:val="16"/>
          <w:szCs w:val="16"/>
        </w:rPr>
        <w:t>W dalszym ciągu podejmowane</w:t>
      </w:r>
      <w:r w:rsidRPr="000A6485">
        <w:rPr>
          <w:rFonts w:ascii="Verdana" w:hAnsi="Verdana" w:cs="Verdana"/>
          <w:sz w:val="16"/>
          <w:szCs w:val="16"/>
        </w:rPr>
        <w:t xml:space="preserve"> będą inicjatywy sprzyjające efektywności zarządzania i wydatkowania środków publicznych oraz przejrzystości finansów Miasta z wykorzystaniem nowoczesnych narzędzi zarządzania, </w:t>
      </w:r>
      <w:r>
        <w:rPr>
          <w:rFonts w:ascii="Verdana" w:hAnsi="Verdana" w:cs="Verdana"/>
          <w:sz w:val="16"/>
          <w:szCs w:val="16"/>
        </w:rPr>
        <w:br/>
      </w:r>
      <w:r w:rsidRPr="000A6485">
        <w:rPr>
          <w:rFonts w:ascii="Verdana" w:hAnsi="Verdana" w:cs="Verdana"/>
          <w:sz w:val="16"/>
          <w:szCs w:val="16"/>
        </w:rPr>
        <w:t xml:space="preserve">tj. budżetowania zadaniowego, wzmocnienia kontroli zarządczej i audytu wewnętrznego, z wykorzystaniem mierników oceny efektów działalności stanowiących zobiektywizowane narzędzia pomiaru stopnia realizacji celów zadań, pozwalających na lepsze porównanie uzyskanych wyników w czasie, jak też dokonanie porównań między jednostkami organizacyjnymi Miasta. Ważnym instrumentem w aspekcie kreowania i realizacji polityki rozwoju Miasta pozostanie Wieloletnia Prognoza Finansowa jako podstawa formalno-prawna i ekonomiczno-finansowa </w:t>
      </w:r>
      <w:r w:rsidRPr="000A6485">
        <w:rPr>
          <w:rFonts w:ascii="Verdana" w:hAnsi="Verdana" w:cs="Verdana"/>
          <w:sz w:val="16"/>
          <w:szCs w:val="16"/>
        </w:rPr>
        <w:br/>
        <w:t>do zaciągania zobowiązań długoterminowych.</w:t>
      </w:r>
    </w:p>
    <w:p w:rsidR="007F07DD" w:rsidRPr="000A6485" w:rsidRDefault="007F07DD" w:rsidP="007F07DD">
      <w:pPr>
        <w:autoSpaceDE w:val="0"/>
        <w:autoSpaceDN w:val="0"/>
        <w:adjustRightInd w:val="0"/>
        <w:spacing w:before="60" w:after="60"/>
        <w:jc w:val="both"/>
        <w:rPr>
          <w:rFonts w:ascii="Verdana" w:hAnsi="Verdana" w:cs="Verdana"/>
          <w:sz w:val="16"/>
          <w:szCs w:val="16"/>
        </w:rPr>
      </w:pPr>
      <w:r w:rsidRPr="000A6485">
        <w:rPr>
          <w:rFonts w:ascii="Verdana" w:hAnsi="Verdana" w:cs="Verdana"/>
          <w:sz w:val="16"/>
          <w:szCs w:val="16"/>
        </w:rPr>
        <w:t>Kontynuowane będą działania oszczędnościowe i racjonalizujące wydatki bieżące z wykorzystaniem efektu skali, takie jak: wspólne zakupy materiałów biurowych, wspólne ubezpieczenie mienia Warszawy, jak też działanie Warszawskiej Grupy Zakupowej dotyczące zakupu energii elektrycznej na potrzeby jednostek organizacyjnych Miasta oraz podmiotów, dla których Miasto pełni funkcję właściciela oraz organizatora, tj. szkół, przedszkoli, bibliotek, ośrodków pomocy społecznej i innych.</w:t>
      </w:r>
    </w:p>
    <w:p w:rsidR="007F07DD" w:rsidRDefault="007F07DD" w:rsidP="007F07DD">
      <w:pPr>
        <w:autoSpaceDE w:val="0"/>
        <w:autoSpaceDN w:val="0"/>
        <w:adjustRightInd w:val="0"/>
        <w:spacing w:before="60" w:after="60"/>
        <w:ind w:firstLine="567"/>
        <w:jc w:val="both"/>
        <w:rPr>
          <w:rFonts w:ascii="Verdana" w:hAnsi="Verdana"/>
          <w:sz w:val="16"/>
          <w:szCs w:val="16"/>
        </w:rPr>
      </w:pPr>
      <w:r w:rsidRPr="000A6485">
        <w:rPr>
          <w:rFonts w:ascii="Verdana" w:hAnsi="Verdana" w:cs="Verdana"/>
          <w:sz w:val="16"/>
          <w:szCs w:val="16"/>
        </w:rPr>
        <w:t xml:space="preserve">Konieczność generowania nadwyżek operacyjnych stanowić będzie wyzwanie dla budżetu </w:t>
      </w:r>
      <w:r w:rsidRPr="000A6485">
        <w:rPr>
          <w:rFonts w:ascii="Verdana" w:hAnsi="Verdana" w:cs="Verdana"/>
          <w:sz w:val="16"/>
          <w:szCs w:val="16"/>
        </w:rPr>
        <w:br/>
        <w:t>m.st. Warszawy w kontekście relatywnie wysokiego udziału w ramach wydatków bieżących wydatków obligatoryjnych określonych ustawami oraz zawartymi umowami. Pełne finansowanie muszą mieć zapewnione m.in. takie wydatki, jak: wpłata do budżetu państwa na subwencję równoważącą, tj. tzw. Janosikowe, koszty zakupu usług komunikacji miejskiej, uposażenia nauczycieli, koszty obsługi długu, środki na potencjalne spłaty udzielonych przez Miasto poręczeń i gwarancji.</w:t>
      </w:r>
    </w:p>
    <w:p w:rsidR="007F07DD" w:rsidRDefault="007F07DD" w:rsidP="007F07DD">
      <w:pPr>
        <w:spacing w:before="240" w:after="240"/>
        <w:rPr>
          <w:rFonts w:ascii="Verdana" w:hAnsi="Verdana"/>
          <w:b/>
          <w:bCs/>
          <w:sz w:val="20"/>
          <w:szCs w:val="20"/>
        </w:rPr>
      </w:pPr>
      <w:r w:rsidRPr="000A6485">
        <w:rPr>
          <w:rFonts w:ascii="Verdana" w:hAnsi="Verdana"/>
          <w:b/>
          <w:bCs/>
          <w:sz w:val="20"/>
          <w:szCs w:val="20"/>
        </w:rPr>
        <w:t>5.</w:t>
      </w:r>
      <w:r>
        <w:rPr>
          <w:rFonts w:ascii="Verdana" w:hAnsi="Verdana"/>
          <w:b/>
          <w:bCs/>
          <w:sz w:val="20"/>
          <w:szCs w:val="20"/>
        </w:rPr>
        <w:t>4</w:t>
      </w:r>
      <w:r w:rsidRPr="000A6485">
        <w:rPr>
          <w:rFonts w:ascii="Verdana" w:hAnsi="Verdana"/>
          <w:b/>
          <w:bCs/>
          <w:sz w:val="20"/>
          <w:szCs w:val="20"/>
        </w:rPr>
        <w:t xml:space="preserve"> Program redukcji deficytu budżetowego</w:t>
      </w:r>
    </w:p>
    <w:p w:rsidR="007F07DD" w:rsidRPr="00B25A78" w:rsidRDefault="007F07DD" w:rsidP="007F07DD">
      <w:pPr>
        <w:spacing w:before="60" w:after="60"/>
        <w:ind w:firstLine="567"/>
        <w:jc w:val="both"/>
        <w:rPr>
          <w:rFonts w:ascii="Verdana" w:hAnsi="Verdana"/>
          <w:b/>
          <w:bCs/>
          <w:sz w:val="20"/>
          <w:szCs w:val="20"/>
        </w:rPr>
      </w:pPr>
      <w:r w:rsidRPr="000A6485">
        <w:rPr>
          <w:rFonts w:ascii="Verdana" w:hAnsi="Verdana" w:cs="Verdana"/>
          <w:sz w:val="16"/>
          <w:szCs w:val="16"/>
        </w:rPr>
        <w:t xml:space="preserve">Długofalowym kierunkiem polityki budżetowej będzie </w:t>
      </w:r>
      <w:r w:rsidRPr="000A6485">
        <w:rPr>
          <w:rFonts w:ascii="Verdana" w:hAnsi="Verdana" w:cs="Verdana"/>
          <w:b/>
          <w:sz w:val="16"/>
          <w:szCs w:val="16"/>
        </w:rPr>
        <w:t>stopniowe ograniczanie deficytu budżetowego</w:t>
      </w:r>
      <w:r w:rsidRPr="000A6485">
        <w:rPr>
          <w:rFonts w:ascii="Verdana" w:hAnsi="Verdana" w:cs="Verdana"/>
          <w:sz w:val="16"/>
          <w:szCs w:val="16"/>
        </w:rPr>
        <w:t xml:space="preserve"> z realizacją rozłożoną w czasie, tzn. w tempie i zakresie umożliwiającym maksymalne wykorzystanie środków </w:t>
      </w:r>
      <w:r>
        <w:rPr>
          <w:rFonts w:ascii="Verdana" w:hAnsi="Verdana" w:cs="Verdana"/>
          <w:sz w:val="16"/>
          <w:szCs w:val="16"/>
        </w:rPr>
        <w:br/>
      </w:r>
      <w:r w:rsidRPr="000A6485">
        <w:rPr>
          <w:rFonts w:ascii="Verdana" w:hAnsi="Verdana" w:cs="Verdana"/>
          <w:sz w:val="16"/>
          <w:szCs w:val="16"/>
        </w:rPr>
        <w:t>z budżetu Unii Europejskiej.</w:t>
      </w:r>
    </w:p>
    <w:p w:rsidR="007F07DD" w:rsidRPr="000A6485" w:rsidRDefault="007F07DD" w:rsidP="007F07DD">
      <w:pPr>
        <w:spacing w:before="60" w:after="60"/>
        <w:ind w:firstLine="540"/>
        <w:jc w:val="both"/>
        <w:rPr>
          <w:rFonts w:ascii="Verdana" w:hAnsi="Verdana"/>
          <w:sz w:val="18"/>
          <w:szCs w:val="18"/>
        </w:rPr>
      </w:pPr>
      <w:r w:rsidRPr="000A6485">
        <w:rPr>
          <w:rFonts w:ascii="Verdana" w:hAnsi="Verdana"/>
          <w:sz w:val="16"/>
          <w:szCs w:val="16"/>
        </w:rPr>
        <w:t>Zgodnie z tym programem począwszy od 202</w:t>
      </w:r>
      <w:r>
        <w:rPr>
          <w:rFonts w:ascii="Verdana" w:hAnsi="Verdana"/>
          <w:sz w:val="16"/>
          <w:szCs w:val="16"/>
        </w:rPr>
        <w:t>7</w:t>
      </w:r>
      <w:r w:rsidRPr="000A6485">
        <w:rPr>
          <w:rFonts w:ascii="Verdana" w:hAnsi="Verdana"/>
          <w:sz w:val="16"/>
          <w:szCs w:val="16"/>
        </w:rPr>
        <w:t xml:space="preserve"> r. planowane jest generowanie nadwyżek budżetowych rozumianych jako nadwyżka dochodów nad wydatkami, w związku z planowanymi spłatami zobowiązań dłużnych zaciąganych z przeznaczeniem na finansowanie inwestycji rozwojowych. </w:t>
      </w:r>
    </w:p>
    <w:p w:rsidR="007F07DD" w:rsidRPr="000A6485" w:rsidRDefault="007F07DD" w:rsidP="007F07DD">
      <w:pPr>
        <w:spacing w:before="240" w:after="240" w:line="240" w:lineRule="auto"/>
        <w:rPr>
          <w:rFonts w:ascii="Verdana" w:hAnsi="Verdana"/>
          <w:b/>
          <w:bCs/>
          <w:sz w:val="20"/>
          <w:szCs w:val="20"/>
        </w:rPr>
      </w:pPr>
      <w:r w:rsidRPr="000A6485">
        <w:rPr>
          <w:rFonts w:ascii="Verdana" w:hAnsi="Verdana"/>
          <w:b/>
          <w:bCs/>
          <w:sz w:val="20"/>
          <w:szCs w:val="20"/>
        </w:rPr>
        <w:t>5.</w:t>
      </w:r>
      <w:r>
        <w:rPr>
          <w:rFonts w:ascii="Verdana" w:hAnsi="Verdana"/>
          <w:b/>
          <w:bCs/>
          <w:sz w:val="20"/>
          <w:szCs w:val="20"/>
        </w:rPr>
        <w:t>5</w:t>
      </w:r>
      <w:r w:rsidRPr="000A6485">
        <w:rPr>
          <w:rFonts w:ascii="Verdana" w:hAnsi="Verdana"/>
          <w:b/>
          <w:bCs/>
          <w:sz w:val="20"/>
          <w:szCs w:val="20"/>
        </w:rPr>
        <w:t xml:space="preserve"> Program obniżenia relacji</w:t>
      </w:r>
      <w:r>
        <w:rPr>
          <w:rFonts w:ascii="Verdana" w:hAnsi="Verdana"/>
          <w:b/>
          <w:bCs/>
          <w:sz w:val="20"/>
          <w:szCs w:val="20"/>
        </w:rPr>
        <w:t xml:space="preserve"> długu w stosunku do dochodów </w:t>
      </w:r>
    </w:p>
    <w:p w:rsidR="007F07DD" w:rsidRPr="000A6485" w:rsidRDefault="007F07DD" w:rsidP="007F07DD">
      <w:pPr>
        <w:spacing w:before="120" w:after="120"/>
        <w:ind w:firstLine="567"/>
        <w:jc w:val="both"/>
        <w:rPr>
          <w:rFonts w:ascii="Verdana" w:hAnsi="Verdana"/>
          <w:sz w:val="16"/>
          <w:szCs w:val="16"/>
        </w:rPr>
      </w:pPr>
      <w:r w:rsidRPr="000A6485">
        <w:rPr>
          <w:rFonts w:ascii="Verdana" w:hAnsi="Verdana"/>
          <w:b/>
          <w:sz w:val="16"/>
          <w:szCs w:val="16"/>
        </w:rPr>
        <w:t xml:space="preserve">Zakłada się, iż wykorzystanie dłużnych środków zwrotnych mierzone poziomem zadłużenia </w:t>
      </w:r>
      <w:r w:rsidRPr="000A6485">
        <w:rPr>
          <w:rFonts w:ascii="Verdana" w:hAnsi="Verdana"/>
          <w:b/>
          <w:sz w:val="16"/>
          <w:szCs w:val="16"/>
        </w:rPr>
        <w:br/>
        <w:t>w relacji do dochodów, kształtować się będzie na poziomie nie wyższym niż 5</w:t>
      </w:r>
      <w:r>
        <w:rPr>
          <w:rFonts w:ascii="Verdana" w:hAnsi="Verdana"/>
          <w:b/>
          <w:sz w:val="16"/>
          <w:szCs w:val="16"/>
        </w:rPr>
        <w:t>5</w:t>
      </w:r>
      <w:r w:rsidRPr="000A6485">
        <w:rPr>
          <w:rFonts w:ascii="Verdana" w:hAnsi="Verdana"/>
          <w:b/>
          <w:sz w:val="16"/>
          <w:szCs w:val="16"/>
        </w:rPr>
        <w:t xml:space="preserve">%, tworząc bufor </w:t>
      </w:r>
      <w:r w:rsidRPr="000A6485">
        <w:rPr>
          <w:rFonts w:ascii="Verdana" w:hAnsi="Verdana"/>
          <w:b/>
          <w:sz w:val="16"/>
          <w:szCs w:val="16"/>
        </w:rPr>
        <w:br/>
      </w:r>
      <w:r w:rsidRPr="000A6485">
        <w:rPr>
          <w:rFonts w:ascii="Verdana" w:hAnsi="Verdana"/>
          <w:b/>
          <w:sz w:val="16"/>
          <w:szCs w:val="16"/>
        </w:rPr>
        <w:lastRenderedPageBreak/>
        <w:t>na ryzyka</w:t>
      </w:r>
      <w:r w:rsidRPr="000A6485">
        <w:rPr>
          <w:rFonts w:ascii="Verdana" w:hAnsi="Verdana"/>
          <w:sz w:val="16"/>
          <w:szCs w:val="16"/>
        </w:rPr>
        <w:t xml:space="preserve"> związane z niepewnością co do kształtowania się przyszłych dochodów oraz na ryzyko zmienności </w:t>
      </w:r>
      <w:r w:rsidRPr="000A6485">
        <w:rPr>
          <w:rFonts w:ascii="Verdana" w:hAnsi="Verdana"/>
          <w:sz w:val="16"/>
          <w:szCs w:val="16"/>
        </w:rPr>
        <w:br/>
        <w:t>na rynkach finansowych, wynikające ze zmian sytuacji w gospodarce światowej.</w:t>
      </w:r>
    </w:p>
    <w:p w:rsidR="007F07DD" w:rsidRPr="000A6485" w:rsidRDefault="007F07DD" w:rsidP="007F07DD">
      <w:pPr>
        <w:spacing w:before="240" w:after="240" w:line="240" w:lineRule="auto"/>
        <w:ind w:left="425" w:hanging="425"/>
        <w:rPr>
          <w:rFonts w:ascii="Verdana" w:hAnsi="Verdana"/>
          <w:b/>
          <w:bCs/>
          <w:sz w:val="20"/>
          <w:szCs w:val="20"/>
        </w:rPr>
      </w:pPr>
      <w:r w:rsidRPr="000A6485">
        <w:rPr>
          <w:rFonts w:ascii="Verdana" w:hAnsi="Verdana"/>
          <w:b/>
          <w:bCs/>
          <w:sz w:val="20"/>
          <w:szCs w:val="20"/>
        </w:rPr>
        <w:t>5.</w:t>
      </w:r>
      <w:r>
        <w:rPr>
          <w:rFonts w:ascii="Verdana" w:hAnsi="Verdana"/>
          <w:b/>
          <w:bCs/>
          <w:sz w:val="20"/>
          <w:szCs w:val="20"/>
        </w:rPr>
        <w:t>6</w:t>
      </w:r>
      <w:r w:rsidRPr="000A6485">
        <w:rPr>
          <w:rFonts w:ascii="Verdana" w:hAnsi="Verdana"/>
          <w:b/>
          <w:bCs/>
          <w:sz w:val="20"/>
          <w:szCs w:val="20"/>
        </w:rPr>
        <w:t xml:space="preserve"> Program optymalizacji poziomu nadwyżek operacyjnych</w:t>
      </w:r>
    </w:p>
    <w:p w:rsidR="007F07DD" w:rsidRPr="000A6485" w:rsidRDefault="007F07DD" w:rsidP="007F07DD">
      <w:pPr>
        <w:autoSpaceDE w:val="0"/>
        <w:autoSpaceDN w:val="0"/>
        <w:adjustRightInd w:val="0"/>
        <w:spacing w:before="60" w:after="60"/>
        <w:ind w:firstLine="567"/>
        <w:jc w:val="both"/>
        <w:rPr>
          <w:rFonts w:ascii="Verdana" w:hAnsi="Verdana"/>
          <w:b/>
          <w:sz w:val="16"/>
          <w:szCs w:val="16"/>
        </w:rPr>
      </w:pPr>
      <w:r w:rsidRPr="000A6485">
        <w:rPr>
          <w:rFonts w:ascii="Verdana" w:hAnsi="Verdana"/>
          <w:sz w:val="16"/>
          <w:szCs w:val="16"/>
        </w:rPr>
        <w:t>Jednym z celów polityki budżetowej będzie</w:t>
      </w:r>
      <w:r w:rsidRPr="000A6485">
        <w:rPr>
          <w:rFonts w:ascii="Verdana" w:hAnsi="Verdana"/>
          <w:b/>
          <w:sz w:val="16"/>
          <w:szCs w:val="16"/>
        </w:rPr>
        <w:t xml:space="preserve"> uzyskiwanie adekwatnych do potrzeb nadwyżek operacyjnych </w:t>
      </w:r>
      <w:r w:rsidRPr="000A6485">
        <w:rPr>
          <w:rFonts w:ascii="Verdana" w:hAnsi="Verdana"/>
          <w:sz w:val="16"/>
          <w:szCs w:val="16"/>
        </w:rPr>
        <w:t>(nadwyżka dochodów bieżących nad wydatkami bieżącymi).</w:t>
      </w:r>
    </w:p>
    <w:p w:rsidR="007F07DD" w:rsidRPr="000A6485" w:rsidRDefault="007F07DD" w:rsidP="007F07DD">
      <w:pPr>
        <w:autoSpaceDE w:val="0"/>
        <w:autoSpaceDN w:val="0"/>
        <w:adjustRightInd w:val="0"/>
        <w:spacing w:before="60" w:after="60"/>
        <w:ind w:firstLine="567"/>
        <w:jc w:val="both"/>
        <w:rPr>
          <w:rFonts w:ascii="Verdana" w:hAnsi="Verdana"/>
          <w:sz w:val="16"/>
          <w:szCs w:val="16"/>
        </w:rPr>
      </w:pPr>
      <w:r w:rsidRPr="000A6485">
        <w:rPr>
          <w:rFonts w:ascii="Verdana" w:hAnsi="Verdana" w:cs="Verdana"/>
          <w:sz w:val="16"/>
          <w:szCs w:val="16"/>
        </w:rPr>
        <w:t xml:space="preserve">Dla utrzymania możliwie wysokiej zdolności kredytowej m.st. Warszawy w perspektywie okresu korzystania ze środków Unii Europejskiej, kluczowy będzie poziom generowanych przez Miasto nadwyżek operacyjnych. Wielkość nadwyżki operacyjnej wpływa na możliwości zaciągania zobowiązań zwrotnych oraz </w:t>
      </w:r>
      <w:r w:rsidRPr="000A6485">
        <w:rPr>
          <w:rFonts w:ascii="Verdana" w:hAnsi="Verdana" w:cs="Verdana"/>
          <w:sz w:val="16"/>
          <w:szCs w:val="16"/>
        </w:rPr>
        <w:br/>
        <w:t xml:space="preserve">na zdolność do finansowania wydatków o charakterze majątkowym. Wysokość nadwyżki operacyjnej jest podstawą do ustalania ustawowego limitu obsługi zadłużenia, który jest określany indywidualnie dla każdej jednostki. </w:t>
      </w:r>
      <w:r w:rsidRPr="000A6485">
        <w:rPr>
          <w:rFonts w:ascii="Verdana" w:hAnsi="Verdana"/>
          <w:sz w:val="16"/>
          <w:szCs w:val="16"/>
        </w:rPr>
        <w:t xml:space="preserve">Ponadto poziom nadwyżki operacyjnej przekłada się pośrednio na </w:t>
      </w:r>
      <w:r w:rsidRPr="000A6485">
        <w:rPr>
          <w:rFonts w:ascii="Verdana" w:hAnsi="Verdana" w:cs="Arial"/>
          <w:sz w:val="16"/>
          <w:szCs w:val="16"/>
        </w:rPr>
        <w:t>poziom wiarygodności kredytowej Miasta.</w:t>
      </w:r>
    </w:p>
    <w:p w:rsidR="007F07DD" w:rsidRPr="000A6485" w:rsidRDefault="007F07DD" w:rsidP="007F07DD">
      <w:pPr>
        <w:spacing w:before="60" w:after="60"/>
        <w:ind w:firstLine="540"/>
        <w:jc w:val="both"/>
        <w:rPr>
          <w:rFonts w:ascii="Verdana" w:hAnsi="Verdana" w:cs="Arial"/>
          <w:sz w:val="16"/>
          <w:szCs w:val="16"/>
        </w:rPr>
      </w:pPr>
      <w:r w:rsidRPr="000A6485">
        <w:rPr>
          <w:rFonts w:ascii="Verdana" w:hAnsi="Verdana"/>
          <w:sz w:val="16"/>
          <w:szCs w:val="16"/>
        </w:rPr>
        <w:t xml:space="preserve">Zarówno na etapie planowania, jak i realizacji budżetu zakłada się zachowanie odpowiednich relacji między dochodami bieżącymi </w:t>
      </w:r>
      <w:r>
        <w:rPr>
          <w:rFonts w:ascii="Verdana" w:hAnsi="Verdana"/>
          <w:sz w:val="16"/>
          <w:szCs w:val="16"/>
        </w:rPr>
        <w:t>a</w:t>
      </w:r>
      <w:r w:rsidRPr="000A6485">
        <w:rPr>
          <w:rFonts w:ascii="Verdana" w:hAnsi="Verdana"/>
          <w:sz w:val="16"/>
          <w:szCs w:val="16"/>
        </w:rPr>
        <w:t xml:space="preserve"> wydatkami bieżącymi, tak by możliwe było </w:t>
      </w:r>
      <w:r w:rsidRPr="000A6485">
        <w:rPr>
          <w:rFonts w:ascii="Verdana" w:hAnsi="Verdana"/>
          <w:bCs/>
          <w:sz w:val="16"/>
          <w:szCs w:val="16"/>
        </w:rPr>
        <w:t>uzyskanie nadwyżki operacyjnej rozumianej jako dodatnia różnica między tymi kategoriami.</w:t>
      </w:r>
      <w:r w:rsidRPr="000A6485">
        <w:rPr>
          <w:rFonts w:ascii="Verdana" w:hAnsi="Verdana"/>
          <w:sz w:val="16"/>
          <w:szCs w:val="16"/>
        </w:rPr>
        <w:t xml:space="preserve"> </w:t>
      </w:r>
    </w:p>
    <w:p w:rsidR="007F07DD" w:rsidRDefault="007F07DD" w:rsidP="007F07DD">
      <w:pPr>
        <w:spacing w:before="60" w:after="60"/>
        <w:ind w:firstLine="540"/>
        <w:jc w:val="both"/>
        <w:rPr>
          <w:rFonts w:ascii="Verdana" w:hAnsi="Verdana" w:cs="Arial"/>
          <w:iCs/>
          <w:sz w:val="16"/>
          <w:szCs w:val="16"/>
        </w:rPr>
      </w:pPr>
      <w:r w:rsidRPr="000A6485">
        <w:rPr>
          <w:rFonts w:ascii="Verdana" w:hAnsi="Verdana" w:cs="Arial"/>
          <w:sz w:val="16"/>
          <w:szCs w:val="16"/>
        </w:rPr>
        <w:t>Zgodnie z W</w:t>
      </w:r>
      <w:r>
        <w:rPr>
          <w:rFonts w:ascii="Verdana" w:hAnsi="Verdana" w:cs="Arial"/>
          <w:sz w:val="16"/>
          <w:szCs w:val="16"/>
        </w:rPr>
        <w:t xml:space="preserve">PF </w:t>
      </w:r>
      <w:r w:rsidRPr="0090283F">
        <w:rPr>
          <w:rFonts w:ascii="Verdana" w:eastAsiaTheme="minorEastAsia" w:hAnsi="Verdana" w:cs="Verdana"/>
          <w:color w:val="000000"/>
          <w:sz w:val="16"/>
          <w:szCs w:val="16"/>
        </w:rPr>
        <w:t>2022</w:t>
      </w:r>
      <w:r w:rsidRPr="000A6485">
        <w:rPr>
          <w:rFonts w:ascii="Verdana" w:hAnsi="Verdana" w:cs="Arial"/>
          <w:sz w:val="16"/>
          <w:szCs w:val="16"/>
        </w:rPr>
        <w:t xml:space="preserve">-2050 m.st. Warszawa w każdym z lat spełnia wymogi przepisu art. 242 </w:t>
      </w:r>
      <w:r w:rsidRPr="000A6485">
        <w:rPr>
          <w:rFonts w:ascii="Verdana" w:hAnsi="Verdana"/>
          <w:sz w:val="16"/>
          <w:szCs w:val="16"/>
        </w:rPr>
        <w:t xml:space="preserve">ustawy </w:t>
      </w:r>
      <w:r>
        <w:rPr>
          <w:rFonts w:ascii="Verdana" w:hAnsi="Verdana"/>
          <w:sz w:val="16"/>
          <w:szCs w:val="16"/>
        </w:rPr>
        <w:br/>
      </w:r>
      <w:r w:rsidRPr="000A6485">
        <w:rPr>
          <w:rFonts w:ascii="Verdana" w:hAnsi="Verdana" w:cs="Arial"/>
          <w:iCs/>
          <w:sz w:val="16"/>
          <w:szCs w:val="16"/>
        </w:rPr>
        <w:t xml:space="preserve">o finansach publicznych: </w:t>
      </w:r>
      <w:r>
        <w:rPr>
          <w:rFonts w:ascii="Verdana" w:hAnsi="Verdana" w:cs="Arial"/>
          <w:iCs/>
          <w:sz w:val="16"/>
          <w:szCs w:val="16"/>
        </w:rPr>
        <w:t xml:space="preserve">w 2022 r. planuje się wygenerowanie deficytu operacyjnego ze źródłem pokrycia </w:t>
      </w:r>
      <w:r>
        <w:rPr>
          <w:rFonts w:ascii="Verdana" w:hAnsi="Verdana" w:cs="Arial"/>
          <w:iCs/>
          <w:sz w:val="16"/>
          <w:szCs w:val="16"/>
        </w:rPr>
        <w:br/>
        <w:t>w tzw. wolnych środkach na mocy przepisów Programu Polski Ład, natomiast począwszy od 2023 r. prognozuje</w:t>
      </w:r>
      <w:r w:rsidRPr="000A6485">
        <w:rPr>
          <w:rFonts w:ascii="Verdana" w:hAnsi="Verdana" w:cs="Arial"/>
          <w:iCs/>
          <w:sz w:val="16"/>
          <w:szCs w:val="16"/>
        </w:rPr>
        <w:t xml:space="preserve"> się uzyskiwanie corocznych nadwyżek operacyjnych (zakładane wydatki bieżące są niższe niż prognozowane dochody bieżące).</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5.</w:t>
      </w:r>
      <w:r>
        <w:rPr>
          <w:rFonts w:ascii="Verdana" w:hAnsi="Verdana"/>
          <w:b/>
          <w:bCs/>
          <w:sz w:val="20"/>
          <w:szCs w:val="20"/>
        </w:rPr>
        <w:t>7</w:t>
      </w:r>
      <w:r w:rsidRPr="000A6485">
        <w:rPr>
          <w:rFonts w:ascii="Verdana" w:hAnsi="Verdana"/>
          <w:b/>
          <w:bCs/>
          <w:sz w:val="20"/>
          <w:szCs w:val="20"/>
        </w:rPr>
        <w:t xml:space="preserve"> Program inwestycyjny</w:t>
      </w:r>
    </w:p>
    <w:p w:rsidR="007F07DD" w:rsidRPr="00B424DD" w:rsidRDefault="007F07DD" w:rsidP="007F07DD">
      <w:pPr>
        <w:spacing w:before="60" w:after="60"/>
        <w:ind w:firstLine="567"/>
        <w:jc w:val="both"/>
        <w:rPr>
          <w:rFonts w:ascii="Verdana" w:hAnsi="Verdana"/>
          <w:sz w:val="16"/>
          <w:szCs w:val="16"/>
        </w:rPr>
      </w:pPr>
      <w:r w:rsidRPr="000A6485">
        <w:rPr>
          <w:rFonts w:ascii="Verdana" w:hAnsi="Verdana"/>
          <w:sz w:val="16"/>
          <w:szCs w:val="16"/>
        </w:rPr>
        <w:t xml:space="preserve">Łącznie w całym okresie objętym </w:t>
      </w:r>
      <w:r w:rsidRPr="000A6485">
        <w:rPr>
          <w:rFonts w:ascii="Verdana" w:hAnsi="Verdana" w:cs="Arial"/>
          <w:sz w:val="16"/>
          <w:szCs w:val="16"/>
        </w:rPr>
        <w:t>W</w:t>
      </w:r>
      <w:r>
        <w:rPr>
          <w:rFonts w:ascii="Verdana" w:hAnsi="Verdana" w:cs="Arial"/>
          <w:sz w:val="16"/>
          <w:szCs w:val="16"/>
        </w:rPr>
        <w:t xml:space="preserve">PF </w:t>
      </w:r>
      <w:r w:rsidRPr="0090283F">
        <w:rPr>
          <w:rFonts w:ascii="Verdana" w:eastAsiaTheme="minorEastAsia" w:hAnsi="Verdana" w:cs="Verdana"/>
          <w:color w:val="000000"/>
          <w:sz w:val="16"/>
          <w:szCs w:val="16"/>
        </w:rPr>
        <w:t>2022</w:t>
      </w:r>
      <w:r w:rsidRPr="000A6485">
        <w:rPr>
          <w:rFonts w:ascii="Verdana" w:hAnsi="Verdana" w:cs="Arial"/>
          <w:sz w:val="16"/>
          <w:szCs w:val="16"/>
        </w:rPr>
        <w:t>-2050</w:t>
      </w:r>
      <w:r w:rsidRPr="000A6485">
        <w:rPr>
          <w:rFonts w:ascii="Verdana" w:hAnsi="Verdana"/>
          <w:sz w:val="16"/>
          <w:szCs w:val="16"/>
        </w:rPr>
        <w:t xml:space="preserve"> na wydatki </w:t>
      </w:r>
      <w:r>
        <w:rPr>
          <w:rFonts w:ascii="Verdana" w:hAnsi="Verdana"/>
          <w:sz w:val="16"/>
          <w:szCs w:val="16"/>
        </w:rPr>
        <w:t>majątkowe</w:t>
      </w:r>
      <w:r w:rsidRPr="000A6485">
        <w:rPr>
          <w:rFonts w:ascii="Verdana" w:hAnsi="Verdana"/>
          <w:sz w:val="16"/>
          <w:szCs w:val="16"/>
        </w:rPr>
        <w:t xml:space="preserve"> przeznaczono </w:t>
      </w:r>
      <w:r>
        <w:rPr>
          <w:rFonts w:ascii="Verdana" w:hAnsi="Verdana"/>
          <w:b/>
          <w:sz w:val="16"/>
          <w:szCs w:val="16"/>
        </w:rPr>
        <w:t>69,1</w:t>
      </w:r>
      <w:r w:rsidRPr="000A6485">
        <w:rPr>
          <w:rFonts w:ascii="Verdana" w:hAnsi="Verdana"/>
          <w:b/>
          <w:sz w:val="16"/>
          <w:szCs w:val="16"/>
        </w:rPr>
        <w:t xml:space="preserve"> mld zł</w:t>
      </w:r>
      <w:r w:rsidRPr="000A6485">
        <w:rPr>
          <w:rFonts w:ascii="Verdana" w:hAnsi="Verdana"/>
          <w:sz w:val="16"/>
          <w:szCs w:val="16"/>
        </w:rPr>
        <w:t xml:space="preserve">, </w:t>
      </w:r>
      <w:r>
        <w:rPr>
          <w:rFonts w:ascii="Verdana" w:hAnsi="Verdana"/>
          <w:sz w:val="16"/>
          <w:szCs w:val="16"/>
        </w:rPr>
        <w:br/>
      </w:r>
      <w:r w:rsidRPr="000A6485">
        <w:rPr>
          <w:rFonts w:ascii="Verdana" w:hAnsi="Verdana"/>
          <w:sz w:val="16"/>
          <w:szCs w:val="16"/>
        </w:rPr>
        <w:t xml:space="preserve">z czego na konkretne projekty inwestycyjne już realizowane lub zaplanowane do realizacji rozdysponowano środki w wysokości </w:t>
      </w:r>
      <w:r>
        <w:rPr>
          <w:rFonts w:ascii="Verdana" w:hAnsi="Verdana"/>
          <w:b/>
          <w:sz w:val="16"/>
          <w:szCs w:val="16"/>
        </w:rPr>
        <w:t>15,3</w:t>
      </w:r>
      <w:r w:rsidRPr="000A6485">
        <w:rPr>
          <w:rFonts w:ascii="Verdana" w:hAnsi="Verdana"/>
          <w:b/>
          <w:sz w:val="16"/>
          <w:szCs w:val="16"/>
        </w:rPr>
        <w:t xml:space="preserve"> mld zł</w:t>
      </w:r>
      <w:r w:rsidRPr="000A6485">
        <w:rPr>
          <w:rFonts w:ascii="Verdana" w:hAnsi="Verdana"/>
          <w:sz w:val="16"/>
          <w:szCs w:val="16"/>
        </w:rPr>
        <w:t xml:space="preserve"> (w okresie </w:t>
      </w:r>
      <w:r w:rsidRPr="0090283F">
        <w:rPr>
          <w:rFonts w:ascii="Verdana" w:eastAsiaTheme="minorEastAsia" w:hAnsi="Verdana" w:cs="Verdana"/>
          <w:color w:val="000000"/>
          <w:sz w:val="16"/>
          <w:szCs w:val="16"/>
        </w:rPr>
        <w:t>2022</w:t>
      </w:r>
      <w:r>
        <w:rPr>
          <w:rFonts w:ascii="Verdana" w:hAnsi="Verdana"/>
          <w:sz w:val="16"/>
          <w:szCs w:val="16"/>
        </w:rPr>
        <w:t xml:space="preserve">-2030), w tym </w:t>
      </w:r>
      <w:r w:rsidRPr="00B424DD">
        <w:rPr>
          <w:rFonts w:ascii="Verdana" w:hAnsi="Verdana"/>
          <w:b/>
          <w:sz w:val="16"/>
          <w:szCs w:val="16"/>
        </w:rPr>
        <w:t>1,6 mld zł</w:t>
      </w:r>
      <w:r>
        <w:rPr>
          <w:rFonts w:ascii="Verdana" w:hAnsi="Verdana"/>
          <w:sz w:val="16"/>
          <w:szCs w:val="16"/>
        </w:rPr>
        <w:t xml:space="preserve"> </w:t>
      </w:r>
      <w:r w:rsidRPr="000A6485">
        <w:rPr>
          <w:rFonts w:ascii="Verdana" w:hAnsi="Verdana"/>
          <w:sz w:val="16"/>
          <w:szCs w:val="16"/>
        </w:rPr>
        <w:t>na projekty finansowane z udziałem środków unijnych</w:t>
      </w:r>
      <w:r w:rsidRPr="000A6485">
        <w:rPr>
          <w:rFonts w:ascii="Verdana" w:hAnsi="Verdana"/>
          <w:bCs/>
          <w:sz w:val="16"/>
          <w:szCs w:val="16"/>
        </w:rPr>
        <w:t>.</w:t>
      </w:r>
    </w:p>
    <w:p w:rsidR="007F07DD" w:rsidRPr="000A6485" w:rsidRDefault="007F07DD" w:rsidP="007F07DD">
      <w:pPr>
        <w:spacing w:before="60" w:after="60"/>
        <w:ind w:firstLine="540"/>
        <w:jc w:val="both"/>
        <w:rPr>
          <w:rFonts w:ascii="Verdana" w:hAnsi="Verdana"/>
          <w:sz w:val="16"/>
          <w:szCs w:val="16"/>
        </w:rPr>
      </w:pPr>
      <w:r w:rsidRPr="000A6485">
        <w:rPr>
          <w:rFonts w:ascii="Verdana" w:hAnsi="Verdana"/>
          <w:sz w:val="16"/>
          <w:szCs w:val="16"/>
        </w:rPr>
        <w:t>Zakłada się kontynuację realizacji wieloletnich założeń inwestycyjnych, obejmujących m.in. projekty objęte dofinansowaniem ze środków perspektywy finansowej Unii Europejskiej na lata 2014-2020. Z tytułu podpisanych umów uwzględniono dofinansowanie unijne m.in. na realizację następujących inwestycji:</w:t>
      </w:r>
    </w:p>
    <w:p w:rsidR="007F07DD" w:rsidRPr="000A6485" w:rsidRDefault="007F07DD" w:rsidP="007F07DD">
      <w:pPr>
        <w:pStyle w:val="Akapitzlist"/>
        <w:numPr>
          <w:ilvl w:val="0"/>
          <w:numId w:val="37"/>
        </w:numPr>
        <w:spacing w:before="60" w:after="60"/>
        <w:ind w:left="851" w:hanging="284"/>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3+3 </w:t>
      </w:r>
      <w:r w:rsidRPr="000A6485">
        <w:rPr>
          <w:rFonts w:ascii="Verdana" w:hAnsi="Verdana"/>
          <w:sz w:val="16"/>
          <w:szCs w:val="16"/>
        </w:rPr>
        <w:t>(umowa podpisana w dniu 23 września 2016 r.),</w:t>
      </w:r>
    </w:p>
    <w:p w:rsidR="007F07DD" w:rsidRPr="000A6485" w:rsidRDefault="007F07DD" w:rsidP="007F07DD">
      <w:pPr>
        <w:pStyle w:val="Akapitzlist"/>
        <w:numPr>
          <w:ilvl w:val="0"/>
          <w:numId w:val="37"/>
        </w:numPr>
        <w:spacing w:before="60" w:after="60"/>
        <w:ind w:left="851" w:hanging="284"/>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2+3 </w:t>
      </w:r>
      <w:r w:rsidRPr="000A6485">
        <w:rPr>
          <w:rFonts w:ascii="Verdana" w:hAnsi="Verdana"/>
          <w:sz w:val="16"/>
          <w:szCs w:val="16"/>
        </w:rPr>
        <w:t>(umowa podpisana w dniu 3 października 2017 r.)</w:t>
      </w:r>
      <w:r w:rsidRPr="000A6485">
        <w:rPr>
          <w:rFonts w:ascii="Verdana" w:hAnsi="Verdana" w:cs="Verdana"/>
          <w:sz w:val="16"/>
          <w:szCs w:val="16"/>
          <w:lang w:eastAsia="ko-KR"/>
        </w:rPr>
        <w:t>,</w:t>
      </w:r>
    </w:p>
    <w:p w:rsidR="007F07DD" w:rsidRPr="000A6485" w:rsidRDefault="007F07DD" w:rsidP="007F07DD">
      <w:pPr>
        <w:pStyle w:val="Akapitzlist"/>
        <w:numPr>
          <w:ilvl w:val="0"/>
          <w:numId w:val="37"/>
        </w:numPr>
        <w:spacing w:before="60" w:after="60"/>
        <w:ind w:left="851" w:hanging="284"/>
        <w:contextualSpacing w:val="0"/>
        <w:jc w:val="both"/>
        <w:rPr>
          <w:rFonts w:ascii="Verdana" w:hAnsi="Verdana"/>
          <w:sz w:val="16"/>
          <w:szCs w:val="16"/>
        </w:rPr>
      </w:pPr>
      <w:r w:rsidRPr="000A6485">
        <w:rPr>
          <w:rFonts w:ascii="Verdana" w:hAnsi="Verdana"/>
          <w:sz w:val="16"/>
          <w:szCs w:val="16"/>
        </w:rPr>
        <w:t>Przebudowa ul. Wał Miedzeszyński na odc. od ronda z ul. Trakt Lubelski do węzła z planowaną trasą ekspresową S2 (umowa podpisana w dniu 3 października 2017 r.),</w:t>
      </w:r>
    </w:p>
    <w:p w:rsidR="007F07DD" w:rsidRPr="000A6485" w:rsidRDefault="007F07DD" w:rsidP="007F07DD">
      <w:pPr>
        <w:pStyle w:val="Akapitzlist"/>
        <w:numPr>
          <w:ilvl w:val="0"/>
          <w:numId w:val="37"/>
        </w:numPr>
        <w:spacing w:before="60" w:after="60"/>
        <w:ind w:left="851" w:hanging="284"/>
        <w:contextualSpacing w:val="0"/>
        <w:jc w:val="both"/>
        <w:rPr>
          <w:rFonts w:ascii="Verdana" w:hAnsi="Verdana"/>
          <w:sz w:val="16"/>
          <w:szCs w:val="16"/>
        </w:rPr>
      </w:pPr>
      <w:r>
        <w:rPr>
          <w:rFonts w:ascii="Verdana" w:hAnsi="Verdana"/>
          <w:sz w:val="16"/>
          <w:szCs w:val="16"/>
        </w:rPr>
        <w:t>Wirtualny Obszar Funkcjonalny (umowa podpisana w dniu 29 września 2017 r.).</w:t>
      </w:r>
    </w:p>
    <w:p w:rsidR="007F07DD" w:rsidRPr="000A6485" w:rsidRDefault="007F07DD" w:rsidP="007F07DD">
      <w:pPr>
        <w:spacing w:before="240" w:after="240" w:line="240" w:lineRule="auto"/>
        <w:ind w:left="425" w:hanging="425"/>
        <w:rPr>
          <w:rFonts w:ascii="Verdana" w:hAnsi="Verdana"/>
          <w:b/>
          <w:bCs/>
          <w:sz w:val="20"/>
          <w:szCs w:val="20"/>
        </w:rPr>
      </w:pPr>
      <w:r w:rsidRPr="000A6485">
        <w:rPr>
          <w:rFonts w:ascii="Verdana" w:hAnsi="Verdana"/>
          <w:b/>
          <w:bCs/>
          <w:sz w:val="20"/>
          <w:szCs w:val="20"/>
        </w:rPr>
        <w:t>5.</w:t>
      </w:r>
      <w:r>
        <w:rPr>
          <w:rFonts w:ascii="Verdana" w:hAnsi="Verdana"/>
          <w:b/>
          <w:bCs/>
          <w:sz w:val="20"/>
          <w:szCs w:val="20"/>
        </w:rPr>
        <w:t>8</w:t>
      </w:r>
      <w:r w:rsidRPr="000A6485">
        <w:rPr>
          <w:rFonts w:ascii="Verdana" w:hAnsi="Verdana"/>
          <w:b/>
          <w:bCs/>
          <w:sz w:val="20"/>
          <w:szCs w:val="20"/>
        </w:rPr>
        <w:t xml:space="preserve">  Program optymalizacji zależnych lub częściowo zależnych </w:t>
      </w:r>
      <w:r w:rsidRPr="000A6485">
        <w:rPr>
          <w:rFonts w:ascii="Verdana" w:hAnsi="Verdana"/>
          <w:b/>
          <w:bCs/>
          <w:sz w:val="20"/>
          <w:szCs w:val="20"/>
        </w:rPr>
        <w:br/>
        <w:t xml:space="preserve"> od m.st. Warszawy czynników kształtujących dochody podatkowe </w:t>
      </w:r>
      <w:r w:rsidRPr="000A6485">
        <w:rPr>
          <w:rFonts w:ascii="Verdana" w:hAnsi="Verdana"/>
          <w:b/>
          <w:bCs/>
          <w:sz w:val="20"/>
          <w:szCs w:val="20"/>
        </w:rPr>
        <w:br/>
        <w:t xml:space="preserve"> i niepodatkowe</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Ważnym aspektem polityki budżetowej m.st. Warszawy w </w:t>
      </w:r>
      <w:r w:rsidRPr="0090283F">
        <w:rPr>
          <w:rFonts w:ascii="Verdana" w:eastAsiaTheme="minorEastAsia" w:hAnsi="Verdana" w:cs="Verdana"/>
          <w:color w:val="000000"/>
          <w:sz w:val="16"/>
          <w:szCs w:val="16"/>
        </w:rPr>
        <w:t>2022</w:t>
      </w:r>
      <w:r w:rsidRPr="000A6485">
        <w:rPr>
          <w:rFonts w:ascii="Verdana" w:hAnsi="Verdana"/>
          <w:sz w:val="16"/>
          <w:szCs w:val="16"/>
        </w:rPr>
        <w:t xml:space="preserve"> r. i w następnych latach będzie kontynuacja </w:t>
      </w:r>
      <w:r w:rsidRPr="000A6485">
        <w:rPr>
          <w:rFonts w:ascii="Verdana" w:hAnsi="Verdana"/>
          <w:b/>
          <w:bCs/>
          <w:sz w:val="16"/>
          <w:szCs w:val="16"/>
        </w:rPr>
        <w:t>procesu optymalizacji zależnych lub częściowo zależnych od Miasta czynników kształtujących dochody niepodatkowe i podatkowe</w:t>
      </w:r>
      <w:r w:rsidRPr="000A6485">
        <w:rPr>
          <w:rFonts w:ascii="Verdana" w:hAnsi="Verdana"/>
          <w:sz w:val="16"/>
          <w:szCs w:val="16"/>
        </w:rPr>
        <w:t xml:space="preserve"> oraz poszukiwanie możliwości zwiększania aktualnych źródeł dochodów przy wykorzystaniu sposobności, jakie dają przepisy, w tym regulacje zawarte w ustawie </w:t>
      </w:r>
      <w:r w:rsidRPr="000A6485">
        <w:rPr>
          <w:rFonts w:ascii="Verdana" w:hAnsi="Verdana"/>
          <w:sz w:val="16"/>
          <w:szCs w:val="16"/>
        </w:rPr>
        <w:br/>
        <w:t xml:space="preserve">o dochodach jednostek samorządu terytorialnego. Istotne będzie także poszukiwanie i wykorzystywanie alternatywnych sposobów realizacji zadań publicznych, np. w formie partnerstwa </w:t>
      </w:r>
      <w:proofErr w:type="spellStart"/>
      <w:r w:rsidRPr="000A6485">
        <w:rPr>
          <w:rFonts w:ascii="Verdana" w:hAnsi="Verdana"/>
          <w:sz w:val="16"/>
          <w:szCs w:val="16"/>
        </w:rPr>
        <w:t>publiczno</w:t>
      </w:r>
      <w:proofErr w:type="spellEnd"/>
      <w:r w:rsidRPr="000A6485">
        <w:rPr>
          <w:rFonts w:ascii="Verdana" w:hAnsi="Verdana"/>
          <w:sz w:val="16"/>
          <w:szCs w:val="16"/>
        </w:rPr>
        <w:t>–prywatnego.</w:t>
      </w:r>
    </w:p>
    <w:p w:rsidR="007F07DD" w:rsidRPr="000A6485" w:rsidRDefault="007F07DD" w:rsidP="007F07DD">
      <w:pPr>
        <w:autoSpaceDE w:val="0"/>
        <w:autoSpaceDN w:val="0"/>
        <w:adjustRightInd w:val="0"/>
        <w:spacing w:before="60" w:after="60"/>
        <w:ind w:firstLine="567"/>
        <w:jc w:val="both"/>
        <w:rPr>
          <w:rFonts w:ascii="Verdana" w:hAnsi="Verdana" w:cs="Verdana"/>
          <w:sz w:val="16"/>
          <w:szCs w:val="16"/>
        </w:rPr>
      </w:pPr>
      <w:r w:rsidRPr="000A6485">
        <w:rPr>
          <w:rFonts w:ascii="Verdana" w:hAnsi="Verdana" w:cs="Verdana"/>
          <w:sz w:val="16"/>
          <w:szCs w:val="16"/>
        </w:rPr>
        <w:lastRenderedPageBreak/>
        <w:t xml:space="preserve">Rozwijane będą mechanizmy zachęt dla mieszkańców do rozliczania podatków w Warszawie </w:t>
      </w:r>
      <w:r w:rsidRPr="000A6485">
        <w:rPr>
          <w:rFonts w:ascii="Verdana" w:hAnsi="Verdana" w:cs="Verdana"/>
          <w:sz w:val="16"/>
          <w:szCs w:val="16"/>
        </w:rPr>
        <w:br/>
        <w:t xml:space="preserve">z wykorzystaniem udogodnień dotyczących Karty Warszawiaka i Karty Młodego Warszawiaka zakładających też preferencje dla rodzin, w tym dla rodzin wielodzietnych. Dzięki Karcie Warszawiaka i Karcie Młodego Warszawiaka, osoby mieszkające i rozliczające podatek dochodowy PIT w Warszawie mogą korzystać z oferty ulg, zniżek </w:t>
      </w:r>
      <w:r w:rsidRPr="000A6485">
        <w:rPr>
          <w:rFonts w:ascii="Verdana" w:hAnsi="Verdana" w:cs="Verdana"/>
          <w:sz w:val="16"/>
          <w:szCs w:val="16"/>
        </w:rPr>
        <w:br/>
        <w:t>i preferencji w stołecznym transporcie, kulturze, sporcie i rekreacji, oświacie, usługach zdrowotnych. Przewidywany jest dalszy rozwój ww. instrumentów w kierunku poszerzania zakresu ulg i zniżek oraz zwiększania liczby podmiotów honorujących Karty Warszawiaka i Karty Młodego Warszawiaka.</w:t>
      </w:r>
    </w:p>
    <w:p w:rsidR="007F07DD" w:rsidRDefault="007F07DD" w:rsidP="007F07DD">
      <w:pPr>
        <w:autoSpaceDE w:val="0"/>
        <w:autoSpaceDN w:val="0"/>
        <w:adjustRightInd w:val="0"/>
        <w:spacing w:before="60" w:after="60"/>
        <w:ind w:firstLine="567"/>
        <w:jc w:val="both"/>
        <w:rPr>
          <w:rFonts w:ascii="Verdana" w:hAnsi="Verdana" w:cs="Verdana"/>
          <w:sz w:val="16"/>
          <w:szCs w:val="16"/>
        </w:rPr>
      </w:pPr>
      <w:r>
        <w:rPr>
          <w:rFonts w:ascii="Verdana" w:hAnsi="Verdana" w:cs="Verdana"/>
          <w:sz w:val="16"/>
          <w:szCs w:val="16"/>
        </w:rPr>
        <w:t>Zakłada</w:t>
      </w:r>
      <w:r w:rsidRPr="000A6485">
        <w:rPr>
          <w:rFonts w:ascii="Verdana" w:hAnsi="Verdana" w:cs="Verdana"/>
          <w:sz w:val="16"/>
          <w:szCs w:val="16"/>
        </w:rPr>
        <w:t xml:space="preserve"> się wykorzystywanie nowych rozwiązań w obszarze aktywności obywatelskiej mieszkańców Warszawy, mając na celu włączenie społeczności lokalnych w proces współdecydowania o sprawach Miasta przy wykorzystaniu doświadczeń i wzorców z kraju i ze świata. Działania Miasta w tym kierunku sprzyjają wzmacnianiu potencjału rozwojowego Warszawy poprzez budowanie kapitału społecznego i wspólnot lokalnych.</w:t>
      </w:r>
    </w:p>
    <w:p w:rsidR="007F07DD" w:rsidRPr="000A6485" w:rsidRDefault="007F07DD" w:rsidP="007F07DD">
      <w:pPr>
        <w:spacing w:before="240" w:after="240"/>
        <w:ind w:left="567" w:hanging="567"/>
        <w:rPr>
          <w:rFonts w:ascii="Verdana" w:hAnsi="Verdana"/>
          <w:b/>
          <w:bCs/>
          <w:sz w:val="20"/>
          <w:szCs w:val="20"/>
        </w:rPr>
      </w:pPr>
      <w:r w:rsidRPr="000A6485">
        <w:rPr>
          <w:rFonts w:ascii="Verdana" w:hAnsi="Verdana"/>
          <w:b/>
          <w:bCs/>
          <w:sz w:val="20"/>
          <w:szCs w:val="20"/>
        </w:rPr>
        <w:t>5.</w:t>
      </w:r>
      <w:r>
        <w:rPr>
          <w:rFonts w:ascii="Verdana" w:hAnsi="Verdana"/>
          <w:b/>
          <w:bCs/>
          <w:sz w:val="20"/>
          <w:szCs w:val="20"/>
        </w:rPr>
        <w:t>9</w:t>
      </w:r>
      <w:r w:rsidRPr="000A6485">
        <w:rPr>
          <w:rFonts w:ascii="Verdana" w:hAnsi="Verdana"/>
          <w:b/>
          <w:bCs/>
          <w:sz w:val="20"/>
          <w:szCs w:val="20"/>
        </w:rPr>
        <w:t xml:space="preserve"> Program rozwoju budżetu zadaniowego</w:t>
      </w:r>
    </w:p>
    <w:p w:rsidR="007F07DD" w:rsidRPr="000A6485" w:rsidRDefault="007F07DD" w:rsidP="007F07DD">
      <w:pPr>
        <w:spacing w:before="60" w:after="60"/>
        <w:ind w:firstLine="539"/>
        <w:jc w:val="both"/>
        <w:rPr>
          <w:rFonts w:ascii="Verdana" w:hAnsi="Verdana" w:cs="Arial"/>
          <w:sz w:val="16"/>
          <w:szCs w:val="16"/>
        </w:rPr>
      </w:pPr>
      <w:r w:rsidRPr="000A6485">
        <w:rPr>
          <w:rFonts w:ascii="Verdana" w:hAnsi="Verdana" w:cs="Arial"/>
          <w:b/>
          <w:sz w:val="16"/>
          <w:szCs w:val="16"/>
        </w:rPr>
        <w:t xml:space="preserve">Istotnym elementem działań podejmowanych w kierunku wzrostu efektywności wydatkowanych środków, będzie dalszy </w:t>
      </w:r>
      <w:r w:rsidRPr="000A6485">
        <w:rPr>
          <w:rFonts w:ascii="Verdana" w:hAnsi="Verdana" w:cs="Arial"/>
          <w:b/>
          <w:bCs/>
          <w:sz w:val="16"/>
          <w:szCs w:val="16"/>
        </w:rPr>
        <w:t>rozwój</w:t>
      </w:r>
      <w:r w:rsidRPr="000A6485">
        <w:rPr>
          <w:rFonts w:ascii="Verdana" w:hAnsi="Verdana" w:cs="Arial"/>
          <w:b/>
          <w:sz w:val="16"/>
          <w:szCs w:val="16"/>
        </w:rPr>
        <w:t xml:space="preserve"> </w:t>
      </w:r>
      <w:r w:rsidRPr="000A6485">
        <w:rPr>
          <w:rFonts w:ascii="Verdana" w:hAnsi="Verdana" w:cs="Arial"/>
          <w:b/>
          <w:bCs/>
          <w:sz w:val="16"/>
          <w:szCs w:val="16"/>
        </w:rPr>
        <w:t>budżetowania zadaniowego</w:t>
      </w:r>
      <w:r w:rsidRPr="000A6485">
        <w:rPr>
          <w:rFonts w:ascii="Verdana" w:hAnsi="Verdana" w:cs="Arial"/>
          <w:b/>
          <w:sz w:val="16"/>
          <w:szCs w:val="16"/>
        </w:rPr>
        <w:t xml:space="preserve">, polepszający wykorzystanie mierników oceny efektów działalności, stanowiących obiektywne i wiarygodne narzędzie pomiaru stopnia realizacji celów i zadań. </w:t>
      </w:r>
      <w:r w:rsidRPr="000A6485">
        <w:rPr>
          <w:rFonts w:ascii="Verdana" w:hAnsi="Verdana" w:cs="Arial"/>
          <w:sz w:val="16"/>
          <w:szCs w:val="16"/>
        </w:rPr>
        <w:t>Porównywanie wyników w czasie, jak też konfrontowanie wyników między jednostkami organizacyjnymi Miasta, stanowi pomocne narzędzie optymalizacji wydatków.</w:t>
      </w:r>
    </w:p>
    <w:p w:rsidR="007F07DD" w:rsidRPr="000A6485" w:rsidRDefault="007F07DD" w:rsidP="007F07DD">
      <w:pPr>
        <w:spacing w:before="480" w:after="240" w:line="240" w:lineRule="auto"/>
        <w:ind w:left="284" w:hanging="284"/>
        <w:rPr>
          <w:rFonts w:ascii="Verdana" w:hAnsi="Verdana"/>
          <w:b/>
          <w:bCs/>
        </w:rPr>
      </w:pPr>
      <w:r w:rsidRPr="000A6485">
        <w:rPr>
          <w:rFonts w:ascii="Verdana" w:hAnsi="Verdana"/>
          <w:b/>
          <w:bCs/>
        </w:rPr>
        <w:t xml:space="preserve">6. </w:t>
      </w:r>
      <w:r w:rsidRPr="000A6485">
        <w:rPr>
          <w:rFonts w:ascii="Verdana" w:hAnsi="Verdana"/>
          <w:b/>
          <w:bCs/>
          <w:sz w:val="22"/>
          <w:szCs w:val="22"/>
        </w:rPr>
        <w:t xml:space="preserve">Etapy przygotowania Wieloletniej Prognozy Finansowej </w:t>
      </w:r>
      <w:r w:rsidRPr="000A6485">
        <w:rPr>
          <w:rFonts w:ascii="Verdana" w:hAnsi="Verdana"/>
          <w:b/>
          <w:bCs/>
          <w:sz w:val="22"/>
          <w:szCs w:val="22"/>
        </w:rPr>
        <w:br/>
        <w:t xml:space="preserve"> m.st. Warszawy</w:t>
      </w:r>
      <w:r w:rsidRPr="000A6485">
        <w:rPr>
          <w:rFonts w:ascii="Verdana" w:hAnsi="Verdana"/>
          <w:b/>
          <w:bCs/>
        </w:rPr>
        <w:t xml:space="preserve"> </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6.1 Koncepcja Wieloletniej Prognozy Finansowej m.st. Warszawy</w:t>
      </w:r>
    </w:p>
    <w:p w:rsidR="007F07DD" w:rsidRPr="000A6485" w:rsidRDefault="007F07DD" w:rsidP="007F07DD">
      <w:pPr>
        <w:spacing w:before="60" w:after="60"/>
        <w:ind w:firstLine="540"/>
        <w:jc w:val="both"/>
        <w:rPr>
          <w:rFonts w:ascii="Verdana" w:hAnsi="Verdana"/>
          <w:bCs/>
          <w:sz w:val="16"/>
          <w:szCs w:val="16"/>
        </w:rPr>
      </w:pPr>
      <w:r w:rsidRPr="000A6485">
        <w:rPr>
          <w:rFonts w:ascii="Verdana" w:hAnsi="Verdana"/>
          <w:bCs/>
          <w:sz w:val="16"/>
          <w:szCs w:val="16"/>
        </w:rPr>
        <w:t>W celu wypełnienia wymagań ustawy</w:t>
      </w:r>
      <w:r w:rsidRPr="000A6485">
        <w:rPr>
          <w:rFonts w:ascii="Verdana" w:hAnsi="Verdana"/>
          <w:sz w:val="16"/>
          <w:szCs w:val="16"/>
        </w:rPr>
        <w:t xml:space="preserve"> </w:t>
      </w:r>
      <w:r w:rsidRPr="000A6485">
        <w:rPr>
          <w:rFonts w:ascii="Verdana" w:hAnsi="Verdana" w:cs="Arial"/>
          <w:iCs/>
          <w:sz w:val="16"/>
          <w:szCs w:val="16"/>
        </w:rPr>
        <w:t>o finansach publicznych w zakresie wieloletniej prognozy finansowej</w:t>
      </w:r>
      <w:r w:rsidRPr="000A6485">
        <w:rPr>
          <w:rFonts w:ascii="Verdana" w:hAnsi="Verdana"/>
          <w:bCs/>
          <w:sz w:val="16"/>
          <w:szCs w:val="16"/>
        </w:rPr>
        <w:t xml:space="preserve">, w szczególności zapewnienia zgodności prognozy wieloletniej z budżetem, </w:t>
      </w:r>
      <w:r>
        <w:rPr>
          <w:rFonts w:ascii="Verdana" w:hAnsi="Verdana"/>
          <w:bCs/>
          <w:sz w:val="16"/>
          <w:szCs w:val="16"/>
        </w:rPr>
        <w:t>Wieloletnia Prognoza Finansowa</w:t>
      </w:r>
      <w:r w:rsidRPr="000A6485">
        <w:rPr>
          <w:rFonts w:ascii="Verdana" w:hAnsi="Verdana"/>
          <w:bCs/>
          <w:sz w:val="16"/>
          <w:szCs w:val="16"/>
        </w:rPr>
        <w:t xml:space="preserve"> </w:t>
      </w:r>
      <w:r>
        <w:rPr>
          <w:rFonts w:ascii="Verdana" w:hAnsi="Verdana"/>
          <w:bCs/>
          <w:sz w:val="16"/>
          <w:szCs w:val="16"/>
        </w:rPr>
        <w:br/>
      </w:r>
      <w:r w:rsidRPr="000A6485">
        <w:rPr>
          <w:rFonts w:ascii="Verdana" w:hAnsi="Verdana"/>
          <w:bCs/>
          <w:sz w:val="16"/>
          <w:szCs w:val="16"/>
        </w:rPr>
        <w:t xml:space="preserve">m.st. Warszawy tworzona jest z wykorzystaniem zintegrowanego systemu informatycznego. </w:t>
      </w:r>
    </w:p>
    <w:p w:rsidR="007F07DD" w:rsidRPr="000A6485" w:rsidRDefault="007F07DD" w:rsidP="007F07DD">
      <w:pPr>
        <w:spacing w:before="60" w:after="60"/>
        <w:ind w:firstLine="540"/>
        <w:jc w:val="both"/>
        <w:rPr>
          <w:rFonts w:ascii="Verdana" w:hAnsi="Verdana"/>
          <w:bCs/>
          <w:sz w:val="16"/>
          <w:szCs w:val="16"/>
        </w:rPr>
      </w:pPr>
      <w:r w:rsidRPr="000A6485">
        <w:rPr>
          <w:rFonts w:ascii="Verdana" w:hAnsi="Verdana"/>
          <w:bCs/>
          <w:sz w:val="16"/>
          <w:szCs w:val="16"/>
        </w:rPr>
        <w:t>Główne przesłanki do tworzenia Wieloletniej Prognozy Finansowej z pełnym wykorzystaniem narzędzi systemowych to:</w:t>
      </w:r>
    </w:p>
    <w:p w:rsidR="007F07DD" w:rsidRPr="000A6485" w:rsidRDefault="007F07DD" w:rsidP="007F07DD">
      <w:pPr>
        <w:numPr>
          <w:ilvl w:val="0"/>
          <w:numId w:val="2"/>
        </w:numPr>
        <w:tabs>
          <w:tab w:val="clear" w:pos="1620"/>
          <w:tab w:val="num" w:pos="540"/>
        </w:tabs>
        <w:spacing w:before="60" w:after="60"/>
        <w:ind w:left="540" w:hanging="180"/>
        <w:jc w:val="both"/>
        <w:rPr>
          <w:rFonts w:ascii="Verdana" w:hAnsi="Verdana"/>
          <w:bCs/>
          <w:sz w:val="16"/>
          <w:szCs w:val="16"/>
        </w:rPr>
      </w:pPr>
      <w:r w:rsidRPr="000A6485">
        <w:rPr>
          <w:rFonts w:ascii="Verdana" w:hAnsi="Verdana"/>
          <w:bCs/>
          <w:sz w:val="16"/>
          <w:szCs w:val="16"/>
        </w:rPr>
        <w:t>implementacja budżetu Miasta w zintegrowanym systemie informatycznym,</w:t>
      </w:r>
    </w:p>
    <w:p w:rsidR="007F07DD" w:rsidRPr="000A6485" w:rsidRDefault="007F07DD" w:rsidP="007F07DD">
      <w:pPr>
        <w:numPr>
          <w:ilvl w:val="0"/>
          <w:numId w:val="2"/>
        </w:numPr>
        <w:tabs>
          <w:tab w:val="clear" w:pos="1620"/>
          <w:tab w:val="num" w:pos="540"/>
        </w:tabs>
        <w:spacing w:before="60" w:after="60"/>
        <w:ind w:left="540" w:hanging="180"/>
        <w:jc w:val="both"/>
        <w:rPr>
          <w:rFonts w:ascii="Verdana" w:hAnsi="Verdana"/>
          <w:bCs/>
          <w:sz w:val="16"/>
          <w:szCs w:val="16"/>
        </w:rPr>
      </w:pPr>
      <w:r w:rsidRPr="000A6485">
        <w:rPr>
          <w:rFonts w:ascii="Verdana" w:hAnsi="Verdana"/>
          <w:bCs/>
          <w:sz w:val="16"/>
          <w:szCs w:val="16"/>
        </w:rPr>
        <w:t>długość okres</w:t>
      </w:r>
      <w:r>
        <w:rPr>
          <w:rFonts w:ascii="Verdana" w:hAnsi="Verdana"/>
          <w:bCs/>
          <w:sz w:val="16"/>
          <w:szCs w:val="16"/>
        </w:rPr>
        <w:t xml:space="preserve">u prognozy - aktualnie lata </w:t>
      </w:r>
      <w:r w:rsidRPr="0090283F">
        <w:rPr>
          <w:rFonts w:ascii="Verdana" w:eastAsiaTheme="minorEastAsia" w:hAnsi="Verdana" w:cs="Verdana"/>
          <w:color w:val="000000"/>
          <w:sz w:val="16"/>
          <w:szCs w:val="16"/>
        </w:rPr>
        <w:t>2022</w:t>
      </w:r>
      <w:r w:rsidRPr="000A6485">
        <w:rPr>
          <w:rFonts w:ascii="Verdana" w:hAnsi="Verdana"/>
          <w:bCs/>
          <w:sz w:val="16"/>
          <w:szCs w:val="16"/>
        </w:rPr>
        <w:t>-2050,</w:t>
      </w:r>
    </w:p>
    <w:p w:rsidR="007F07DD" w:rsidRPr="000A6485" w:rsidRDefault="007F07DD" w:rsidP="007F07DD">
      <w:pPr>
        <w:numPr>
          <w:ilvl w:val="0"/>
          <w:numId w:val="2"/>
        </w:numPr>
        <w:tabs>
          <w:tab w:val="clear" w:pos="1620"/>
          <w:tab w:val="num" w:pos="540"/>
        </w:tabs>
        <w:spacing w:before="60" w:after="60"/>
        <w:ind w:left="540" w:hanging="180"/>
        <w:jc w:val="both"/>
        <w:rPr>
          <w:rFonts w:ascii="Verdana" w:hAnsi="Verdana"/>
          <w:bCs/>
          <w:sz w:val="16"/>
          <w:szCs w:val="16"/>
        </w:rPr>
      </w:pPr>
      <w:r w:rsidRPr="000A6485">
        <w:rPr>
          <w:rFonts w:ascii="Verdana" w:hAnsi="Verdana"/>
          <w:bCs/>
          <w:sz w:val="16"/>
          <w:szCs w:val="16"/>
        </w:rPr>
        <w:t>zakres informacji objętych prognozą (18 dzielnic, 4</w:t>
      </w:r>
      <w:r>
        <w:rPr>
          <w:rFonts w:ascii="Verdana" w:hAnsi="Verdana"/>
          <w:bCs/>
          <w:sz w:val="16"/>
          <w:szCs w:val="16"/>
        </w:rPr>
        <w:t>2</w:t>
      </w:r>
      <w:r w:rsidRPr="000A6485">
        <w:rPr>
          <w:rFonts w:ascii="Verdana" w:hAnsi="Verdana"/>
          <w:bCs/>
          <w:sz w:val="16"/>
          <w:szCs w:val="16"/>
        </w:rPr>
        <w:t xml:space="preserve"> biur</w:t>
      </w:r>
      <w:r>
        <w:rPr>
          <w:rFonts w:ascii="Verdana" w:hAnsi="Verdana"/>
          <w:bCs/>
          <w:sz w:val="16"/>
          <w:szCs w:val="16"/>
        </w:rPr>
        <w:t>a</w:t>
      </w:r>
      <w:r w:rsidRPr="000A6485">
        <w:rPr>
          <w:rFonts w:ascii="Verdana" w:hAnsi="Verdana"/>
          <w:bCs/>
          <w:sz w:val="16"/>
          <w:szCs w:val="16"/>
        </w:rPr>
        <w:t xml:space="preserve"> urzędu, </w:t>
      </w:r>
      <w:r>
        <w:rPr>
          <w:rFonts w:ascii="Verdana" w:hAnsi="Verdana"/>
          <w:bCs/>
          <w:sz w:val="16"/>
          <w:szCs w:val="16"/>
        </w:rPr>
        <w:t>95</w:t>
      </w:r>
      <w:r w:rsidRPr="000A6485">
        <w:rPr>
          <w:rFonts w:ascii="Verdana" w:hAnsi="Verdana"/>
          <w:bCs/>
          <w:sz w:val="16"/>
          <w:szCs w:val="16"/>
        </w:rPr>
        <w:t xml:space="preserve"> jednostek budżetowych </w:t>
      </w:r>
      <w:r w:rsidRPr="000A6485">
        <w:rPr>
          <w:rFonts w:ascii="Verdana" w:hAnsi="Verdana"/>
          <w:bCs/>
          <w:sz w:val="16"/>
          <w:szCs w:val="16"/>
        </w:rPr>
        <w:br/>
        <w:t>o charakterze ogólnomiejskim),</w:t>
      </w:r>
    </w:p>
    <w:p w:rsidR="007F07DD" w:rsidRPr="000A6485" w:rsidRDefault="007F07DD" w:rsidP="007F07DD">
      <w:pPr>
        <w:numPr>
          <w:ilvl w:val="0"/>
          <w:numId w:val="2"/>
        </w:numPr>
        <w:tabs>
          <w:tab w:val="clear" w:pos="1620"/>
          <w:tab w:val="num" w:pos="540"/>
        </w:tabs>
        <w:spacing w:before="60" w:after="60"/>
        <w:ind w:left="540" w:hanging="180"/>
        <w:jc w:val="both"/>
        <w:rPr>
          <w:rFonts w:ascii="Verdana" w:hAnsi="Verdana"/>
          <w:bCs/>
          <w:sz w:val="16"/>
          <w:szCs w:val="16"/>
        </w:rPr>
      </w:pPr>
      <w:r w:rsidRPr="000A6485">
        <w:rPr>
          <w:rFonts w:ascii="Verdana" w:hAnsi="Verdana"/>
          <w:bCs/>
          <w:sz w:val="16"/>
          <w:szCs w:val="16"/>
        </w:rPr>
        <w:t xml:space="preserve">konieczność zapewnienia bezpieczeństwa budżetowego w zakresie planowania przedsięwzięć wieloletnich ujmowanych w Wieloletniej Prognozie Finansowej, stanowiących podstawę do zaciągania zobowiązań wieloletnich. </w:t>
      </w:r>
    </w:p>
    <w:p w:rsidR="007F07DD" w:rsidRDefault="007F07DD" w:rsidP="007F07DD">
      <w:pPr>
        <w:spacing w:before="60" w:after="60"/>
        <w:ind w:firstLine="567"/>
        <w:jc w:val="both"/>
        <w:rPr>
          <w:rFonts w:ascii="Verdana" w:hAnsi="Verdana"/>
          <w:bCs/>
          <w:sz w:val="16"/>
          <w:szCs w:val="16"/>
        </w:rPr>
      </w:pPr>
      <w:r w:rsidRPr="000A6485">
        <w:rPr>
          <w:rFonts w:ascii="Verdana" w:hAnsi="Verdana"/>
          <w:bCs/>
          <w:sz w:val="16"/>
          <w:szCs w:val="16"/>
        </w:rPr>
        <w:t>WPF m.st. Warszawy oprócz prognoz podstawowych wielkości budżetowych, którymi są między innymi dochody, wydatki, przychody, rozchody</w:t>
      </w:r>
      <w:r>
        <w:rPr>
          <w:rFonts w:ascii="Verdana" w:hAnsi="Verdana"/>
          <w:bCs/>
          <w:sz w:val="16"/>
          <w:szCs w:val="16"/>
        </w:rPr>
        <w:t>, wynik budżetu</w:t>
      </w:r>
      <w:r w:rsidRPr="000A6485">
        <w:rPr>
          <w:rFonts w:ascii="Verdana" w:hAnsi="Verdana"/>
          <w:bCs/>
          <w:sz w:val="16"/>
          <w:szCs w:val="16"/>
        </w:rPr>
        <w:t xml:space="preserve">, a także informacji o przeznaczeniu środków zwrotnych, zawiera załącznik z wykazem wieloletnich przedsięwzięć bieżących i majątkowych. Wśród nich znajdują się przedsięwzięcia będące w trakcie realizacji oraz planowane do realizacji w okresie co najmniej dwóch lat. </w:t>
      </w:r>
      <w:r>
        <w:rPr>
          <w:rFonts w:ascii="Verdana" w:hAnsi="Verdana"/>
          <w:bCs/>
          <w:sz w:val="16"/>
          <w:szCs w:val="16"/>
        </w:rPr>
        <w:br/>
      </w:r>
      <w:r w:rsidRPr="000A6485">
        <w:rPr>
          <w:rFonts w:ascii="Verdana" w:hAnsi="Verdana"/>
          <w:bCs/>
          <w:sz w:val="16"/>
          <w:szCs w:val="16"/>
        </w:rPr>
        <w:t xml:space="preserve">Dla opracowania niniejszego zestawienia niezbędne jest gromadzenie odpowiednio zagregowanych informacji </w:t>
      </w:r>
      <w:r>
        <w:rPr>
          <w:rFonts w:ascii="Verdana" w:hAnsi="Verdana"/>
          <w:bCs/>
          <w:sz w:val="16"/>
          <w:szCs w:val="16"/>
        </w:rPr>
        <w:br/>
      </w:r>
      <w:r w:rsidRPr="000A6485">
        <w:rPr>
          <w:rFonts w:ascii="Verdana" w:hAnsi="Verdana"/>
          <w:bCs/>
          <w:sz w:val="16"/>
          <w:szCs w:val="16"/>
        </w:rPr>
        <w:t>w powyższym zakresie ze wszystkich jednostek organizacyjnych Miasta, w tym wszystkich jednostek funkcjonujących w dzielnicach.</w:t>
      </w:r>
      <w:r>
        <w:rPr>
          <w:rFonts w:ascii="Verdana" w:hAnsi="Verdana"/>
          <w:bCs/>
          <w:sz w:val="16"/>
          <w:szCs w:val="16"/>
        </w:rPr>
        <w:br w:type="page"/>
      </w:r>
    </w:p>
    <w:p w:rsidR="007F07DD" w:rsidRPr="000A6485" w:rsidRDefault="007F07DD" w:rsidP="007F07DD">
      <w:pPr>
        <w:spacing w:before="120" w:after="120" w:line="240" w:lineRule="auto"/>
        <w:ind w:left="284" w:hanging="284"/>
        <w:rPr>
          <w:rFonts w:ascii="Verdana" w:hAnsi="Verdana"/>
          <w:b/>
          <w:bCs/>
          <w:sz w:val="20"/>
          <w:szCs w:val="20"/>
        </w:rPr>
      </w:pPr>
      <w:r w:rsidRPr="000A6485">
        <w:rPr>
          <w:rFonts w:ascii="Verdana" w:hAnsi="Verdana"/>
          <w:b/>
          <w:bCs/>
          <w:sz w:val="20"/>
          <w:szCs w:val="20"/>
        </w:rPr>
        <w:lastRenderedPageBreak/>
        <w:t xml:space="preserve">6.2 Schemat procesu opracowywania Wieloletniej Prognozy Finansowej </w:t>
      </w:r>
      <w:r>
        <w:rPr>
          <w:rFonts w:ascii="Verdana" w:hAnsi="Verdana"/>
          <w:b/>
          <w:bCs/>
          <w:sz w:val="20"/>
          <w:szCs w:val="20"/>
        </w:rPr>
        <w:br/>
        <w:t xml:space="preserve">m.st. Warszawy na lata </w:t>
      </w:r>
      <w:r w:rsidRPr="0090283F">
        <w:rPr>
          <w:rFonts w:ascii="Verdana" w:hAnsi="Verdana"/>
          <w:b/>
          <w:bCs/>
          <w:sz w:val="20"/>
          <w:szCs w:val="20"/>
        </w:rPr>
        <w:t>2022</w:t>
      </w:r>
      <w:r w:rsidRPr="000A6485">
        <w:rPr>
          <w:rFonts w:ascii="Verdana" w:hAnsi="Verdana"/>
          <w:b/>
          <w:bCs/>
          <w:sz w:val="20"/>
          <w:szCs w:val="20"/>
        </w:rPr>
        <w:t>-2050</w:t>
      </w:r>
    </w:p>
    <w:p w:rsidR="007F07DD" w:rsidRDefault="007F07DD" w:rsidP="007F07DD">
      <w:pPr>
        <w:spacing w:before="120" w:after="120"/>
        <w:jc w:val="center"/>
        <w:rPr>
          <w:rFonts w:ascii="Verdana" w:hAnsi="Verdana"/>
          <w:b/>
          <w:bCs/>
          <w:sz w:val="22"/>
          <w:szCs w:val="22"/>
        </w:rPr>
      </w:pPr>
      <w:r w:rsidRPr="000A6485">
        <w:rPr>
          <w:noProof/>
        </w:rPr>
        <mc:AlternateContent>
          <mc:Choice Requires="wps">
            <w:drawing>
              <wp:anchor distT="0" distB="0" distL="114300" distR="114300" simplePos="0" relativeHeight="251699200" behindDoc="0" locked="0" layoutInCell="1" allowOverlap="1" wp14:anchorId="6140DCDD" wp14:editId="1065E733">
                <wp:simplePos x="0" y="0"/>
                <wp:positionH relativeFrom="column">
                  <wp:posOffset>1434465</wp:posOffset>
                </wp:positionH>
                <wp:positionV relativeFrom="paragraph">
                  <wp:posOffset>9210040</wp:posOffset>
                </wp:positionV>
                <wp:extent cx="1619250" cy="485775"/>
                <wp:effectExtent l="0" t="0" r="0" b="9525"/>
                <wp:wrapNone/>
                <wp:docPr id="3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85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6C3CD6" id="Prostokąt 4" o:spid="_x0000_s1026" style="position:absolute;margin-left:112.95pt;margin-top:725.2pt;width:127.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" fillcolor="white [3212]" stroked="f" strokeweight="1pt">
                <v:path arrowok="t"/>
              </v:rect>
            </w:pict>
          </mc:Fallback>
        </mc:AlternateContent>
      </w:r>
      <w:r w:rsidRPr="000A6485">
        <w:rPr>
          <w:noProof/>
        </w:rPr>
        <mc:AlternateContent>
          <mc:Choice Requires="wps">
            <w:drawing>
              <wp:anchor distT="0" distB="0" distL="114300" distR="114300" simplePos="0" relativeHeight="251700224" behindDoc="0" locked="0" layoutInCell="1" allowOverlap="1" wp14:anchorId="30634BFF" wp14:editId="6C673F83">
                <wp:simplePos x="0" y="0"/>
                <wp:positionH relativeFrom="column">
                  <wp:posOffset>3266440</wp:posOffset>
                </wp:positionH>
                <wp:positionV relativeFrom="paragraph">
                  <wp:posOffset>9105380</wp:posOffset>
                </wp:positionV>
                <wp:extent cx="1880870" cy="914400"/>
                <wp:effectExtent l="0" t="0" r="24130" b="1905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914400"/>
                        </a:xfrm>
                        <a:prstGeom prst="rect">
                          <a:avLst/>
                        </a:prstGeom>
                        <a:solidFill>
                          <a:srgbClr val="FFFFFF"/>
                        </a:solidFill>
                        <a:ln w="9525">
                          <a:solidFill>
                            <a:schemeClr val="bg1">
                              <a:lumMod val="100000"/>
                              <a:lumOff val="0"/>
                            </a:schemeClr>
                          </a:solidFill>
                          <a:miter lim="800000"/>
                          <a:headEnd/>
                          <a:tailEnd/>
                        </a:ln>
                      </wps:spPr>
                      <wps:txbx>
                        <w:txbxContent>
                          <w:p w:rsidR="0043105E" w:rsidRDefault="0043105E" w:rsidP="007F07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4BFF" id="Text Box 37" o:spid="_x0000_s1028" type="#_x0000_t202" style="position:absolute;left:0;text-align:left;margin-left:257.2pt;margin-top:716.95pt;width:148.1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" strokecolor="white [3212]">
                <v:textbox>
                  <w:txbxContent>
                    <w:p w:rsidR="0043105E" w:rsidRDefault="0043105E" w:rsidP="007F07DD"/>
                  </w:txbxContent>
                </v:textbox>
              </v:shape>
            </w:pict>
          </mc:Fallback>
        </mc:AlternateContent>
      </w:r>
      <w:r w:rsidRPr="000A6485">
        <w:rPr>
          <w:noProof/>
        </w:rPr>
        <mc:AlternateContent>
          <mc:Choice Requires="wps">
            <w:drawing>
              <wp:anchor distT="0" distB="0" distL="114300" distR="114300" simplePos="0" relativeHeight="251698176" behindDoc="0" locked="0" layoutInCell="1" allowOverlap="1" wp14:anchorId="4FFC888A" wp14:editId="260EEB07">
                <wp:simplePos x="0" y="0"/>
                <wp:positionH relativeFrom="column">
                  <wp:posOffset>3126105</wp:posOffset>
                </wp:positionH>
                <wp:positionV relativeFrom="paragraph">
                  <wp:posOffset>8864600</wp:posOffset>
                </wp:positionV>
                <wp:extent cx="1857375" cy="790575"/>
                <wp:effectExtent l="0" t="0" r="9525" b="952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EC2B" id="Prostokąt 36" o:spid="_x0000_s1026" style="position:absolute;margin-left:246.15pt;margin-top:698pt;width:146.2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" stroked="f"/>
            </w:pict>
          </mc:Fallback>
        </mc:AlternateContent>
      </w:r>
      <w:r w:rsidRPr="000F49D2">
        <w:rPr>
          <w:noProof/>
        </w:rPr>
        <w:drawing>
          <wp:inline distT="0" distB="0" distL="0" distR="0" wp14:anchorId="255B3DAB" wp14:editId="38597F98">
            <wp:extent cx="5759890" cy="842708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1603"/>
                    <a:stretch/>
                  </pic:blipFill>
                  <pic:spPr bwMode="auto">
                    <a:xfrm>
                      <a:off x="0" y="0"/>
                      <a:ext cx="5765367" cy="843509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b/>
          <w:bCs/>
          <w:sz w:val="22"/>
          <w:szCs w:val="22"/>
        </w:rPr>
        <w:br w:type="page"/>
      </w:r>
    </w:p>
    <w:p w:rsidR="007F07DD" w:rsidRPr="000A6485" w:rsidRDefault="007F07DD" w:rsidP="007F07DD">
      <w:pPr>
        <w:spacing w:before="240" w:after="240" w:line="240" w:lineRule="auto"/>
        <w:ind w:left="425" w:hanging="425"/>
        <w:rPr>
          <w:rFonts w:ascii="Verdana" w:hAnsi="Verdana"/>
          <w:b/>
          <w:bCs/>
          <w:sz w:val="22"/>
          <w:szCs w:val="22"/>
        </w:rPr>
      </w:pPr>
      <w:r w:rsidRPr="000A6485">
        <w:rPr>
          <w:rFonts w:ascii="Verdana" w:hAnsi="Verdana"/>
          <w:b/>
          <w:bCs/>
          <w:sz w:val="22"/>
          <w:szCs w:val="22"/>
        </w:rPr>
        <w:lastRenderedPageBreak/>
        <w:t xml:space="preserve">7.  Założenia Wieloletniej Prognozy Finansowej m.st. Warszawy </w:t>
      </w:r>
      <w:r w:rsidRPr="000A6485">
        <w:rPr>
          <w:rFonts w:ascii="Verdana" w:hAnsi="Verdana"/>
          <w:b/>
          <w:bCs/>
          <w:sz w:val="22"/>
          <w:szCs w:val="22"/>
        </w:rPr>
        <w:br/>
      </w:r>
      <w:r>
        <w:rPr>
          <w:rFonts w:ascii="Verdana" w:hAnsi="Verdana"/>
          <w:b/>
          <w:bCs/>
          <w:sz w:val="22"/>
          <w:szCs w:val="22"/>
        </w:rPr>
        <w:t xml:space="preserve">na lata </w:t>
      </w:r>
      <w:r w:rsidRPr="0090283F">
        <w:rPr>
          <w:rFonts w:ascii="Verdana" w:hAnsi="Verdana"/>
          <w:b/>
          <w:bCs/>
          <w:sz w:val="20"/>
          <w:szCs w:val="20"/>
        </w:rPr>
        <w:t>2022</w:t>
      </w:r>
      <w:r w:rsidRPr="000A6485">
        <w:rPr>
          <w:rFonts w:ascii="Verdana" w:hAnsi="Verdana"/>
          <w:b/>
          <w:bCs/>
          <w:sz w:val="22"/>
          <w:szCs w:val="22"/>
        </w:rPr>
        <w:t>-2050</w:t>
      </w:r>
    </w:p>
    <w:p w:rsidR="007F07DD" w:rsidRPr="00AC083A" w:rsidRDefault="007F07DD" w:rsidP="007F07DD">
      <w:pPr>
        <w:spacing w:before="60" w:after="60"/>
        <w:ind w:firstLine="567"/>
        <w:jc w:val="both"/>
        <w:rPr>
          <w:rFonts w:ascii="Verdana" w:hAnsi="Verdana"/>
          <w:sz w:val="16"/>
          <w:szCs w:val="16"/>
        </w:rPr>
      </w:pPr>
      <w:r>
        <w:rPr>
          <w:rFonts w:ascii="Verdana" w:hAnsi="Verdana" w:cs="Arial"/>
          <w:iCs/>
          <w:sz w:val="16"/>
          <w:szCs w:val="16"/>
        </w:rPr>
        <w:t xml:space="preserve">Wieloletnia Prognoza Finansowa </w:t>
      </w:r>
      <w:r w:rsidRPr="00DD26A6">
        <w:rPr>
          <w:rFonts w:ascii="Verdana" w:hAnsi="Verdana" w:cs="Arial"/>
          <w:iCs/>
          <w:sz w:val="16"/>
          <w:szCs w:val="16"/>
        </w:rPr>
        <w:t xml:space="preserve">m.st. Warszawy na lata </w:t>
      </w:r>
      <w:r w:rsidRPr="0090283F">
        <w:rPr>
          <w:rFonts w:ascii="Verdana" w:eastAsiaTheme="minorEastAsia" w:hAnsi="Verdana" w:cs="Verdana"/>
          <w:color w:val="000000"/>
          <w:sz w:val="16"/>
          <w:szCs w:val="16"/>
        </w:rPr>
        <w:t>2022</w:t>
      </w:r>
      <w:r w:rsidRPr="00DD26A6">
        <w:rPr>
          <w:rFonts w:ascii="Verdana" w:hAnsi="Verdana" w:cs="Arial"/>
          <w:iCs/>
          <w:sz w:val="16"/>
          <w:szCs w:val="16"/>
        </w:rPr>
        <w:t>-2050</w:t>
      </w:r>
      <w:r>
        <w:rPr>
          <w:rFonts w:ascii="Verdana" w:hAnsi="Verdana"/>
          <w:sz w:val="16"/>
          <w:szCs w:val="16"/>
        </w:rPr>
        <w:t xml:space="preserve"> została opracowana</w:t>
      </w:r>
      <w:r w:rsidRPr="00AC083A">
        <w:rPr>
          <w:rFonts w:ascii="Verdana" w:hAnsi="Verdana"/>
          <w:sz w:val="16"/>
          <w:szCs w:val="16"/>
        </w:rPr>
        <w:t xml:space="preserve"> </w:t>
      </w:r>
      <w:r w:rsidRPr="000A6485">
        <w:rPr>
          <w:rFonts w:ascii="Verdana" w:hAnsi="Verdana"/>
          <w:sz w:val="16"/>
          <w:szCs w:val="16"/>
        </w:rPr>
        <w:t>na bazie poprzedniej edycji WPF, tj. obejmującej</w:t>
      </w:r>
      <w:r>
        <w:rPr>
          <w:rFonts w:ascii="Verdana" w:hAnsi="Verdana"/>
          <w:sz w:val="16"/>
          <w:szCs w:val="16"/>
        </w:rPr>
        <w:t xml:space="preserve"> lata </w:t>
      </w:r>
      <w:r w:rsidRPr="0090283F">
        <w:rPr>
          <w:rFonts w:ascii="Verdana" w:eastAsiaTheme="minorEastAsia" w:hAnsi="Verdana" w:cs="Verdana"/>
          <w:color w:val="000000"/>
          <w:sz w:val="16"/>
          <w:szCs w:val="16"/>
        </w:rPr>
        <w:t>2021</w:t>
      </w:r>
      <w:r>
        <w:rPr>
          <w:rFonts w:ascii="Verdana" w:hAnsi="Verdana"/>
          <w:sz w:val="16"/>
          <w:szCs w:val="16"/>
        </w:rPr>
        <w:t xml:space="preserve">-2050, </w:t>
      </w:r>
      <w:r w:rsidRPr="00AC083A">
        <w:rPr>
          <w:rFonts w:ascii="Verdana" w:hAnsi="Verdana"/>
          <w:sz w:val="16"/>
          <w:szCs w:val="16"/>
        </w:rPr>
        <w:t xml:space="preserve">z uwzględnieniem planowanych </w:t>
      </w:r>
      <w:r>
        <w:rPr>
          <w:rFonts w:ascii="Verdana" w:hAnsi="Verdana"/>
          <w:sz w:val="16"/>
          <w:szCs w:val="16"/>
        </w:rPr>
        <w:t xml:space="preserve">na </w:t>
      </w:r>
      <w:r w:rsidRPr="0090283F">
        <w:rPr>
          <w:rFonts w:ascii="Verdana" w:eastAsiaTheme="minorEastAsia" w:hAnsi="Verdana" w:cs="Verdana"/>
          <w:color w:val="000000"/>
          <w:sz w:val="16"/>
          <w:szCs w:val="16"/>
        </w:rPr>
        <w:t>2022</w:t>
      </w:r>
      <w:r>
        <w:rPr>
          <w:rFonts w:ascii="Verdana" w:hAnsi="Verdana"/>
          <w:sz w:val="16"/>
          <w:szCs w:val="16"/>
        </w:rPr>
        <w:t xml:space="preserve"> r. </w:t>
      </w:r>
      <w:r w:rsidRPr="00AC083A">
        <w:rPr>
          <w:rFonts w:ascii="Verdana" w:hAnsi="Verdana"/>
          <w:sz w:val="16"/>
          <w:szCs w:val="16"/>
        </w:rPr>
        <w:t xml:space="preserve">dochodów </w:t>
      </w:r>
      <w:r>
        <w:rPr>
          <w:rFonts w:ascii="Verdana" w:hAnsi="Verdana"/>
          <w:sz w:val="16"/>
          <w:szCs w:val="16"/>
        </w:rPr>
        <w:br/>
      </w:r>
      <w:r w:rsidRPr="00AC083A">
        <w:rPr>
          <w:rFonts w:ascii="Verdana" w:hAnsi="Verdana"/>
          <w:sz w:val="16"/>
          <w:szCs w:val="16"/>
        </w:rPr>
        <w:t xml:space="preserve">z podatków dochodowych od osób fizycznych (PIT) i osób prawnych (CIT) </w:t>
      </w:r>
      <w:r>
        <w:rPr>
          <w:rFonts w:ascii="Verdana" w:hAnsi="Verdana"/>
          <w:sz w:val="16"/>
          <w:szCs w:val="16"/>
        </w:rPr>
        <w:t xml:space="preserve">oraz dochodów z subwencji ogólnej, </w:t>
      </w:r>
      <w:r>
        <w:rPr>
          <w:rFonts w:ascii="Verdana" w:hAnsi="Verdana"/>
          <w:sz w:val="16"/>
          <w:szCs w:val="16"/>
        </w:rPr>
        <w:br/>
        <w:t>a także</w:t>
      </w:r>
      <w:r w:rsidRPr="00AC083A">
        <w:rPr>
          <w:rFonts w:ascii="Verdana" w:hAnsi="Verdana"/>
          <w:sz w:val="16"/>
          <w:szCs w:val="16"/>
        </w:rPr>
        <w:t xml:space="preserve"> </w:t>
      </w:r>
      <w:r>
        <w:rPr>
          <w:rFonts w:ascii="Verdana" w:hAnsi="Verdana"/>
          <w:sz w:val="16"/>
          <w:szCs w:val="16"/>
        </w:rPr>
        <w:t xml:space="preserve">wysokości </w:t>
      </w:r>
      <w:r w:rsidRPr="00AC083A">
        <w:rPr>
          <w:rFonts w:ascii="Verdana" w:hAnsi="Verdana"/>
          <w:sz w:val="16"/>
          <w:szCs w:val="16"/>
        </w:rPr>
        <w:t xml:space="preserve">wpłaty do budżetu państwa na rzecz subwencji ogólnej w części równoważącej </w:t>
      </w:r>
      <w:r>
        <w:rPr>
          <w:rFonts w:ascii="Verdana" w:hAnsi="Verdana"/>
          <w:sz w:val="16"/>
          <w:szCs w:val="16"/>
        </w:rPr>
        <w:br/>
      </w:r>
      <w:r w:rsidRPr="00AC083A">
        <w:rPr>
          <w:rFonts w:ascii="Verdana" w:hAnsi="Verdana"/>
          <w:sz w:val="16"/>
          <w:szCs w:val="16"/>
        </w:rPr>
        <w:t xml:space="preserve">(tzw. Janosikowe) na poziomie zgodnym z kwotami podanymi przez Ministerstwo </w:t>
      </w:r>
      <w:r>
        <w:rPr>
          <w:rFonts w:ascii="Verdana" w:hAnsi="Verdana"/>
          <w:sz w:val="16"/>
          <w:szCs w:val="16"/>
        </w:rPr>
        <w:t xml:space="preserve">Finansów </w:t>
      </w:r>
      <w:r w:rsidRPr="00AC083A">
        <w:rPr>
          <w:rFonts w:ascii="Verdana" w:hAnsi="Verdana"/>
          <w:sz w:val="16"/>
          <w:szCs w:val="16"/>
        </w:rPr>
        <w:t xml:space="preserve">w pismach </w:t>
      </w:r>
      <w:r>
        <w:rPr>
          <w:rFonts w:ascii="Verdana" w:hAnsi="Verdana"/>
          <w:sz w:val="16"/>
          <w:szCs w:val="16"/>
        </w:rPr>
        <w:br/>
      </w:r>
      <w:r w:rsidRPr="00AC083A">
        <w:rPr>
          <w:rFonts w:ascii="Verdana" w:hAnsi="Verdana"/>
          <w:sz w:val="16"/>
          <w:szCs w:val="16"/>
        </w:rPr>
        <w:t xml:space="preserve">z 14 października 2021 r. znak: ST3.4750.31.2021 i ST8.4750.5.2021. Stosownie do informacji przedstawionej w powyższych pismach, przekazane przez Ministerstwo </w:t>
      </w:r>
      <w:r>
        <w:rPr>
          <w:rFonts w:ascii="Verdana" w:hAnsi="Verdana"/>
          <w:sz w:val="16"/>
          <w:szCs w:val="16"/>
        </w:rPr>
        <w:t xml:space="preserve">Finansów </w:t>
      </w:r>
      <w:r w:rsidRPr="00AC083A">
        <w:rPr>
          <w:rFonts w:ascii="Verdana" w:hAnsi="Verdana"/>
          <w:sz w:val="16"/>
          <w:szCs w:val="16"/>
        </w:rPr>
        <w:t xml:space="preserve">parametry budżetowe dla m.st. Warszawy zostały ustalone na podstawie: </w:t>
      </w:r>
    </w:p>
    <w:p w:rsidR="007F07DD" w:rsidRPr="002B7679" w:rsidRDefault="007F07DD" w:rsidP="007F07DD">
      <w:pPr>
        <w:pStyle w:val="Akapitzlist"/>
        <w:numPr>
          <w:ilvl w:val="0"/>
          <w:numId w:val="55"/>
        </w:numPr>
        <w:spacing w:before="60" w:after="60"/>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 z 29</w:t>
      </w:r>
      <w:r w:rsidRPr="00AC083A">
        <w:rPr>
          <w:rFonts w:ascii="Verdana" w:hAnsi="Verdana" w:cs="Arial"/>
          <w:sz w:val="16"/>
          <w:szCs w:val="16"/>
        </w:rPr>
        <w:t xml:space="preserve"> października 2021 r. </w:t>
      </w:r>
      <w:r w:rsidRPr="00AC083A">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(Dz.U. poz. 2105)</w:t>
      </w:r>
      <w:r w:rsidRPr="00AC083A">
        <w:rPr>
          <w:rFonts w:ascii="Verdana" w:hAnsi="Verdana" w:cs="Arial"/>
          <w:sz w:val="16"/>
          <w:szCs w:val="16"/>
        </w:rPr>
        <w:t>,</w:t>
      </w:r>
    </w:p>
    <w:p w:rsidR="007F07DD" w:rsidRPr="002B7679" w:rsidRDefault="007F07DD" w:rsidP="007F07DD">
      <w:pPr>
        <w:pStyle w:val="Akapitzlist"/>
        <w:numPr>
          <w:ilvl w:val="0"/>
          <w:numId w:val="55"/>
        </w:numPr>
        <w:spacing w:before="60" w:after="60"/>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Pr>
          <w:rFonts w:ascii="Verdana" w:hAnsi="Verdana" w:cs="Arial"/>
          <w:iCs/>
          <w:sz w:val="16"/>
          <w:szCs w:val="16"/>
        </w:rPr>
        <w:t xml:space="preserve">Dz.U. </w:t>
      </w:r>
      <w:r w:rsidRPr="00AC083A">
        <w:rPr>
          <w:rFonts w:ascii="Verdana" w:hAnsi="Verdana" w:cs="Arial"/>
          <w:iCs/>
          <w:sz w:val="16"/>
          <w:szCs w:val="16"/>
        </w:rPr>
        <w:t>poz. 1927</w:t>
      </w:r>
      <w:r w:rsidRPr="00AC083A">
        <w:rPr>
          <w:rFonts w:ascii="Verdana" w:hAnsi="Verdana" w:cs="Arial"/>
          <w:sz w:val="16"/>
          <w:szCs w:val="16"/>
        </w:rPr>
        <w:t>).</w:t>
      </w:r>
    </w:p>
    <w:p w:rsidR="007F07DD" w:rsidRPr="002B7679" w:rsidRDefault="007F07DD" w:rsidP="007F07DD">
      <w:pPr>
        <w:spacing w:before="60" w:after="60"/>
        <w:jc w:val="both"/>
        <w:rPr>
          <w:rFonts w:ascii="Verdana" w:hAnsi="Verdana" w:cs="Arial"/>
          <w:sz w:val="16"/>
          <w:szCs w:val="16"/>
        </w:rPr>
      </w:pPr>
      <w:r w:rsidRPr="002B7679">
        <w:rPr>
          <w:rFonts w:ascii="Verdana" w:hAnsi="Verdana" w:cs="Arial"/>
          <w:sz w:val="16"/>
          <w:szCs w:val="16"/>
        </w:rPr>
        <w:t xml:space="preserve">Dochody i wydatki budżetowe m.st. Warszawy związane z Programem „Rodzina 500 Plus” zaplanowano przy założeniu przejęcia przez Zakład Ubezpieczeń Społecznych od czerwca 2022 r. realizacji wypłat świadczeń objętych Programem, co przewiduje ustawa z 17 września 2021 r. </w:t>
      </w:r>
      <w:r w:rsidRPr="002B7679">
        <w:rPr>
          <w:rFonts w:ascii="Verdana" w:hAnsi="Verdana" w:cs="Arial"/>
          <w:i/>
          <w:sz w:val="16"/>
          <w:szCs w:val="16"/>
        </w:rPr>
        <w:t xml:space="preserve">o zmianie ustawy o pomocy państwa </w:t>
      </w:r>
      <w:r>
        <w:rPr>
          <w:rFonts w:ascii="Verdana" w:hAnsi="Verdana" w:cs="Arial"/>
          <w:i/>
          <w:sz w:val="16"/>
          <w:szCs w:val="16"/>
        </w:rPr>
        <w:br/>
      </w:r>
      <w:r w:rsidRPr="002B7679">
        <w:rPr>
          <w:rFonts w:ascii="Verdana" w:hAnsi="Verdana" w:cs="Arial"/>
          <w:i/>
          <w:sz w:val="16"/>
          <w:szCs w:val="16"/>
        </w:rPr>
        <w:t>w wychowaniu dzieci oraz niektórych innych ustaw</w:t>
      </w:r>
      <w:r>
        <w:rPr>
          <w:rFonts w:ascii="Verdana" w:hAnsi="Verdana" w:cs="Arial"/>
          <w:sz w:val="16"/>
          <w:szCs w:val="16"/>
        </w:rPr>
        <w:t xml:space="preserve"> </w:t>
      </w:r>
      <w:r w:rsidRPr="00AC083A">
        <w:rPr>
          <w:rFonts w:ascii="Verdana" w:hAnsi="Verdana" w:cs="Arial"/>
          <w:sz w:val="16"/>
          <w:szCs w:val="16"/>
        </w:rPr>
        <w:t>(</w:t>
      </w:r>
      <w:r>
        <w:rPr>
          <w:rFonts w:ascii="Verdana" w:hAnsi="Verdana" w:cs="Arial"/>
          <w:iCs/>
          <w:sz w:val="16"/>
          <w:szCs w:val="16"/>
        </w:rPr>
        <w:t>Dz.U. poz. 1981</w:t>
      </w:r>
      <w:r w:rsidRPr="00AC083A">
        <w:rPr>
          <w:rFonts w:ascii="Verdana" w:hAnsi="Verdana" w:cs="Arial"/>
          <w:sz w:val="16"/>
          <w:szCs w:val="16"/>
        </w:rPr>
        <w:t>)</w:t>
      </w:r>
      <w:r w:rsidRPr="002B7679">
        <w:rPr>
          <w:rFonts w:ascii="Verdana" w:hAnsi="Verdana" w:cs="Arial"/>
          <w:sz w:val="16"/>
          <w:szCs w:val="16"/>
        </w:rPr>
        <w:t>.</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7.1 Kształtowanie się podstawowych parametrów budżetowych</w:t>
      </w:r>
      <w:r w:rsidRPr="000A6485">
        <w:rPr>
          <w:rStyle w:val="Odwoanieprzypisudolnego"/>
          <w:rFonts w:ascii="Verdana" w:hAnsi="Verdana"/>
          <w:sz w:val="20"/>
          <w:szCs w:val="20"/>
        </w:rPr>
        <w:footnoteReference w:id="8"/>
      </w:r>
    </w:p>
    <w:p w:rsidR="007F07DD" w:rsidRPr="000A6485" w:rsidRDefault="007F07DD" w:rsidP="007F07DD">
      <w:pPr>
        <w:spacing w:before="120" w:after="120"/>
        <w:jc w:val="both"/>
        <w:rPr>
          <w:rFonts w:ascii="Verdana" w:hAnsi="Verdana"/>
          <w:bCs/>
          <w:sz w:val="18"/>
          <w:szCs w:val="18"/>
        </w:rPr>
      </w:pPr>
      <w:r w:rsidRPr="000A6485">
        <w:rPr>
          <w:rFonts w:ascii="Verdana" w:hAnsi="Verdana"/>
          <w:b/>
          <w:bCs/>
          <w:sz w:val="18"/>
          <w:szCs w:val="18"/>
        </w:rPr>
        <w:t>7.1.1 Dochody, wydatki, wynik budżetu</w:t>
      </w:r>
    </w:p>
    <w:p w:rsidR="007F07DD" w:rsidRPr="000A6485" w:rsidRDefault="007F07DD" w:rsidP="007F07DD">
      <w:pPr>
        <w:spacing w:before="120" w:after="120"/>
        <w:jc w:val="both"/>
        <w:rPr>
          <w:rFonts w:ascii="Verdana" w:hAnsi="Verdana"/>
          <w:bCs/>
          <w:sz w:val="16"/>
          <w:szCs w:val="16"/>
        </w:rPr>
      </w:pPr>
      <w:r w:rsidRPr="000A6485">
        <w:rPr>
          <w:rFonts w:ascii="Verdana" w:hAnsi="Verdana"/>
          <w:bCs/>
          <w:sz w:val="16"/>
          <w:szCs w:val="16"/>
        </w:rPr>
        <w:t xml:space="preserve">W perspektywie </w:t>
      </w:r>
      <w:r>
        <w:rPr>
          <w:rFonts w:ascii="Verdana" w:hAnsi="Verdana"/>
          <w:bCs/>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bCs/>
          <w:sz w:val="16"/>
          <w:szCs w:val="16"/>
        </w:rPr>
        <w:t xml:space="preserve">-2050 dla pierwszych </w:t>
      </w:r>
      <w:r>
        <w:rPr>
          <w:rFonts w:ascii="Verdana" w:hAnsi="Verdana"/>
          <w:bCs/>
          <w:sz w:val="16"/>
          <w:szCs w:val="16"/>
        </w:rPr>
        <w:t>pięciu</w:t>
      </w:r>
      <w:r w:rsidRPr="000A6485">
        <w:rPr>
          <w:rFonts w:ascii="Verdana" w:hAnsi="Verdana"/>
          <w:bCs/>
          <w:sz w:val="16"/>
          <w:szCs w:val="16"/>
        </w:rPr>
        <w:t xml:space="preserve"> lat prognozy, tj. lat </w:t>
      </w:r>
      <w:r w:rsidRPr="0090283F">
        <w:rPr>
          <w:rFonts w:ascii="Verdana" w:eastAsiaTheme="minorEastAsia" w:hAnsi="Verdana" w:cs="Verdana"/>
          <w:color w:val="000000"/>
          <w:sz w:val="16"/>
          <w:szCs w:val="16"/>
        </w:rPr>
        <w:t>2022</w:t>
      </w:r>
      <w:r w:rsidRPr="000A6485">
        <w:rPr>
          <w:rFonts w:ascii="Verdana" w:hAnsi="Verdana"/>
          <w:bCs/>
          <w:sz w:val="16"/>
          <w:szCs w:val="16"/>
        </w:rPr>
        <w:t>-202</w:t>
      </w:r>
      <w:r>
        <w:rPr>
          <w:rFonts w:ascii="Verdana" w:hAnsi="Verdana"/>
          <w:bCs/>
          <w:sz w:val="16"/>
          <w:szCs w:val="16"/>
        </w:rPr>
        <w:t>6</w:t>
      </w:r>
      <w:r w:rsidRPr="000A6485">
        <w:rPr>
          <w:rFonts w:ascii="Verdana" w:hAnsi="Verdana"/>
          <w:bCs/>
          <w:sz w:val="16"/>
          <w:szCs w:val="16"/>
        </w:rPr>
        <w:t>, zakłada się wystąpienie ujemnego wyniku budżetowego,</w:t>
      </w:r>
      <w:r>
        <w:rPr>
          <w:rFonts w:ascii="Verdana" w:hAnsi="Verdana"/>
          <w:bCs/>
          <w:sz w:val="16"/>
          <w:szCs w:val="16"/>
        </w:rPr>
        <w:t xml:space="preserve"> związanego głównie z wysokimi nakładami inwestycyjnymi, </w:t>
      </w:r>
      <w:r w:rsidRPr="000A6485">
        <w:rPr>
          <w:rFonts w:ascii="Verdana" w:hAnsi="Verdana"/>
          <w:bCs/>
          <w:sz w:val="16"/>
          <w:szCs w:val="16"/>
        </w:rPr>
        <w:t>natomiast począwszy od 202</w:t>
      </w:r>
      <w:r>
        <w:rPr>
          <w:rFonts w:ascii="Verdana" w:hAnsi="Verdana"/>
          <w:bCs/>
          <w:sz w:val="16"/>
          <w:szCs w:val="16"/>
        </w:rPr>
        <w:t>7</w:t>
      </w:r>
      <w:r w:rsidRPr="000A6485">
        <w:rPr>
          <w:rFonts w:ascii="Verdana" w:hAnsi="Verdana"/>
          <w:bCs/>
          <w:sz w:val="16"/>
          <w:szCs w:val="16"/>
        </w:rPr>
        <w:t xml:space="preserve"> r. </w:t>
      </w:r>
      <w:r>
        <w:rPr>
          <w:rFonts w:ascii="Verdana" w:hAnsi="Verdana"/>
          <w:bCs/>
          <w:sz w:val="16"/>
          <w:szCs w:val="16"/>
        </w:rPr>
        <w:t xml:space="preserve">przewiduje się </w:t>
      </w:r>
      <w:r w:rsidRPr="000A6485">
        <w:rPr>
          <w:rFonts w:ascii="Verdana" w:hAnsi="Verdana"/>
          <w:bCs/>
          <w:sz w:val="16"/>
          <w:szCs w:val="16"/>
        </w:rPr>
        <w:t>uzyskiwanie nadwyżek dochodów nad wydatkami</w:t>
      </w:r>
      <w:r>
        <w:rPr>
          <w:rFonts w:ascii="Verdana" w:hAnsi="Verdana"/>
          <w:bCs/>
          <w:sz w:val="16"/>
          <w:szCs w:val="16"/>
        </w:rPr>
        <w:t xml:space="preserve"> </w:t>
      </w:r>
      <w:r w:rsidRPr="000A6485">
        <w:rPr>
          <w:rFonts w:ascii="Verdana" w:hAnsi="Verdana"/>
          <w:bCs/>
          <w:sz w:val="16"/>
          <w:szCs w:val="16"/>
        </w:rPr>
        <w:t xml:space="preserve">służących spłacie długu </w:t>
      </w:r>
      <w:r>
        <w:rPr>
          <w:rFonts w:ascii="Verdana" w:hAnsi="Verdana"/>
          <w:bCs/>
          <w:sz w:val="16"/>
          <w:szCs w:val="16"/>
        </w:rPr>
        <w:t>zaciągniętego do roku 2014 i w latach 2020-2021 oraz planowanego do zaciągnięcia w latach 2022-2028</w:t>
      </w:r>
      <w:r w:rsidRPr="000A6485">
        <w:rPr>
          <w:rFonts w:ascii="Verdana" w:hAnsi="Verdana"/>
          <w:bCs/>
          <w:sz w:val="16"/>
          <w:szCs w:val="16"/>
        </w:rPr>
        <w:t>.</w:t>
      </w:r>
    </w:p>
    <w:p w:rsidR="007F07DD" w:rsidRPr="000A6485" w:rsidRDefault="007F07DD" w:rsidP="007F07DD">
      <w:pPr>
        <w:tabs>
          <w:tab w:val="left" w:pos="540"/>
        </w:tabs>
        <w:spacing w:before="120" w:after="60"/>
        <w:ind w:left="720" w:hanging="720"/>
        <w:rPr>
          <w:rFonts w:ascii="Verdana" w:hAnsi="Verdana" w:cs="Arial"/>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7</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I WYDATKÓW W M.ST. WARSZAWA NA</w:t>
      </w:r>
      <w:r>
        <w:rPr>
          <w:rFonts w:ascii="Verdana" w:hAnsi="Verdana" w:cs="Arial"/>
          <w:b/>
          <w:bCs/>
          <w:sz w:val="14"/>
          <w:szCs w:val="14"/>
        </w:rPr>
        <w:t xml:space="preserve">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tabs>
          <w:tab w:val="left" w:pos="709"/>
        </w:tabs>
        <w:spacing w:before="60" w:after="60"/>
        <w:ind w:left="709" w:hanging="709"/>
        <w:rPr>
          <w:rFonts w:ascii="Verdana" w:hAnsi="Verdana" w:cs="Arial"/>
          <w:b/>
          <w:bCs/>
          <w:sz w:val="16"/>
          <w:szCs w:val="16"/>
        </w:rPr>
      </w:pPr>
      <w:r>
        <w:rPr>
          <w:noProof/>
        </w:rPr>
        <w:pict>
          <v:shape id="_x0000_i1026" type="#_x0000_t75" style="width:356.1pt;height:185.5pt">
            <v:imagedata r:id="rId20" o:title=""/>
          </v:shape>
        </w:pict>
      </w:r>
      <w:r w:rsidR="007F07DD" w:rsidRPr="000A6485">
        <w:rPr>
          <w:rFonts w:ascii="Verdana" w:hAnsi="Verdana" w:cs="Arial"/>
          <w:b/>
          <w:bCs/>
          <w:sz w:val="16"/>
          <w:szCs w:val="16"/>
        </w:rPr>
        <w:br/>
      </w:r>
    </w:p>
    <w:p w:rsidR="007F07DD" w:rsidRPr="000A6485" w:rsidRDefault="007F07DD" w:rsidP="007F07DD">
      <w:pPr>
        <w:tabs>
          <w:tab w:val="left" w:pos="709"/>
        </w:tabs>
        <w:spacing w:after="60" w:line="240" w:lineRule="auto"/>
        <w:ind w:left="720" w:hanging="720"/>
        <w:rPr>
          <w:rFonts w:ascii="Verdana" w:hAnsi="Verdana" w:cs="Arial"/>
          <w:b/>
          <w:bCs/>
          <w:sz w:val="14"/>
          <w:szCs w:val="14"/>
        </w:rPr>
      </w:pPr>
      <w:r w:rsidRPr="000A6485">
        <w:rPr>
          <w:rFonts w:ascii="Verdana" w:hAnsi="Verdana" w:cs="Arial"/>
          <w:b/>
          <w:bCs/>
          <w:sz w:val="14"/>
          <w:szCs w:val="14"/>
        </w:rPr>
        <w:lastRenderedPageBreak/>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8</w:t>
      </w:r>
      <w:r w:rsidRPr="000A6485">
        <w:rPr>
          <w:rFonts w:ascii="Verdana" w:hAnsi="Verdana" w:cs="Arial"/>
          <w:b/>
          <w:bCs/>
          <w:sz w:val="14"/>
          <w:szCs w:val="14"/>
        </w:rPr>
        <w:fldChar w:fldCharType="end"/>
      </w:r>
      <w:r w:rsidRPr="000A6485">
        <w:rPr>
          <w:rFonts w:ascii="Verdana" w:hAnsi="Verdana" w:cs="Arial"/>
          <w:b/>
          <w:bCs/>
          <w:sz w:val="14"/>
          <w:szCs w:val="14"/>
        </w:rPr>
        <w:t xml:space="preserve">  PROGNOZA WYNIKU BUDŻETU </w:t>
      </w:r>
      <w:r>
        <w:rPr>
          <w:rFonts w:ascii="Verdana" w:hAnsi="Verdana" w:cs="Arial"/>
          <w:b/>
          <w:bCs/>
          <w:sz w:val="14"/>
          <w:szCs w:val="14"/>
        </w:rPr>
        <w:t xml:space="preserve">(DOCHODY – WYDATKI) </w:t>
      </w:r>
      <w:r w:rsidRPr="000A6485">
        <w:rPr>
          <w:rFonts w:ascii="Verdana" w:hAnsi="Verdana" w:cs="Arial"/>
          <w:b/>
          <w:bCs/>
          <w:sz w:val="14"/>
          <w:szCs w:val="14"/>
        </w:rPr>
        <w:t>W M.ST. WAR</w:t>
      </w:r>
      <w:r>
        <w:rPr>
          <w:rFonts w:ascii="Verdana" w:hAnsi="Verdana" w:cs="Arial"/>
          <w:b/>
          <w:bCs/>
          <w:sz w:val="14"/>
          <w:szCs w:val="14"/>
        </w:rPr>
        <w:t xml:space="preserve">SZAWA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
          <w:bCs/>
          <w:sz w:val="14"/>
          <w:szCs w:val="14"/>
        </w:rPr>
        <w:br/>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tabs>
          <w:tab w:val="left" w:pos="709"/>
        </w:tabs>
        <w:spacing w:before="60" w:after="60"/>
        <w:ind w:left="709" w:hanging="709"/>
        <w:rPr>
          <w:noProof/>
        </w:rPr>
      </w:pPr>
      <w:r>
        <w:rPr>
          <w:noProof/>
        </w:rPr>
        <w:pict>
          <v:shape id="_x0000_i1027" type="#_x0000_t75" style="width:398.25pt;height:211.45pt">
            <v:imagedata r:id="rId21" o:title=""/>
          </v:shape>
        </w:pict>
      </w:r>
    </w:p>
    <w:p w:rsidR="007F07DD" w:rsidRDefault="007F07DD" w:rsidP="007F07DD">
      <w:pPr>
        <w:spacing w:before="120" w:after="120"/>
        <w:jc w:val="both"/>
        <w:rPr>
          <w:rFonts w:ascii="Verdana" w:hAnsi="Verdana"/>
          <w:b/>
          <w:bCs/>
          <w:sz w:val="18"/>
          <w:szCs w:val="18"/>
        </w:rPr>
      </w:pPr>
    </w:p>
    <w:p w:rsidR="007F07DD" w:rsidRPr="000A6485" w:rsidRDefault="007F07DD" w:rsidP="007F07DD">
      <w:pPr>
        <w:spacing w:before="120" w:after="120"/>
        <w:jc w:val="both"/>
        <w:rPr>
          <w:rFonts w:ascii="Verdana" w:hAnsi="Verdana"/>
          <w:bCs/>
          <w:sz w:val="16"/>
          <w:szCs w:val="16"/>
        </w:rPr>
      </w:pPr>
      <w:r w:rsidRPr="000A6485">
        <w:rPr>
          <w:rFonts w:ascii="Verdana" w:hAnsi="Verdana"/>
          <w:b/>
          <w:bCs/>
          <w:sz w:val="18"/>
          <w:szCs w:val="18"/>
        </w:rPr>
        <w:t>7.1.2 Program kredytowy</w:t>
      </w:r>
    </w:p>
    <w:p w:rsidR="007F07DD" w:rsidRPr="00A61201" w:rsidRDefault="007F07DD" w:rsidP="007F07DD">
      <w:pPr>
        <w:spacing w:before="60" w:after="60"/>
        <w:jc w:val="both"/>
        <w:rPr>
          <w:rFonts w:ascii="Verdana" w:hAnsi="Verdana" w:cs="Verdana"/>
          <w:sz w:val="16"/>
          <w:szCs w:val="16"/>
        </w:rPr>
      </w:pPr>
      <w:r>
        <w:rPr>
          <w:rFonts w:ascii="Verdana" w:hAnsi="Verdana" w:cs="Verdana"/>
          <w:sz w:val="16"/>
          <w:szCs w:val="16"/>
        </w:rPr>
        <w:t xml:space="preserve">Negatywne konsekwencje dla budżetu m.st. Warszawy osłabienia aktywności gospodarczej w wyniku stanu pandemii nałożone na niekorzystane dla dochodów Miasta trwałe następstwa zmian legislacyjnych w zakresie podatku PIT i użytkowania wieczystego, w powiązaniu z koniecznością zapewnienia niezakłóconej kontynuacji programu inwestycyjnego, w tym zabezpieczenia </w:t>
      </w:r>
      <w:r>
        <w:rPr>
          <w:rFonts w:ascii="Verdana" w:hAnsi="Verdana"/>
          <w:bCs/>
          <w:sz w:val="16"/>
          <w:szCs w:val="16"/>
        </w:rPr>
        <w:t>wyprzedzającego</w:t>
      </w:r>
      <w:r w:rsidRPr="000A6485">
        <w:rPr>
          <w:rFonts w:ascii="Verdana" w:hAnsi="Verdana"/>
          <w:bCs/>
          <w:sz w:val="16"/>
          <w:szCs w:val="16"/>
        </w:rPr>
        <w:t xml:space="preserve"> finansowanie wkładu unijnego do projektów inwestycyjnych</w:t>
      </w:r>
      <w:r w:rsidRPr="00A61201">
        <w:rPr>
          <w:rFonts w:ascii="Verdana" w:hAnsi="Verdana"/>
          <w:bCs/>
          <w:sz w:val="16"/>
          <w:szCs w:val="16"/>
        </w:rPr>
        <w:t xml:space="preserve">, w warunkach zapadalności w </w:t>
      </w:r>
      <w:r>
        <w:rPr>
          <w:rFonts w:ascii="Verdana" w:hAnsi="Verdana"/>
          <w:bCs/>
          <w:sz w:val="16"/>
          <w:szCs w:val="16"/>
        </w:rPr>
        <w:t>latach 2022, 2025, 2028 i 2030</w:t>
      </w:r>
      <w:r w:rsidRPr="00A61201">
        <w:rPr>
          <w:rFonts w:ascii="Verdana" w:hAnsi="Verdana"/>
          <w:bCs/>
          <w:sz w:val="16"/>
          <w:szCs w:val="16"/>
        </w:rPr>
        <w:t xml:space="preserve"> terminów wykupu obligacji wyemitowanych w latach wcześniejszych z przeznaczeniem na wsparcie programu inwestycyjnego</w:t>
      </w:r>
      <w:r>
        <w:rPr>
          <w:rFonts w:ascii="Verdana" w:hAnsi="Verdana"/>
          <w:bCs/>
          <w:sz w:val="16"/>
          <w:szCs w:val="16"/>
        </w:rPr>
        <w:t>, w tym</w:t>
      </w:r>
      <w:r w:rsidRPr="00A61201">
        <w:rPr>
          <w:rFonts w:ascii="Verdana" w:hAnsi="Verdana"/>
          <w:bCs/>
          <w:sz w:val="16"/>
          <w:szCs w:val="16"/>
        </w:rPr>
        <w:t xml:space="preserve"> </w:t>
      </w:r>
      <w:r>
        <w:rPr>
          <w:rFonts w:ascii="Verdana" w:hAnsi="Verdana"/>
          <w:bCs/>
          <w:sz w:val="16"/>
          <w:szCs w:val="16"/>
        </w:rPr>
        <w:br/>
      </w:r>
      <w:r w:rsidRPr="00A61201">
        <w:rPr>
          <w:rFonts w:ascii="Verdana" w:hAnsi="Verdana"/>
          <w:bCs/>
          <w:sz w:val="16"/>
          <w:szCs w:val="16"/>
        </w:rPr>
        <w:t>w okresie poprzedniej unijnej perspektywy finansowej obejmującej lata 2007-2013 oraz przy założeniu utrzymania potencjału Miasta do zapewnienia odpowiedniego poziomu świadczonych usług na rzecz mieszkańców, wymagają adekwatnego czasowego zwiększenia zaangażowania zewnętrznego finansowania w postaci zwrotnych środków dłużnych.</w:t>
      </w:r>
    </w:p>
    <w:p w:rsidR="007F07DD" w:rsidRDefault="007F07DD" w:rsidP="007F07DD">
      <w:pPr>
        <w:spacing w:before="60" w:after="60"/>
        <w:jc w:val="both"/>
        <w:rPr>
          <w:rFonts w:ascii="Verdana" w:hAnsi="Verdana" w:cs="Verdana"/>
          <w:sz w:val="16"/>
          <w:szCs w:val="16"/>
        </w:rPr>
      </w:pPr>
      <w:r w:rsidRPr="00A61201">
        <w:rPr>
          <w:rFonts w:ascii="Verdana" w:hAnsi="Verdana" w:cs="Verdana"/>
          <w:sz w:val="16"/>
          <w:szCs w:val="16"/>
        </w:rPr>
        <w:t>WPF</w:t>
      </w:r>
      <w:r>
        <w:rPr>
          <w:rFonts w:ascii="Verdana" w:hAnsi="Verdana" w:cs="Verdana"/>
          <w:sz w:val="16"/>
          <w:szCs w:val="16"/>
        </w:rPr>
        <w:t xml:space="preserve"> edycji </w:t>
      </w:r>
      <w:r w:rsidRPr="0090283F">
        <w:rPr>
          <w:rFonts w:ascii="Verdana" w:eastAsiaTheme="minorEastAsia" w:hAnsi="Verdana" w:cs="Verdana"/>
          <w:color w:val="000000"/>
          <w:sz w:val="16"/>
          <w:szCs w:val="16"/>
        </w:rPr>
        <w:t>2022</w:t>
      </w:r>
      <w:r>
        <w:rPr>
          <w:rFonts w:ascii="Verdana" w:hAnsi="Verdana" w:cs="Verdana"/>
          <w:sz w:val="16"/>
          <w:szCs w:val="16"/>
        </w:rPr>
        <w:t>-2050 m.st. Warszawy</w:t>
      </w:r>
      <w:r w:rsidRPr="00A61201">
        <w:rPr>
          <w:rFonts w:ascii="Verdana" w:hAnsi="Verdana" w:cs="Verdana"/>
          <w:sz w:val="16"/>
          <w:szCs w:val="16"/>
        </w:rPr>
        <w:t xml:space="preserve"> w perspek</w:t>
      </w:r>
      <w:r>
        <w:rPr>
          <w:rFonts w:ascii="Verdana" w:hAnsi="Verdana" w:cs="Verdana"/>
          <w:sz w:val="16"/>
          <w:szCs w:val="16"/>
        </w:rPr>
        <w:t xml:space="preserve">tywie 2027 r. zakłada pozyskanie w formie środków dłużnych kwoty </w:t>
      </w:r>
      <w:r>
        <w:rPr>
          <w:rFonts w:ascii="Verdana" w:hAnsi="Verdana" w:cs="Verdana"/>
          <w:b/>
          <w:sz w:val="16"/>
          <w:szCs w:val="16"/>
        </w:rPr>
        <w:t>6,788</w:t>
      </w:r>
      <w:r w:rsidRPr="007E7D66">
        <w:rPr>
          <w:rFonts w:ascii="Verdana" w:hAnsi="Verdana" w:cs="Verdana"/>
          <w:b/>
          <w:sz w:val="16"/>
          <w:szCs w:val="16"/>
        </w:rPr>
        <w:t xml:space="preserve"> mld zł</w:t>
      </w:r>
      <w:r>
        <w:rPr>
          <w:rFonts w:ascii="Verdana" w:hAnsi="Verdana" w:cs="Verdana"/>
          <w:sz w:val="16"/>
          <w:szCs w:val="16"/>
        </w:rPr>
        <w:t xml:space="preserve">, z rozkładem w latach zaprezentowanym na poniższym wykresie nr 9. Jednocześnie do 2028 r. planowana jest spłata długu w łącznej kwocie </w:t>
      </w:r>
      <w:r>
        <w:rPr>
          <w:rFonts w:ascii="Verdana" w:hAnsi="Verdana" w:cs="Verdana"/>
          <w:b/>
          <w:sz w:val="16"/>
          <w:szCs w:val="16"/>
        </w:rPr>
        <w:t>3,120 mld zł</w:t>
      </w:r>
      <w:r>
        <w:rPr>
          <w:rFonts w:ascii="Verdana" w:hAnsi="Verdana" w:cs="Verdana"/>
          <w:sz w:val="16"/>
          <w:szCs w:val="16"/>
        </w:rPr>
        <w:t xml:space="preserve">. Tym samym dług w ujęciu netto w całym okresie programu kredytowego, tj. do 2028 r., przyrośnie o </w:t>
      </w:r>
      <w:r>
        <w:rPr>
          <w:rFonts w:ascii="Verdana" w:hAnsi="Verdana" w:cs="Verdana"/>
          <w:b/>
          <w:sz w:val="16"/>
          <w:szCs w:val="16"/>
        </w:rPr>
        <w:t xml:space="preserve">3,668 mld </w:t>
      </w:r>
      <w:r w:rsidRPr="00667710">
        <w:rPr>
          <w:rFonts w:ascii="Verdana" w:hAnsi="Verdana" w:cs="Verdana"/>
          <w:b/>
          <w:sz w:val="16"/>
          <w:szCs w:val="16"/>
        </w:rPr>
        <w:t>zł</w:t>
      </w:r>
      <w:r>
        <w:rPr>
          <w:rFonts w:ascii="Verdana" w:hAnsi="Verdana" w:cs="Verdana"/>
          <w:sz w:val="16"/>
          <w:szCs w:val="16"/>
        </w:rPr>
        <w:t xml:space="preserve"> (nowy dług w kwocie 6,788 mld zł pomniejszony o spłatę długu w kwocie 3,120 mld zł).</w:t>
      </w:r>
    </w:p>
    <w:p w:rsidR="007F07DD" w:rsidRDefault="007F07DD" w:rsidP="007F07DD">
      <w:pPr>
        <w:autoSpaceDE w:val="0"/>
        <w:autoSpaceDN w:val="0"/>
        <w:adjustRightInd w:val="0"/>
        <w:spacing w:before="60" w:after="60"/>
        <w:jc w:val="both"/>
        <w:rPr>
          <w:rFonts w:ascii="Verdana" w:hAnsi="Verdana" w:cs="Verdana"/>
          <w:sz w:val="16"/>
          <w:szCs w:val="16"/>
        </w:rPr>
      </w:pPr>
      <w:r w:rsidRPr="00D162B5">
        <w:rPr>
          <w:rFonts w:ascii="Verdana" w:hAnsi="Verdana" w:cs="Verdana"/>
          <w:sz w:val="16"/>
          <w:szCs w:val="16"/>
        </w:rPr>
        <w:t xml:space="preserve">W ramach programu kredytowego uwzględniono dofinansowanie w formie </w:t>
      </w:r>
      <w:r>
        <w:rPr>
          <w:rFonts w:ascii="Verdana" w:hAnsi="Verdana" w:cs="Verdana"/>
          <w:sz w:val="16"/>
          <w:szCs w:val="16"/>
        </w:rPr>
        <w:t>pożyczek</w:t>
      </w:r>
      <w:r w:rsidRPr="00D162B5">
        <w:rPr>
          <w:rFonts w:ascii="Verdana" w:hAnsi="Verdana" w:cs="Verdana"/>
          <w:sz w:val="16"/>
          <w:szCs w:val="16"/>
        </w:rPr>
        <w:t xml:space="preserve"> z Narodowego Funduszu Ochrony Środowiska i Gospodarki Wodnej do</w:t>
      </w:r>
      <w:r>
        <w:rPr>
          <w:rFonts w:ascii="Verdana" w:hAnsi="Verdana" w:cs="Verdana"/>
          <w:sz w:val="16"/>
          <w:szCs w:val="16"/>
        </w:rPr>
        <w:t xml:space="preserve"> następujących zadań:</w:t>
      </w:r>
    </w:p>
    <w:p w:rsidR="007F07DD" w:rsidRPr="00D162B5" w:rsidRDefault="005F685F"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Pr>
          <w:rFonts w:ascii="Verdana" w:hAnsi="Verdana" w:cs="Verdana"/>
          <w:sz w:val="16"/>
          <w:szCs w:val="16"/>
        </w:rPr>
        <w:t>"EKO</w:t>
      </w:r>
      <w:r w:rsidR="007F07DD" w:rsidRPr="00D162B5">
        <w:rPr>
          <w:rFonts w:ascii="Verdana" w:hAnsi="Verdana" w:cs="Verdana"/>
          <w:sz w:val="16"/>
          <w:szCs w:val="16"/>
        </w:rPr>
        <w:t xml:space="preserve"> P+R Połczyńska" - pożyczka w kwocie 10.000.000 zł w latach 2023-2024 z planowaną spłatą w latach 2025-2038,</w:t>
      </w:r>
    </w:p>
    <w:p w:rsidR="007F07DD" w:rsidRPr="00D162B5" w:rsidRDefault="007F07DD"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sidRPr="00D162B5">
        <w:rPr>
          <w:rFonts w:ascii="Verdana" w:hAnsi="Verdana" w:cs="Verdana"/>
          <w:sz w:val="16"/>
          <w:szCs w:val="16"/>
        </w:rPr>
        <w:t>"Zakup 12 autobusów niskoemisyjnych dla m.st. Warszawy" - pożyczka w kwocie 24.960.000 zł w latach 2024-2025 z planowaną spłatą w latach 2026-2036.</w:t>
      </w:r>
    </w:p>
    <w:p w:rsidR="007F07DD" w:rsidRDefault="007F07DD" w:rsidP="007F07DD">
      <w:pPr>
        <w:tabs>
          <w:tab w:val="left" w:pos="540"/>
        </w:tabs>
        <w:spacing w:before="120" w:after="120" w:line="240" w:lineRule="auto"/>
        <w:ind w:left="720" w:hanging="720"/>
        <w:rPr>
          <w:rFonts w:ascii="Verdana" w:hAnsi="Verdana" w:cs="Arial"/>
          <w:b/>
          <w:bCs/>
          <w:sz w:val="14"/>
          <w:szCs w:val="14"/>
        </w:rPr>
      </w:pPr>
      <w:r>
        <w:rPr>
          <w:rFonts w:ascii="Verdana" w:hAnsi="Verdana" w:cs="Arial"/>
          <w:b/>
          <w:bCs/>
          <w:sz w:val="14"/>
          <w:szCs w:val="14"/>
        </w:rPr>
        <w:br w:type="page"/>
      </w:r>
    </w:p>
    <w:p w:rsidR="007F07DD" w:rsidRPr="000A6485" w:rsidRDefault="007F07DD" w:rsidP="007F07DD">
      <w:pPr>
        <w:tabs>
          <w:tab w:val="left" w:pos="540"/>
        </w:tabs>
        <w:spacing w:before="120" w:after="120" w:line="240" w:lineRule="auto"/>
        <w:ind w:left="720" w:hanging="720"/>
        <w:rPr>
          <w:rFonts w:ascii="Verdana" w:hAnsi="Verdana" w:cs="Arial"/>
          <w:b/>
          <w:bCs/>
          <w:sz w:val="14"/>
          <w:szCs w:val="14"/>
        </w:rPr>
      </w:pPr>
      <w:r w:rsidRPr="000A6485">
        <w:rPr>
          <w:rFonts w:ascii="Verdana" w:hAnsi="Verdana" w:cs="Arial"/>
          <w:b/>
          <w:bCs/>
          <w:sz w:val="14"/>
          <w:szCs w:val="14"/>
        </w:rPr>
        <w:lastRenderedPageBreak/>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9</w:t>
      </w:r>
      <w:r w:rsidRPr="000A6485">
        <w:rPr>
          <w:rFonts w:ascii="Verdana" w:hAnsi="Verdana" w:cs="Arial"/>
          <w:b/>
          <w:bCs/>
          <w:sz w:val="14"/>
          <w:szCs w:val="14"/>
        </w:rPr>
        <w:fldChar w:fldCharType="end"/>
      </w:r>
      <w:r w:rsidRPr="000A6485">
        <w:rPr>
          <w:rFonts w:ascii="Verdana" w:hAnsi="Verdana" w:cs="Arial"/>
          <w:b/>
          <w:bCs/>
          <w:sz w:val="14"/>
          <w:szCs w:val="14"/>
        </w:rPr>
        <w:t xml:space="preserve">  PROGNOZA NOWEGO DŁUGU I SPŁATY DŁUGU W M.ST. WARSZAWA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cs="Arial"/>
          <w:b/>
          <w:bCs/>
          <w:noProof/>
          <w:sz w:val="16"/>
          <w:szCs w:val="16"/>
        </w:rPr>
      </w:pPr>
      <w:r>
        <w:rPr>
          <w:noProof/>
        </w:rPr>
        <w:pict>
          <v:shape id="_x0000_i1028" type="#_x0000_t75" style="width:400.85pt;height:210.15pt">
            <v:imagedata r:id="rId22" o:title=""/>
          </v:shape>
        </w:pict>
      </w:r>
    </w:p>
    <w:p w:rsidR="007F07DD" w:rsidRPr="000A6485" w:rsidRDefault="007F07DD" w:rsidP="007F07DD">
      <w:pPr>
        <w:spacing w:before="240" w:after="240"/>
        <w:jc w:val="both"/>
        <w:rPr>
          <w:rFonts w:ascii="Verdana" w:hAnsi="Verdana"/>
          <w:bCs/>
          <w:sz w:val="16"/>
          <w:szCs w:val="16"/>
        </w:rPr>
      </w:pPr>
      <w:r w:rsidRPr="000A6485">
        <w:rPr>
          <w:rFonts w:ascii="Verdana" w:hAnsi="Verdana"/>
          <w:b/>
          <w:bCs/>
          <w:sz w:val="18"/>
          <w:szCs w:val="18"/>
        </w:rPr>
        <w:t>7.1.3 Zadłużenie</w:t>
      </w:r>
    </w:p>
    <w:p w:rsidR="007F07DD" w:rsidRPr="000A6485" w:rsidRDefault="007F07DD" w:rsidP="007F07DD">
      <w:pPr>
        <w:spacing w:before="60" w:after="60"/>
        <w:jc w:val="both"/>
        <w:rPr>
          <w:rFonts w:ascii="Verdana" w:hAnsi="Verdana"/>
          <w:bCs/>
          <w:sz w:val="16"/>
          <w:szCs w:val="16"/>
        </w:rPr>
      </w:pPr>
      <w:r>
        <w:rPr>
          <w:rFonts w:ascii="Verdana" w:hAnsi="Verdana"/>
          <w:bCs/>
          <w:sz w:val="16"/>
          <w:szCs w:val="16"/>
        </w:rPr>
        <w:t>W</w:t>
      </w:r>
      <w:r w:rsidRPr="000A6485">
        <w:rPr>
          <w:rFonts w:ascii="Verdana" w:hAnsi="Verdana"/>
          <w:bCs/>
          <w:sz w:val="16"/>
          <w:szCs w:val="16"/>
        </w:rPr>
        <w:t xml:space="preserve"> latach 20</w:t>
      </w:r>
      <w:r>
        <w:rPr>
          <w:rFonts w:ascii="Verdana" w:hAnsi="Verdana"/>
          <w:bCs/>
          <w:sz w:val="16"/>
          <w:szCs w:val="16"/>
        </w:rPr>
        <w:t>22-2028</w:t>
      </w:r>
      <w:r w:rsidRPr="000A6485">
        <w:rPr>
          <w:rFonts w:ascii="Verdana" w:hAnsi="Verdana"/>
          <w:bCs/>
          <w:sz w:val="16"/>
          <w:szCs w:val="16"/>
        </w:rPr>
        <w:t xml:space="preserve"> w formie kredytów, pożyczek lub obligacji planuje się pozyskać finansowanie zwrotne </w:t>
      </w:r>
      <w:r>
        <w:rPr>
          <w:rFonts w:ascii="Verdana" w:hAnsi="Verdana"/>
          <w:bCs/>
          <w:sz w:val="16"/>
          <w:szCs w:val="16"/>
        </w:rPr>
        <w:br/>
      </w:r>
      <w:r w:rsidRPr="000A6485">
        <w:rPr>
          <w:rFonts w:ascii="Verdana" w:hAnsi="Verdana"/>
          <w:bCs/>
          <w:sz w:val="16"/>
          <w:szCs w:val="16"/>
        </w:rPr>
        <w:t xml:space="preserve">w łącznej wysokości </w:t>
      </w:r>
      <w:r>
        <w:rPr>
          <w:rFonts w:ascii="Verdana" w:hAnsi="Verdana"/>
          <w:b/>
          <w:bCs/>
          <w:sz w:val="16"/>
          <w:szCs w:val="16"/>
        </w:rPr>
        <w:t>6,788</w:t>
      </w:r>
      <w:r w:rsidRPr="000A6485">
        <w:rPr>
          <w:rFonts w:ascii="Verdana" w:hAnsi="Verdana"/>
          <w:b/>
          <w:bCs/>
          <w:sz w:val="16"/>
          <w:szCs w:val="16"/>
        </w:rPr>
        <w:t xml:space="preserve"> mld zł</w:t>
      </w:r>
      <w:r w:rsidRPr="000A6485">
        <w:rPr>
          <w:rFonts w:ascii="Verdana" w:hAnsi="Verdana"/>
          <w:bCs/>
          <w:sz w:val="16"/>
          <w:szCs w:val="16"/>
        </w:rPr>
        <w:t>. Przewiduje się, że wsparcie programu inwestycyjnego instrumentami dłużnymi zwiększy maksymalny poziom zadłużenia m.st. Warszawy do</w:t>
      </w:r>
      <w:r>
        <w:rPr>
          <w:rFonts w:ascii="Verdana" w:hAnsi="Verdana"/>
          <w:bCs/>
          <w:sz w:val="16"/>
          <w:szCs w:val="16"/>
        </w:rPr>
        <w:t xml:space="preserve"> wartości</w:t>
      </w:r>
      <w:r w:rsidRPr="000A6485">
        <w:rPr>
          <w:rFonts w:ascii="Verdana" w:hAnsi="Verdana"/>
          <w:bCs/>
          <w:sz w:val="16"/>
          <w:szCs w:val="16"/>
        </w:rPr>
        <w:t xml:space="preserve"> </w:t>
      </w:r>
      <w:r>
        <w:rPr>
          <w:rFonts w:ascii="Verdana" w:hAnsi="Verdana"/>
          <w:b/>
          <w:bCs/>
          <w:sz w:val="16"/>
          <w:szCs w:val="16"/>
        </w:rPr>
        <w:t>10,317</w:t>
      </w:r>
      <w:r w:rsidRPr="000A6485">
        <w:rPr>
          <w:rFonts w:ascii="Verdana" w:hAnsi="Verdana"/>
          <w:b/>
          <w:bCs/>
          <w:sz w:val="16"/>
          <w:szCs w:val="16"/>
        </w:rPr>
        <w:t xml:space="preserve"> mld zł</w:t>
      </w:r>
      <w:r w:rsidRPr="000A6485">
        <w:rPr>
          <w:rFonts w:ascii="Verdana" w:hAnsi="Verdana"/>
          <w:bCs/>
          <w:sz w:val="16"/>
          <w:szCs w:val="16"/>
        </w:rPr>
        <w:t xml:space="preserve"> w 202</w:t>
      </w:r>
      <w:r>
        <w:rPr>
          <w:rFonts w:ascii="Verdana" w:hAnsi="Verdana"/>
          <w:bCs/>
          <w:sz w:val="16"/>
          <w:szCs w:val="16"/>
        </w:rPr>
        <w:t>6</w:t>
      </w:r>
      <w:r w:rsidRPr="000A6485">
        <w:rPr>
          <w:rFonts w:ascii="Verdana" w:hAnsi="Verdana"/>
          <w:bCs/>
          <w:sz w:val="16"/>
          <w:szCs w:val="16"/>
        </w:rPr>
        <w:t xml:space="preserve"> r.</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Zakłada się sukcesywną spłatę dotychczasowego i przewidywanego</w:t>
      </w:r>
      <w:r>
        <w:rPr>
          <w:rFonts w:ascii="Verdana" w:hAnsi="Verdana"/>
          <w:bCs/>
          <w:sz w:val="16"/>
          <w:szCs w:val="16"/>
        </w:rPr>
        <w:t xml:space="preserve"> do zaciągnięcia</w:t>
      </w:r>
      <w:r w:rsidRPr="000A6485">
        <w:rPr>
          <w:rFonts w:ascii="Verdana" w:hAnsi="Verdana"/>
          <w:bCs/>
          <w:sz w:val="16"/>
          <w:szCs w:val="16"/>
        </w:rPr>
        <w:t xml:space="preserve"> długu, aż do jego całkowitej redukcji w perspektywie 2050 r., co prezentuje wykres nr </w:t>
      </w:r>
      <w:r>
        <w:rPr>
          <w:rFonts w:ascii="Verdana" w:hAnsi="Verdana"/>
          <w:bCs/>
          <w:sz w:val="16"/>
          <w:szCs w:val="16"/>
        </w:rPr>
        <w:t>10.</w:t>
      </w:r>
    </w:p>
    <w:p w:rsidR="007F07DD" w:rsidRPr="000A6485" w:rsidRDefault="007F07DD" w:rsidP="007F07DD">
      <w:pPr>
        <w:tabs>
          <w:tab w:val="left" w:pos="540"/>
        </w:tabs>
        <w:spacing w:before="60" w:after="60" w:line="240" w:lineRule="auto"/>
        <w:ind w:left="720" w:hanging="720"/>
        <w:rPr>
          <w:rFonts w:ascii="Verdana" w:hAnsi="Verdana" w:cs="Arial"/>
          <w:b/>
          <w:bCs/>
          <w:sz w:val="14"/>
          <w:szCs w:val="14"/>
        </w:rPr>
      </w:pPr>
    </w:p>
    <w:p w:rsidR="007F07DD" w:rsidRPr="000A6485" w:rsidRDefault="007F07DD" w:rsidP="007F07DD">
      <w:pPr>
        <w:tabs>
          <w:tab w:val="left" w:pos="540"/>
        </w:tabs>
        <w:spacing w:before="60" w:after="60" w:line="240" w:lineRule="auto"/>
        <w:ind w:left="720" w:hanging="720"/>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10</w:t>
      </w:r>
      <w:r w:rsidRPr="000A6485">
        <w:rPr>
          <w:rFonts w:ascii="Verdana" w:hAnsi="Verdana" w:cs="Arial"/>
          <w:b/>
          <w:bCs/>
          <w:sz w:val="14"/>
          <w:szCs w:val="14"/>
        </w:rPr>
        <w:fldChar w:fldCharType="end"/>
      </w:r>
      <w:r w:rsidRPr="000A6485">
        <w:rPr>
          <w:rFonts w:ascii="Verdana" w:hAnsi="Verdana" w:cs="Arial"/>
          <w:b/>
          <w:bCs/>
          <w:sz w:val="14"/>
          <w:szCs w:val="14"/>
        </w:rPr>
        <w:t xml:space="preserve">  PROGNOZA STANU ZADŁUŻEN</w:t>
      </w:r>
      <w:r>
        <w:rPr>
          <w:rFonts w:ascii="Verdana" w:hAnsi="Verdana" w:cs="Arial"/>
          <w:b/>
          <w:bCs/>
          <w:sz w:val="14"/>
          <w:szCs w:val="14"/>
        </w:rPr>
        <w:t xml:space="preserve">IA NA KONIEC ROKU W M.ST. WARSZAWA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Cs/>
          <w:sz w:val="18"/>
          <w:szCs w:val="18"/>
        </w:rPr>
      </w:pPr>
      <w:r>
        <w:rPr>
          <w:rFonts w:ascii="Verdana" w:hAnsi="Verdana" w:cs="Arial"/>
          <w:b/>
          <w:bCs/>
          <w:noProof/>
          <w:sz w:val="16"/>
          <w:szCs w:val="16"/>
        </w:rPr>
        <w:pict>
          <v:shape id="_x0000_i1029" type="#_x0000_t75" style="width:398.25pt;height:205.6pt">
            <v:imagedata r:id="rId23" o:title=""/>
          </v:shape>
        </w:pict>
      </w:r>
    </w:p>
    <w:p w:rsidR="007F07DD" w:rsidRDefault="007F07DD" w:rsidP="007F07DD">
      <w:pPr>
        <w:spacing w:before="120" w:after="120"/>
        <w:jc w:val="both"/>
        <w:rPr>
          <w:rFonts w:ascii="Verdana" w:hAnsi="Verdana"/>
          <w:bCs/>
          <w:sz w:val="16"/>
          <w:szCs w:val="16"/>
        </w:rPr>
      </w:pPr>
    </w:p>
    <w:p w:rsidR="007F07DD" w:rsidRPr="000A6485" w:rsidRDefault="007F07DD" w:rsidP="007F07DD">
      <w:pPr>
        <w:spacing w:before="120" w:after="60"/>
        <w:jc w:val="both"/>
        <w:rPr>
          <w:rFonts w:ascii="Verdana" w:hAnsi="Verdana"/>
          <w:bCs/>
          <w:sz w:val="16"/>
          <w:szCs w:val="16"/>
        </w:rPr>
      </w:pPr>
      <w:r>
        <w:rPr>
          <w:rFonts w:ascii="Verdana" w:hAnsi="Verdana"/>
          <w:bCs/>
          <w:sz w:val="16"/>
          <w:szCs w:val="16"/>
        </w:rPr>
        <w:t>Zakłada się, ż</w:t>
      </w:r>
      <w:r w:rsidRPr="000A6485">
        <w:rPr>
          <w:rFonts w:ascii="Verdana" w:hAnsi="Verdana"/>
          <w:bCs/>
          <w:sz w:val="16"/>
          <w:szCs w:val="16"/>
        </w:rPr>
        <w:t xml:space="preserve">e prognozowany poziom zadłużenia mierzony relacją do dochodów </w:t>
      </w:r>
      <w:r>
        <w:rPr>
          <w:rFonts w:ascii="Verdana" w:hAnsi="Verdana"/>
          <w:bCs/>
          <w:sz w:val="16"/>
          <w:szCs w:val="16"/>
        </w:rPr>
        <w:t xml:space="preserve">ogółem </w:t>
      </w:r>
      <w:r w:rsidRPr="000A6485">
        <w:rPr>
          <w:rFonts w:ascii="Verdana" w:hAnsi="Verdana"/>
          <w:bCs/>
          <w:sz w:val="16"/>
          <w:szCs w:val="16"/>
        </w:rPr>
        <w:t xml:space="preserve">wartość maksymalną </w:t>
      </w:r>
      <w:r>
        <w:rPr>
          <w:rFonts w:ascii="Verdana" w:hAnsi="Verdana"/>
          <w:bCs/>
          <w:sz w:val="16"/>
          <w:szCs w:val="16"/>
        </w:rPr>
        <w:t xml:space="preserve">wynoszącą </w:t>
      </w:r>
      <w:r>
        <w:rPr>
          <w:rFonts w:ascii="Verdana" w:hAnsi="Verdana"/>
          <w:b/>
          <w:bCs/>
          <w:sz w:val="16"/>
          <w:szCs w:val="16"/>
        </w:rPr>
        <w:t>54,3</w:t>
      </w:r>
      <w:r w:rsidRPr="000A6485">
        <w:rPr>
          <w:rFonts w:ascii="Verdana" w:hAnsi="Verdana"/>
          <w:b/>
          <w:bCs/>
          <w:sz w:val="16"/>
          <w:szCs w:val="16"/>
        </w:rPr>
        <w:t>%</w:t>
      </w:r>
      <w:r>
        <w:rPr>
          <w:rFonts w:ascii="Verdana" w:hAnsi="Verdana"/>
          <w:b/>
          <w:bCs/>
          <w:sz w:val="16"/>
          <w:szCs w:val="16"/>
        </w:rPr>
        <w:t xml:space="preserve"> </w:t>
      </w:r>
      <w:r w:rsidRPr="000A6485">
        <w:rPr>
          <w:rFonts w:ascii="Verdana" w:hAnsi="Verdana"/>
          <w:bCs/>
          <w:sz w:val="16"/>
          <w:szCs w:val="16"/>
        </w:rPr>
        <w:t>osiągnie w 202</w:t>
      </w:r>
      <w:r>
        <w:rPr>
          <w:rFonts w:ascii="Verdana" w:hAnsi="Verdana"/>
          <w:bCs/>
          <w:sz w:val="16"/>
          <w:szCs w:val="16"/>
        </w:rPr>
        <w:t>6</w:t>
      </w:r>
      <w:r w:rsidRPr="000A6485">
        <w:rPr>
          <w:rFonts w:ascii="Verdana" w:hAnsi="Verdana"/>
          <w:bCs/>
          <w:sz w:val="16"/>
          <w:szCs w:val="16"/>
        </w:rPr>
        <w:t xml:space="preserve"> r.</w:t>
      </w:r>
      <w:r>
        <w:rPr>
          <w:rFonts w:ascii="Verdana" w:hAnsi="Verdana"/>
          <w:bCs/>
          <w:sz w:val="16"/>
          <w:szCs w:val="16"/>
        </w:rPr>
        <w:t>, co prezentuje wykres nr 11</w:t>
      </w:r>
      <w:r w:rsidRPr="000A6485">
        <w:rPr>
          <w:rFonts w:ascii="Verdana" w:hAnsi="Verdana"/>
          <w:bCs/>
          <w:sz w:val="16"/>
          <w:szCs w:val="16"/>
        </w:rPr>
        <w:t>.</w:t>
      </w:r>
    </w:p>
    <w:p w:rsidR="007F07DD" w:rsidRDefault="007F07DD" w:rsidP="007F07DD">
      <w:pPr>
        <w:tabs>
          <w:tab w:val="left" w:pos="540"/>
        </w:tabs>
        <w:spacing w:before="60" w:after="60" w:line="240" w:lineRule="auto"/>
        <w:ind w:left="720" w:hanging="720"/>
        <w:rPr>
          <w:rFonts w:ascii="Verdana" w:hAnsi="Verdana" w:cs="Arial"/>
          <w:b/>
          <w:bCs/>
          <w:sz w:val="14"/>
          <w:szCs w:val="14"/>
        </w:rPr>
      </w:pPr>
      <w:r>
        <w:rPr>
          <w:rFonts w:ascii="Verdana" w:hAnsi="Verdana" w:cs="Arial"/>
          <w:b/>
          <w:bCs/>
          <w:sz w:val="14"/>
          <w:szCs w:val="14"/>
        </w:rPr>
        <w:br w:type="page"/>
      </w:r>
    </w:p>
    <w:p w:rsidR="007F07DD" w:rsidRPr="000A6485" w:rsidRDefault="007F07DD" w:rsidP="007F07DD">
      <w:pPr>
        <w:tabs>
          <w:tab w:val="left" w:pos="540"/>
        </w:tabs>
        <w:spacing w:before="120" w:after="60" w:line="240" w:lineRule="auto"/>
        <w:ind w:left="720" w:hanging="720"/>
        <w:rPr>
          <w:rFonts w:ascii="Verdana" w:hAnsi="Verdana" w:cs="Arial"/>
          <w:bCs/>
          <w:sz w:val="14"/>
          <w:szCs w:val="14"/>
        </w:rPr>
      </w:pPr>
      <w:r w:rsidRPr="000A6485">
        <w:rPr>
          <w:rFonts w:ascii="Verdana" w:hAnsi="Verdana" w:cs="Arial"/>
          <w:b/>
          <w:bCs/>
          <w:sz w:val="14"/>
          <w:szCs w:val="14"/>
        </w:rPr>
        <w:lastRenderedPageBreak/>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11</w:t>
      </w:r>
      <w:r w:rsidRPr="000A6485">
        <w:rPr>
          <w:rFonts w:ascii="Verdana" w:hAnsi="Verdana" w:cs="Arial"/>
          <w:b/>
          <w:bCs/>
          <w:sz w:val="14"/>
          <w:szCs w:val="14"/>
        </w:rPr>
        <w:fldChar w:fldCharType="end"/>
      </w:r>
      <w:r w:rsidRPr="000A6485">
        <w:rPr>
          <w:rFonts w:ascii="Verdana" w:hAnsi="Verdana" w:cs="Arial"/>
          <w:b/>
          <w:bCs/>
          <w:sz w:val="14"/>
          <w:szCs w:val="14"/>
        </w:rPr>
        <w:t xml:space="preserve">  PROGNOZA RELACJI DŁUGU DO DOCHODÓW W M.ST. WARSZAWA NA LATA</w:t>
      </w:r>
      <w:r>
        <w:rPr>
          <w:rFonts w:ascii="Verdana" w:hAnsi="Verdana" w:cs="Arial"/>
          <w:b/>
          <w:bCs/>
          <w:sz w:val="14"/>
          <w:szCs w:val="14"/>
        </w:rPr>
        <w:t xml:space="preserve">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b/>
          <w:bCs/>
          <w:sz w:val="22"/>
          <w:szCs w:val="22"/>
        </w:rPr>
      </w:pPr>
      <w:r>
        <w:rPr>
          <w:rFonts w:ascii="Verdana" w:hAnsi="Verdana" w:cs="Arial"/>
          <w:b/>
          <w:bCs/>
          <w:noProof/>
          <w:sz w:val="16"/>
          <w:szCs w:val="16"/>
        </w:rPr>
        <w:pict>
          <v:shape id="_x0000_i1030" type="#_x0000_t75" style="width:398.25pt;height:206.9pt">
            <v:imagedata r:id="rId24" o:title=""/>
          </v:shape>
        </w:pict>
      </w:r>
    </w:p>
    <w:p w:rsidR="007F07DD" w:rsidRPr="000A6485" w:rsidRDefault="007F07DD" w:rsidP="007F07DD">
      <w:pPr>
        <w:spacing w:before="120" w:after="120"/>
        <w:jc w:val="both"/>
        <w:rPr>
          <w:rFonts w:ascii="Verdana" w:hAnsi="Verdana"/>
          <w:bCs/>
          <w:sz w:val="16"/>
          <w:szCs w:val="16"/>
        </w:rPr>
      </w:pPr>
      <w:r w:rsidRPr="000A6485">
        <w:rPr>
          <w:rFonts w:ascii="Verdana" w:hAnsi="Verdana"/>
          <w:bCs/>
          <w:sz w:val="16"/>
          <w:szCs w:val="16"/>
        </w:rPr>
        <w:t xml:space="preserve">Przewiduje się, że najwyższa wartość relacji obsługi długu z odsetkami wraz z potencjalnymi wydatkami związanymi z udzielonymi poręczeniami i gwarancjami do dochodów </w:t>
      </w:r>
      <w:r>
        <w:rPr>
          <w:rFonts w:ascii="Verdana" w:hAnsi="Verdana"/>
          <w:bCs/>
          <w:sz w:val="16"/>
          <w:szCs w:val="16"/>
        </w:rPr>
        <w:t>ogółem wystąpi w 2028</w:t>
      </w:r>
      <w:r w:rsidRPr="000A6485">
        <w:rPr>
          <w:rFonts w:ascii="Verdana" w:hAnsi="Verdana"/>
          <w:bCs/>
          <w:sz w:val="16"/>
          <w:szCs w:val="16"/>
        </w:rPr>
        <w:t xml:space="preserve"> r. </w:t>
      </w:r>
      <w:r>
        <w:rPr>
          <w:rFonts w:ascii="Verdana" w:hAnsi="Verdana"/>
          <w:bCs/>
          <w:sz w:val="16"/>
          <w:szCs w:val="16"/>
        </w:rPr>
        <w:t xml:space="preserve">oraz 2030 r. </w:t>
      </w:r>
      <w:r>
        <w:rPr>
          <w:rFonts w:ascii="Verdana" w:hAnsi="Verdana"/>
          <w:bCs/>
          <w:sz w:val="16"/>
          <w:szCs w:val="16"/>
        </w:rPr>
        <w:br/>
        <w:t xml:space="preserve">i </w:t>
      </w:r>
      <w:r w:rsidRPr="000A6485">
        <w:rPr>
          <w:rFonts w:ascii="Verdana" w:hAnsi="Verdana"/>
          <w:bCs/>
          <w:sz w:val="16"/>
          <w:szCs w:val="16"/>
        </w:rPr>
        <w:t>wyniesie</w:t>
      </w:r>
      <w:r>
        <w:rPr>
          <w:rFonts w:ascii="Verdana" w:hAnsi="Verdana"/>
          <w:bCs/>
          <w:sz w:val="16"/>
          <w:szCs w:val="16"/>
        </w:rPr>
        <w:t xml:space="preserve"> odpowiednio </w:t>
      </w:r>
      <w:r>
        <w:rPr>
          <w:rFonts w:ascii="Verdana" w:hAnsi="Verdana"/>
          <w:b/>
          <w:bCs/>
          <w:sz w:val="16"/>
          <w:szCs w:val="16"/>
        </w:rPr>
        <w:t xml:space="preserve">5,2% </w:t>
      </w:r>
      <w:r>
        <w:rPr>
          <w:rFonts w:ascii="Verdana" w:hAnsi="Verdana"/>
          <w:bCs/>
          <w:sz w:val="16"/>
          <w:szCs w:val="16"/>
        </w:rPr>
        <w:t xml:space="preserve">i </w:t>
      </w:r>
      <w:r>
        <w:rPr>
          <w:rFonts w:ascii="Verdana" w:hAnsi="Verdana"/>
          <w:b/>
          <w:bCs/>
          <w:sz w:val="16"/>
          <w:szCs w:val="16"/>
        </w:rPr>
        <w:t>5%</w:t>
      </w:r>
      <w:r>
        <w:rPr>
          <w:rFonts w:ascii="Verdana" w:hAnsi="Verdana"/>
          <w:bCs/>
          <w:sz w:val="16"/>
          <w:szCs w:val="16"/>
        </w:rPr>
        <w:t>, co prezentuje wykres nr 12</w:t>
      </w:r>
      <w:r w:rsidRPr="000A6485">
        <w:rPr>
          <w:rFonts w:ascii="Verdana" w:hAnsi="Verdana"/>
          <w:bCs/>
          <w:sz w:val="16"/>
          <w:szCs w:val="16"/>
        </w:rPr>
        <w:t>.</w:t>
      </w:r>
    </w:p>
    <w:p w:rsidR="007F07DD" w:rsidRPr="000A6485" w:rsidRDefault="007F07DD" w:rsidP="007F07DD">
      <w:pPr>
        <w:tabs>
          <w:tab w:val="left" w:pos="426"/>
        </w:tabs>
        <w:spacing w:before="120" w:after="60" w:line="240" w:lineRule="auto"/>
        <w:ind w:left="425" w:hanging="425"/>
        <w:rPr>
          <w:rFonts w:ascii="Verdana" w:hAnsi="Verdana" w:cs="Arial"/>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12</w:t>
      </w:r>
      <w:r w:rsidRPr="000A6485">
        <w:rPr>
          <w:rFonts w:ascii="Verdana" w:hAnsi="Verdana" w:cs="Arial"/>
          <w:b/>
          <w:bCs/>
          <w:sz w:val="14"/>
          <w:szCs w:val="14"/>
        </w:rPr>
        <w:fldChar w:fldCharType="end"/>
      </w:r>
      <w:r w:rsidRPr="000A6485">
        <w:rPr>
          <w:rFonts w:ascii="Verdana" w:hAnsi="Verdana" w:cs="Arial"/>
          <w:b/>
          <w:bCs/>
          <w:sz w:val="14"/>
          <w:szCs w:val="14"/>
        </w:rPr>
        <w:t xml:space="preserve">  PROGNOZA RELACJI OBCIĄŻEŃ BUDŻETU ZWIĄZANYCH Z OBSŁUGĄ DŁUGU (SPŁATA KAPITAŁU </w:t>
      </w:r>
      <w:r w:rsidRPr="000A6485">
        <w:rPr>
          <w:rFonts w:ascii="Verdana" w:hAnsi="Verdana" w:cs="Arial"/>
          <w:b/>
          <w:bCs/>
          <w:sz w:val="14"/>
          <w:szCs w:val="14"/>
        </w:rPr>
        <w:br/>
        <w:t xml:space="preserve">    </w:t>
      </w:r>
      <w:r>
        <w:rPr>
          <w:rFonts w:ascii="Verdana" w:hAnsi="Verdana" w:cs="Arial"/>
          <w:b/>
          <w:bCs/>
          <w:sz w:val="14"/>
          <w:szCs w:val="14"/>
        </w:rPr>
        <w:t xml:space="preserve">   </w:t>
      </w:r>
      <w:r w:rsidRPr="000A6485">
        <w:rPr>
          <w:rFonts w:ascii="Verdana" w:hAnsi="Verdana" w:cs="Arial"/>
          <w:b/>
          <w:bCs/>
          <w:sz w:val="14"/>
          <w:szCs w:val="14"/>
        </w:rPr>
        <w:t xml:space="preserve">I ODSETEK) WRAZ Z POTENCJALNĄ SPŁATĄ UDZIELONYCH PORĘCZEŃ I GWARANCJI DO DOCHODÓW </w:t>
      </w:r>
      <w:r w:rsidRPr="000A6485">
        <w:rPr>
          <w:rFonts w:ascii="Verdana" w:hAnsi="Verdana" w:cs="Arial"/>
          <w:b/>
          <w:bCs/>
          <w:sz w:val="14"/>
          <w:szCs w:val="14"/>
        </w:rPr>
        <w:br/>
        <w:t xml:space="preserve">    </w:t>
      </w:r>
      <w:r>
        <w:rPr>
          <w:rFonts w:ascii="Verdana" w:hAnsi="Verdana" w:cs="Arial"/>
          <w:b/>
          <w:bCs/>
          <w:sz w:val="14"/>
          <w:szCs w:val="14"/>
        </w:rPr>
        <w:t xml:space="preserve">   W M.ST. WARSZAWA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cs="Arial"/>
          <w:b/>
          <w:bCs/>
          <w:noProof/>
          <w:sz w:val="16"/>
          <w:szCs w:val="16"/>
        </w:rPr>
      </w:pPr>
      <w:r>
        <w:rPr>
          <w:rFonts w:ascii="Verdana" w:hAnsi="Verdana" w:cs="Arial"/>
          <w:b/>
          <w:bCs/>
          <w:noProof/>
          <w:sz w:val="16"/>
          <w:szCs w:val="16"/>
        </w:rPr>
        <w:pict>
          <v:shape id="_x0000_i1031" type="#_x0000_t75" style="width:395.05pt;height:206.9pt">
            <v:imagedata r:id="rId25" o:title=""/>
          </v:shape>
        </w:pic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 xml:space="preserve">7.2 </w:t>
      </w:r>
      <w:r w:rsidRPr="00841EE5">
        <w:rPr>
          <w:rFonts w:ascii="Verdana" w:hAnsi="Verdana"/>
          <w:b/>
          <w:bCs/>
          <w:sz w:val="20"/>
          <w:szCs w:val="20"/>
        </w:rPr>
        <w:t>Prognoza dochodów</w:t>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t>7.2.1 Metodologia prognozy dochodów</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Zakres źródeł dochodów m.st. Warszawy wykorzystany dla celów opracowania </w:t>
      </w:r>
      <w:r w:rsidRPr="00A61201">
        <w:rPr>
          <w:rFonts w:ascii="Verdana" w:hAnsi="Verdana" w:cs="Verdana"/>
          <w:sz w:val="16"/>
          <w:szCs w:val="16"/>
        </w:rPr>
        <w:t>WPF</w:t>
      </w:r>
      <w:r>
        <w:rPr>
          <w:rFonts w:ascii="Verdana" w:hAnsi="Verdana" w:cs="Verdana"/>
          <w:sz w:val="16"/>
          <w:szCs w:val="16"/>
        </w:rPr>
        <w:t xml:space="preserve"> edycji </w:t>
      </w:r>
      <w:r w:rsidRPr="0090283F">
        <w:rPr>
          <w:rFonts w:ascii="Verdana" w:eastAsiaTheme="minorEastAsia" w:hAnsi="Verdana" w:cs="Verdana"/>
          <w:color w:val="000000"/>
          <w:sz w:val="16"/>
          <w:szCs w:val="16"/>
        </w:rPr>
        <w:t>2022</w:t>
      </w:r>
      <w:r>
        <w:rPr>
          <w:rFonts w:ascii="Verdana" w:hAnsi="Verdana" w:cs="Verdana"/>
          <w:sz w:val="16"/>
          <w:szCs w:val="16"/>
        </w:rPr>
        <w:t xml:space="preserve">-2050 </w:t>
      </w:r>
      <w:r>
        <w:rPr>
          <w:rFonts w:ascii="Verdana" w:hAnsi="Verdana" w:cs="Verdana"/>
          <w:sz w:val="16"/>
          <w:szCs w:val="16"/>
        </w:rPr>
        <w:br/>
        <w:t>m.st. Warszawy</w:t>
      </w:r>
      <w:r w:rsidRPr="000A6485">
        <w:rPr>
          <w:rFonts w:ascii="Verdana" w:hAnsi="Verdana"/>
          <w:sz w:val="16"/>
          <w:szCs w:val="16"/>
        </w:rPr>
        <w:t xml:space="preserve"> odpowiada katalogowi d</w:t>
      </w:r>
      <w:r>
        <w:rPr>
          <w:rFonts w:ascii="Verdana" w:hAnsi="Verdana"/>
          <w:sz w:val="16"/>
          <w:szCs w:val="16"/>
        </w:rPr>
        <w:t xml:space="preserve">ochodów określonemu w ustawie o </w:t>
      </w:r>
      <w:r w:rsidRPr="000A6485">
        <w:rPr>
          <w:rFonts w:ascii="Verdana" w:hAnsi="Verdana"/>
          <w:sz w:val="16"/>
          <w:szCs w:val="16"/>
        </w:rPr>
        <w:t xml:space="preserve">dochodach jednostek samorządu terytorialnego. Prognoza dochodów m.st. Warszawy została sporządzona według ewidencji źródeł określonej dla budżetu na </w:t>
      </w:r>
      <w:r w:rsidRPr="0090283F">
        <w:rPr>
          <w:rFonts w:ascii="Verdana" w:eastAsiaTheme="minorEastAsia" w:hAnsi="Verdana" w:cs="Verdana"/>
          <w:color w:val="000000"/>
          <w:sz w:val="16"/>
          <w:szCs w:val="16"/>
        </w:rPr>
        <w:t>2022</w:t>
      </w:r>
      <w:r w:rsidRPr="000A6485">
        <w:rPr>
          <w:rFonts w:ascii="Verdana" w:hAnsi="Verdana"/>
          <w:sz w:val="16"/>
          <w:szCs w:val="16"/>
        </w:rPr>
        <w:t xml:space="preserve"> r., odrębnie dla każdej jednostki organizacyjnej Miasta</w:t>
      </w:r>
      <w:r>
        <w:rPr>
          <w:rFonts w:ascii="Verdana" w:hAnsi="Verdana"/>
          <w:sz w:val="16"/>
          <w:szCs w:val="16"/>
        </w:rPr>
        <w:t xml:space="preserve">. W konsekwencji wyniki </w:t>
      </w:r>
      <w:r w:rsidRPr="00A61201">
        <w:rPr>
          <w:rFonts w:ascii="Verdana" w:hAnsi="Verdana" w:cs="Verdana"/>
          <w:sz w:val="16"/>
          <w:szCs w:val="16"/>
        </w:rPr>
        <w:t>WPF</w:t>
      </w:r>
      <w:r>
        <w:rPr>
          <w:rFonts w:ascii="Verdana" w:hAnsi="Verdana" w:cs="Verdana"/>
          <w:sz w:val="16"/>
          <w:szCs w:val="16"/>
        </w:rPr>
        <w:t xml:space="preserve"> edycji </w:t>
      </w:r>
      <w:r w:rsidRPr="0090283F">
        <w:rPr>
          <w:rFonts w:ascii="Verdana" w:eastAsiaTheme="minorEastAsia" w:hAnsi="Verdana" w:cs="Verdana"/>
          <w:color w:val="000000"/>
          <w:sz w:val="16"/>
          <w:szCs w:val="16"/>
        </w:rPr>
        <w:t>2022</w:t>
      </w:r>
      <w:r>
        <w:rPr>
          <w:rFonts w:ascii="Verdana" w:hAnsi="Verdana" w:cs="Verdana"/>
          <w:sz w:val="16"/>
          <w:szCs w:val="16"/>
        </w:rPr>
        <w:t>-2050</w:t>
      </w:r>
      <w:r w:rsidRPr="000A6485">
        <w:rPr>
          <w:rFonts w:ascii="Verdana" w:hAnsi="Verdana"/>
          <w:sz w:val="16"/>
          <w:szCs w:val="16"/>
        </w:rPr>
        <w:t xml:space="preserve"> w zakresie dochodów są porównywalne pod każdym względem z dochodami uzyskiwanymi w latach poprzednich, jak i z </w:t>
      </w:r>
      <w:r>
        <w:rPr>
          <w:rFonts w:ascii="Verdana" w:hAnsi="Verdana"/>
          <w:sz w:val="16"/>
          <w:szCs w:val="16"/>
        </w:rPr>
        <w:t>budżetem</w:t>
      </w:r>
      <w:r w:rsidRPr="000A6485">
        <w:rPr>
          <w:rFonts w:ascii="Verdana" w:hAnsi="Verdana"/>
          <w:sz w:val="16"/>
          <w:szCs w:val="16"/>
        </w:rPr>
        <w:t xml:space="preserve"> na </w:t>
      </w:r>
      <w:r w:rsidRPr="0090283F">
        <w:rPr>
          <w:rFonts w:ascii="Verdana" w:eastAsiaTheme="minorEastAsia" w:hAnsi="Verdana" w:cs="Verdana"/>
          <w:color w:val="000000"/>
          <w:sz w:val="16"/>
          <w:szCs w:val="16"/>
        </w:rPr>
        <w:t>2022</w:t>
      </w:r>
      <w:r w:rsidRPr="000A6485">
        <w:rPr>
          <w:rFonts w:ascii="Verdana" w:hAnsi="Verdana"/>
          <w:sz w:val="16"/>
          <w:szCs w:val="16"/>
        </w:rPr>
        <w:t> r.</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lastRenderedPageBreak/>
        <w:t xml:space="preserve">Prognoza dochodów została opracowana na bazie Wieloletniej Prognozy Finansowej na lata </w:t>
      </w:r>
      <w:r w:rsidRPr="0090283F">
        <w:rPr>
          <w:rFonts w:ascii="Verdana" w:eastAsiaTheme="minorEastAsia" w:hAnsi="Verdana" w:cs="Verdana"/>
          <w:color w:val="000000"/>
          <w:sz w:val="16"/>
          <w:szCs w:val="16"/>
        </w:rPr>
        <w:t>2021</w:t>
      </w:r>
      <w:r w:rsidRPr="000A6485">
        <w:rPr>
          <w:rFonts w:ascii="Verdana" w:hAnsi="Verdana"/>
          <w:sz w:val="16"/>
          <w:szCs w:val="16"/>
        </w:rPr>
        <w:t xml:space="preserve">-2050. Zastosowana metodologia ustalania prognozy dochodów polega przede wszystkim na wyodrębnieniu krótkiej </w:t>
      </w:r>
      <w:r w:rsidRPr="000A6485">
        <w:rPr>
          <w:rFonts w:ascii="Verdana" w:hAnsi="Verdana"/>
          <w:sz w:val="16"/>
          <w:szCs w:val="16"/>
        </w:rPr>
        <w:br/>
        <w:t>i dłuższej perspektywy prognozowania.</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Jednocześnie podjęto szereg działań w celu optymalizacji Wieloletniej Prognozy Finansowej. Przeprowadzon</w:t>
      </w:r>
      <w:r>
        <w:rPr>
          <w:rFonts w:ascii="Verdana" w:hAnsi="Verdana"/>
          <w:sz w:val="16"/>
          <w:szCs w:val="16"/>
        </w:rPr>
        <w:t xml:space="preserve">o analizę realizacji dochodów w </w:t>
      </w:r>
      <w:r w:rsidRPr="000A6485">
        <w:rPr>
          <w:rFonts w:ascii="Verdana" w:hAnsi="Verdana"/>
          <w:sz w:val="16"/>
          <w:szCs w:val="16"/>
        </w:rPr>
        <w:t xml:space="preserve">latach poprzedzających rok budżetowy, dla każdego źródła dochodów budżetowych i jednostki organizacyjnej odrębnie, wykorzystując dane z wykonania budżetu </w:t>
      </w:r>
      <w:r w:rsidRPr="000A6485">
        <w:rPr>
          <w:rFonts w:ascii="Verdana" w:hAnsi="Verdana"/>
          <w:sz w:val="16"/>
          <w:szCs w:val="16"/>
        </w:rPr>
        <w:br/>
        <w:t xml:space="preserve">w </w:t>
      </w:r>
      <w:r w:rsidRPr="0090283F">
        <w:rPr>
          <w:rFonts w:ascii="Verdana" w:eastAsiaTheme="minorEastAsia" w:hAnsi="Verdana" w:cs="Verdana"/>
          <w:color w:val="000000"/>
          <w:sz w:val="16"/>
          <w:szCs w:val="16"/>
        </w:rPr>
        <w:t>2020</w:t>
      </w:r>
      <w:r w:rsidRPr="000A6485">
        <w:rPr>
          <w:rFonts w:ascii="Verdana" w:hAnsi="Verdana"/>
          <w:sz w:val="16"/>
          <w:szCs w:val="16"/>
        </w:rPr>
        <w:t xml:space="preserve"> r. oraz przewidywaną realizację w </w:t>
      </w:r>
      <w:r w:rsidRPr="0090283F">
        <w:rPr>
          <w:rFonts w:ascii="Verdana" w:eastAsiaTheme="minorEastAsia" w:hAnsi="Verdana" w:cs="Verdana"/>
          <w:color w:val="000000"/>
          <w:sz w:val="16"/>
          <w:szCs w:val="16"/>
        </w:rPr>
        <w:t>2021</w:t>
      </w:r>
      <w:r w:rsidRPr="000A6485">
        <w:rPr>
          <w:rFonts w:ascii="Verdana" w:hAnsi="Verdana"/>
          <w:sz w:val="16"/>
          <w:szCs w:val="16"/>
        </w:rPr>
        <w:t xml:space="preserve"> r. Ponadto dysponenci przeprowadzili szczegółową analizę oczekiwanych wpływów w najb</w:t>
      </w:r>
      <w:r>
        <w:rPr>
          <w:rFonts w:ascii="Verdana" w:hAnsi="Verdana"/>
          <w:sz w:val="16"/>
          <w:szCs w:val="16"/>
        </w:rPr>
        <w:t xml:space="preserve">liższych trzech latach, tj. </w:t>
      </w:r>
      <w:r w:rsidRPr="0090283F">
        <w:rPr>
          <w:rFonts w:ascii="Verdana" w:eastAsiaTheme="minorEastAsia" w:hAnsi="Verdana" w:cs="Verdana"/>
          <w:color w:val="000000"/>
          <w:sz w:val="16"/>
          <w:szCs w:val="16"/>
        </w:rPr>
        <w:t>2022</w:t>
      </w:r>
      <w:r>
        <w:rPr>
          <w:rFonts w:ascii="Verdana" w:hAnsi="Verdana"/>
          <w:sz w:val="16"/>
          <w:szCs w:val="16"/>
        </w:rPr>
        <w:t>-2024</w:t>
      </w:r>
      <w:r w:rsidRPr="000A6485">
        <w:rPr>
          <w:rFonts w:ascii="Verdana" w:hAnsi="Verdana"/>
          <w:sz w:val="16"/>
          <w:szCs w:val="16"/>
        </w:rPr>
        <w:t xml:space="preserve"> i dokonali weryfikacji prognoz dochodów </w:t>
      </w:r>
      <w:r w:rsidRPr="000A6485">
        <w:rPr>
          <w:rFonts w:ascii="Verdana" w:hAnsi="Verdana"/>
          <w:sz w:val="16"/>
          <w:szCs w:val="16"/>
        </w:rPr>
        <w:br/>
        <w:t xml:space="preserve">w poszczególnych źródłach. Skala zmian w krótkim okresie spowodowała konieczność weryfikacji części źródeł również w perspektywie obejmującej </w:t>
      </w:r>
      <w:r>
        <w:rPr>
          <w:rFonts w:ascii="Verdana" w:hAnsi="Verdana"/>
          <w:sz w:val="16"/>
          <w:szCs w:val="16"/>
        </w:rPr>
        <w:t xml:space="preserve">rok </w:t>
      </w: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i lata następne.</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Powyższe działanie podjęto w celu zapewnienia metodyce sporządzania WPF w zakresie dochodów, transparentności, jawności i przejrzystości. </w:t>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W dalszej części opracowania przedstawiono założenia prognoz w zakresie kategorii dochodów ujętych we wzorze WPF zgodnym z rozporządzeniem Ministra Finansów z dnia 10 stycznia 2013 r. </w:t>
      </w:r>
      <w:r w:rsidRPr="00D14800">
        <w:rPr>
          <w:rFonts w:ascii="Verdana" w:hAnsi="Verdana"/>
          <w:i/>
          <w:sz w:val="16"/>
          <w:szCs w:val="16"/>
        </w:rPr>
        <w:t>w sprawie wieloletniej prognozy finansowej jednostki samorządu terytorialnego</w:t>
      </w:r>
      <w:r w:rsidRPr="000A6485">
        <w:rPr>
          <w:rFonts w:ascii="Verdana" w:hAnsi="Verdana"/>
          <w:sz w:val="16"/>
          <w:szCs w:val="16"/>
        </w:rPr>
        <w:t xml:space="preserve"> (</w:t>
      </w:r>
      <w:r>
        <w:rPr>
          <w:rFonts w:ascii="Verdana" w:hAnsi="Verdana"/>
          <w:sz w:val="16"/>
          <w:szCs w:val="16"/>
        </w:rPr>
        <w:t>Dz.U.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w:t>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t>7.2.2 Założenia do prognozy dochodów</w:t>
      </w:r>
    </w:p>
    <w:p w:rsidR="007F07DD" w:rsidRPr="000A6485" w:rsidRDefault="007F07DD" w:rsidP="007F07DD">
      <w:pPr>
        <w:spacing w:before="240" w:after="240"/>
        <w:ind w:left="709" w:hanging="709"/>
        <w:rPr>
          <w:rFonts w:ascii="Verdana" w:hAnsi="Verdana"/>
          <w:b/>
          <w:bCs/>
          <w:sz w:val="18"/>
          <w:szCs w:val="18"/>
        </w:rPr>
      </w:pPr>
      <w:r w:rsidRPr="000A6485">
        <w:rPr>
          <w:rFonts w:ascii="Verdana" w:hAnsi="Verdana"/>
          <w:b/>
          <w:bCs/>
          <w:sz w:val="18"/>
          <w:szCs w:val="18"/>
        </w:rPr>
        <w:t xml:space="preserve">7.2.2.1 Bieżąca realizacja dochodów silnie skorelowanych z koniunkturą gospodarczą </w:t>
      </w:r>
    </w:p>
    <w:p w:rsidR="007F07DD"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Analiza bieżącej realizacji dochodów m.st. Warszawy z podatków dochodowych od osób fizycznych (PIT) </w:t>
      </w:r>
      <w:r w:rsidRPr="000A6485">
        <w:rPr>
          <w:rFonts w:ascii="Verdana" w:hAnsi="Verdana"/>
          <w:sz w:val="16"/>
          <w:szCs w:val="16"/>
        </w:rPr>
        <w:br/>
        <w:t xml:space="preserve">i prawnych (CIT) oraz z podatku od czynności cywilnoprawnych (PCC), a więc źródeł wpływów silnie skorelowanych z koniunkturą gospodarczą i jednocześnie stanowiących ponad jedną trzecią </w:t>
      </w:r>
      <w:r>
        <w:rPr>
          <w:rFonts w:ascii="Verdana" w:hAnsi="Verdana"/>
          <w:sz w:val="16"/>
          <w:szCs w:val="16"/>
        </w:rPr>
        <w:t xml:space="preserve">strony dochodowej </w:t>
      </w:r>
      <w:r w:rsidRPr="000A6485">
        <w:rPr>
          <w:rFonts w:ascii="Verdana" w:hAnsi="Verdana"/>
          <w:sz w:val="16"/>
          <w:szCs w:val="16"/>
        </w:rPr>
        <w:t xml:space="preserve">budżetu Miasta, </w:t>
      </w:r>
      <w:r>
        <w:rPr>
          <w:rFonts w:ascii="Verdana" w:hAnsi="Verdana"/>
          <w:sz w:val="16"/>
          <w:szCs w:val="16"/>
        </w:rPr>
        <w:t xml:space="preserve">przynosi ambiwalentne wnioski. </w:t>
      </w:r>
    </w:p>
    <w:p w:rsidR="007F07DD" w:rsidRDefault="007F07DD" w:rsidP="007F07DD">
      <w:pPr>
        <w:tabs>
          <w:tab w:val="left" w:pos="360"/>
        </w:tabs>
        <w:spacing w:before="20" w:after="20"/>
        <w:ind w:firstLine="567"/>
        <w:jc w:val="both"/>
        <w:rPr>
          <w:rFonts w:ascii="Verdana" w:hAnsi="Verdana"/>
          <w:sz w:val="16"/>
          <w:szCs w:val="16"/>
        </w:rPr>
      </w:pPr>
      <w:r w:rsidRPr="00B71118">
        <w:rPr>
          <w:rFonts w:ascii="Verdana" w:hAnsi="Verdana"/>
          <w:b/>
          <w:sz w:val="16"/>
          <w:szCs w:val="16"/>
        </w:rPr>
        <w:t>W zakresie dochodów z udziału w PIT</w:t>
      </w:r>
      <w:r w:rsidRPr="00956C7A">
        <w:rPr>
          <w:rFonts w:ascii="Verdana" w:hAnsi="Verdana"/>
          <w:sz w:val="16"/>
          <w:szCs w:val="16"/>
        </w:rPr>
        <w:t xml:space="preserve"> z jednej strony zrealizowane w okresie 9 miesięcy </w:t>
      </w:r>
      <w:r w:rsidRPr="0090283F">
        <w:rPr>
          <w:rFonts w:ascii="Verdana" w:eastAsiaTheme="minorEastAsia" w:hAnsi="Verdana" w:cs="Verdana"/>
          <w:color w:val="000000"/>
          <w:sz w:val="16"/>
          <w:szCs w:val="16"/>
        </w:rPr>
        <w:t>2021</w:t>
      </w:r>
      <w:r w:rsidRPr="00956C7A">
        <w:rPr>
          <w:rFonts w:ascii="Verdana" w:hAnsi="Verdana"/>
          <w:sz w:val="16"/>
          <w:szCs w:val="16"/>
        </w:rPr>
        <w:t xml:space="preserve"> r. wpływy były o </w:t>
      </w:r>
      <w:r w:rsidRPr="00956C7A">
        <w:rPr>
          <w:rFonts w:ascii="Verdana" w:hAnsi="Verdana"/>
          <w:b/>
          <w:sz w:val="16"/>
          <w:szCs w:val="16"/>
        </w:rPr>
        <w:t>12,9%</w:t>
      </w:r>
      <w:r w:rsidRPr="00956C7A">
        <w:rPr>
          <w:rFonts w:ascii="Verdana" w:hAnsi="Verdana"/>
          <w:sz w:val="16"/>
          <w:szCs w:val="16"/>
        </w:rPr>
        <w:t xml:space="preserve"> wyższe niż w analogicznym okresie 2020 r., ale jednocześnie ich poziom na przestrzeni dwóch lat, tj. w odniesieniu do 9 miesięcy 2019 r., wzrósł tylko o </w:t>
      </w:r>
      <w:r w:rsidRPr="00956C7A">
        <w:rPr>
          <w:rFonts w:ascii="Verdana" w:hAnsi="Verdana"/>
          <w:b/>
          <w:sz w:val="16"/>
          <w:szCs w:val="16"/>
        </w:rPr>
        <w:t>5,9%</w:t>
      </w:r>
      <w:r w:rsidRPr="00956C7A">
        <w:rPr>
          <w:rFonts w:ascii="Verdana" w:hAnsi="Verdana"/>
          <w:sz w:val="16"/>
          <w:szCs w:val="16"/>
        </w:rPr>
        <w:t xml:space="preserve"> (w 2020 r. wykonanie po 9 m-</w:t>
      </w:r>
      <w:proofErr w:type="spellStart"/>
      <w:r w:rsidRPr="00956C7A">
        <w:rPr>
          <w:rFonts w:ascii="Verdana" w:hAnsi="Verdana"/>
          <w:sz w:val="16"/>
          <w:szCs w:val="16"/>
        </w:rPr>
        <w:t>cach</w:t>
      </w:r>
      <w:proofErr w:type="spellEnd"/>
      <w:r w:rsidRPr="00956C7A">
        <w:rPr>
          <w:rFonts w:ascii="Verdana" w:hAnsi="Verdana"/>
          <w:sz w:val="16"/>
          <w:szCs w:val="16"/>
        </w:rPr>
        <w:t xml:space="preserve"> było niższe r/r o </w:t>
      </w:r>
      <w:r w:rsidRPr="00956C7A">
        <w:rPr>
          <w:rFonts w:ascii="Verdana" w:hAnsi="Verdana"/>
          <w:b/>
          <w:sz w:val="16"/>
          <w:szCs w:val="16"/>
        </w:rPr>
        <w:t>6,2%</w:t>
      </w:r>
      <w:r w:rsidRPr="00956C7A">
        <w:rPr>
          <w:rFonts w:ascii="Verdana" w:hAnsi="Verdana"/>
          <w:sz w:val="16"/>
          <w:szCs w:val="16"/>
        </w:rPr>
        <w:t>). Analiza danych historycznych wskazuje, iż jest to najniższa dynamika r/r dochodów z udziału w PIT obserwowana na przestrzeni ostatnich 8 lat</w:t>
      </w:r>
      <w:r>
        <w:rPr>
          <w:rFonts w:ascii="Verdana" w:hAnsi="Verdana"/>
          <w:sz w:val="16"/>
          <w:szCs w:val="16"/>
        </w:rPr>
        <w:t xml:space="preserve"> (wyłączając obarczony głębokimi skutkami pandemii rok 2020)</w:t>
      </w:r>
      <w:r w:rsidRPr="00956C7A">
        <w:rPr>
          <w:rFonts w:ascii="Verdana" w:hAnsi="Verdana"/>
          <w:sz w:val="16"/>
          <w:szCs w:val="16"/>
        </w:rPr>
        <w:t>, tj. od 2014 r., co przedstawia poniższy wykres nr</w:t>
      </w:r>
      <w:r>
        <w:rPr>
          <w:rFonts w:ascii="Verdana" w:hAnsi="Verdana"/>
          <w:sz w:val="16"/>
          <w:szCs w:val="16"/>
        </w:rPr>
        <w:t xml:space="preserve"> 13</w:t>
      </w:r>
      <w:r w:rsidRPr="00956C7A">
        <w:rPr>
          <w:rFonts w:ascii="Verdana" w:hAnsi="Verdana"/>
          <w:sz w:val="16"/>
          <w:szCs w:val="16"/>
        </w:rPr>
        <w:t xml:space="preserve">. </w:t>
      </w:r>
    </w:p>
    <w:p w:rsidR="007F07DD" w:rsidRPr="000A6485" w:rsidRDefault="007F07DD" w:rsidP="007F07DD">
      <w:pPr>
        <w:tabs>
          <w:tab w:val="left" w:pos="540"/>
        </w:tabs>
        <w:spacing w:before="120" w:after="60" w:line="240" w:lineRule="auto"/>
        <w:ind w:left="567" w:hanging="567"/>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13</w:t>
      </w:r>
      <w:r w:rsidRPr="000A6485">
        <w:rPr>
          <w:rFonts w:ascii="Verdana" w:hAnsi="Verdana" w:cs="Arial"/>
          <w:b/>
          <w:bCs/>
          <w:sz w:val="14"/>
          <w:szCs w:val="14"/>
        </w:rPr>
        <w:fldChar w:fldCharType="end"/>
      </w:r>
      <w:r w:rsidRPr="000A6485">
        <w:rPr>
          <w:rFonts w:ascii="Verdana" w:hAnsi="Verdana" w:cs="Arial"/>
          <w:b/>
          <w:bCs/>
          <w:sz w:val="14"/>
          <w:szCs w:val="14"/>
        </w:rPr>
        <w:t xml:space="preserve">  REALIZACJA I ZMIANA PROCENTOWA ROK DO ROKU DOCHODÓW Z PIT W M.ST. WARSZAWA </w:t>
      </w:r>
      <w:r w:rsidRPr="000A6485">
        <w:rPr>
          <w:rFonts w:ascii="Verdana" w:hAnsi="Verdana" w:cs="Arial"/>
          <w:b/>
          <w:bCs/>
          <w:sz w:val="14"/>
          <w:szCs w:val="14"/>
        </w:rPr>
        <w:br/>
        <w:t xml:space="preserve">    W OKRESIE STY</w:t>
      </w:r>
      <w:r>
        <w:rPr>
          <w:rFonts w:ascii="Verdana" w:hAnsi="Verdana" w:cs="Arial"/>
          <w:b/>
          <w:bCs/>
          <w:sz w:val="14"/>
          <w:szCs w:val="14"/>
        </w:rPr>
        <w:t>CZEŃ-WRZESIEŃ W LATACH 2008-</w:t>
      </w:r>
      <w:r w:rsidRPr="0090283F">
        <w:rPr>
          <w:rFonts w:ascii="Verdana" w:hAnsi="Verdana" w:cs="Arial"/>
          <w:b/>
          <w:bCs/>
          <w:sz w:val="14"/>
          <w:szCs w:val="14"/>
        </w:rPr>
        <w:t>2021</w:t>
      </w:r>
    </w:p>
    <w:p w:rsidR="007F07DD" w:rsidRDefault="00F33C94" w:rsidP="007F07DD">
      <w:pPr>
        <w:tabs>
          <w:tab w:val="left" w:pos="360"/>
        </w:tabs>
        <w:spacing w:before="20" w:after="20"/>
        <w:jc w:val="both"/>
        <w:rPr>
          <w:rFonts w:ascii="Verdana" w:hAnsi="Verdana"/>
          <w:sz w:val="16"/>
          <w:szCs w:val="16"/>
        </w:rPr>
      </w:pPr>
      <w:r>
        <w:rPr>
          <w:rFonts w:ascii="Verdana" w:hAnsi="Verdana" w:cs="Arial"/>
          <w:b/>
          <w:bCs/>
          <w:noProof/>
          <w:sz w:val="16"/>
          <w:szCs w:val="16"/>
        </w:rPr>
        <w:pict>
          <v:shape id="_x0000_i1032" type="#_x0000_t75" style="width:404.75pt;height:174.5pt">
            <v:imagedata r:id="rId26" o:title=""/>
          </v:shape>
        </w:pict>
      </w:r>
    </w:p>
    <w:p w:rsidR="007F07DD" w:rsidRDefault="007F07DD" w:rsidP="007F07DD">
      <w:pPr>
        <w:autoSpaceDE w:val="0"/>
        <w:autoSpaceDN w:val="0"/>
        <w:adjustRightInd w:val="0"/>
        <w:spacing w:before="120" w:after="120"/>
        <w:ind w:firstLine="567"/>
        <w:jc w:val="both"/>
        <w:rPr>
          <w:rFonts w:ascii="Verdana" w:hAnsi="Verdana" w:cs="Verdana"/>
          <w:b/>
          <w:color w:val="000000"/>
          <w:sz w:val="16"/>
          <w:szCs w:val="16"/>
        </w:rPr>
      </w:pPr>
      <w:r>
        <w:rPr>
          <w:rFonts w:ascii="Verdana" w:hAnsi="Verdana" w:cs="Verdana"/>
          <w:b/>
          <w:color w:val="000000"/>
          <w:sz w:val="16"/>
          <w:szCs w:val="16"/>
        </w:rPr>
        <w:br w:type="page"/>
      </w:r>
    </w:p>
    <w:p w:rsidR="007F07DD" w:rsidRPr="000A6485" w:rsidRDefault="007F07DD" w:rsidP="007F07DD">
      <w:pPr>
        <w:autoSpaceDE w:val="0"/>
        <w:autoSpaceDN w:val="0"/>
        <w:adjustRightInd w:val="0"/>
        <w:spacing w:before="120" w:after="120"/>
        <w:ind w:firstLine="567"/>
        <w:jc w:val="both"/>
        <w:rPr>
          <w:rFonts w:ascii="Verdana" w:hAnsi="Verdana" w:cs="Verdana"/>
          <w:color w:val="000000"/>
          <w:sz w:val="16"/>
          <w:szCs w:val="16"/>
        </w:rPr>
      </w:pPr>
      <w:r w:rsidRPr="00B71118">
        <w:rPr>
          <w:rFonts w:ascii="Verdana" w:hAnsi="Verdana" w:cs="Verdana"/>
          <w:b/>
          <w:color w:val="000000"/>
          <w:sz w:val="16"/>
          <w:szCs w:val="16"/>
        </w:rPr>
        <w:lastRenderedPageBreak/>
        <w:t>Dochody z tytułu udziału w</w:t>
      </w:r>
      <w:r w:rsidRPr="000A6485">
        <w:rPr>
          <w:rFonts w:ascii="Verdana" w:hAnsi="Verdana" w:cs="Verdana"/>
          <w:color w:val="000000"/>
          <w:sz w:val="16"/>
          <w:szCs w:val="16"/>
        </w:rPr>
        <w:t xml:space="preserve"> </w:t>
      </w:r>
      <w:r w:rsidRPr="000A6485">
        <w:rPr>
          <w:rFonts w:ascii="Verdana" w:hAnsi="Verdana" w:cs="Verdana"/>
          <w:b/>
          <w:color w:val="000000"/>
          <w:sz w:val="16"/>
          <w:szCs w:val="16"/>
        </w:rPr>
        <w:t>CIT</w:t>
      </w:r>
      <w:r w:rsidRPr="000A6485">
        <w:rPr>
          <w:rFonts w:ascii="Verdana" w:hAnsi="Verdana" w:cs="Verdana"/>
          <w:color w:val="000000"/>
          <w:sz w:val="16"/>
          <w:szCs w:val="16"/>
        </w:rPr>
        <w:t xml:space="preserve"> </w:t>
      </w:r>
      <w:r>
        <w:rPr>
          <w:rFonts w:ascii="Verdana" w:hAnsi="Verdana" w:cs="Verdana"/>
          <w:color w:val="000000"/>
          <w:sz w:val="16"/>
          <w:szCs w:val="16"/>
        </w:rPr>
        <w:t>zrealizowane w m.st. Warszawa w okresie</w:t>
      </w:r>
      <w:r w:rsidRPr="000A6485">
        <w:rPr>
          <w:rFonts w:ascii="Verdana" w:hAnsi="Verdana" w:cs="Verdana"/>
          <w:color w:val="000000"/>
          <w:sz w:val="16"/>
          <w:szCs w:val="16"/>
        </w:rPr>
        <w:t xml:space="preserve"> 9 miesięcy </w:t>
      </w:r>
      <w:r w:rsidRPr="0090283F">
        <w:rPr>
          <w:rFonts w:ascii="Verdana" w:eastAsiaTheme="minorEastAsia" w:hAnsi="Verdana" w:cs="Verdana"/>
          <w:color w:val="000000"/>
          <w:sz w:val="16"/>
          <w:szCs w:val="16"/>
        </w:rPr>
        <w:t>2021</w:t>
      </w:r>
      <w:r w:rsidRPr="000A6485">
        <w:rPr>
          <w:rFonts w:ascii="Verdana" w:hAnsi="Verdana" w:cs="Verdana"/>
          <w:color w:val="000000"/>
          <w:sz w:val="16"/>
          <w:szCs w:val="16"/>
        </w:rPr>
        <w:t xml:space="preserve"> r. wykazują </w:t>
      </w:r>
      <w:r>
        <w:rPr>
          <w:rFonts w:ascii="Verdana" w:hAnsi="Verdana" w:cs="Verdana"/>
          <w:color w:val="000000"/>
          <w:sz w:val="16"/>
          <w:szCs w:val="16"/>
        </w:rPr>
        <w:t xml:space="preserve">poziom zbliżony do wykonania w analogicznym okresie w latach 2019-2020 (742 mln zł w 2021 r. wobec </w:t>
      </w:r>
      <w:r>
        <w:rPr>
          <w:rFonts w:ascii="Verdana" w:hAnsi="Verdana" w:cs="Verdana"/>
          <w:color w:val="000000"/>
          <w:sz w:val="16"/>
          <w:szCs w:val="16"/>
        </w:rPr>
        <w:br/>
        <w:t>749 w 2019 r. i 752 mln zł w 2020 r.),</w:t>
      </w:r>
      <w:r w:rsidRPr="00DA7C68">
        <w:rPr>
          <w:rFonts w:ascii="Verdana" w:hAnsi="Verdana" w:cs="Verdana"/>
          <w:color w:val="000000"/>
          <w:sz w:val="16"/>
          <w:szCs w:val="16"/>
        </w:rPr>
        <w:t xml:space="preserve"> </w:t>
      </w:r>
      <w:r>
        <w:rPr>
          <w:rFonts w:ascii="Verdana" w:hAnsi="Verdana" w:cs="Verdana"/>
          <w:color w:val="000000"/>
          <w:sz w:val="16"/>
          <w:szCs w:val="16"/>
        </w:rPr>
        <w:t xml:space="preserve">co oznacza stagnację dochodów, jak przedstawia to poniższy wykres </w:t>
      </w:r>
      <w:r>
        <w:rPr>
          <w:rFonts w:ascii="Verdana" w:hAnsi="Verdana" w:cs="Verdana"/>
          <w:color w:val="000000"/>
          <w:sz w:val="16"/>
          <w:szCs w:val="16"/>
        </w:rPr>
        <w:br/>
        <w:t>nr 14.</w:t>
      </w:r>
    </w:p>
    <w:p w:rsidR="007F07DD" w:rsidRPr="000A6485" w:rsidRDefault="007F07DD" w:rsidP="007F07DD">
      <w:pPr>
        <w:tabs>
          <w:tab w:val="left" w:pos="567"/>
        </w:tabs>
        <w:spacing w:before="60" w:after="60" w:line="240" w:lineRule="auto"/>
        <w:ind w:left="567" w:hanging="567"/>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14</w:t>
      </w:r>
      <w:r w:rsidRPr="000A6485">
        <w:rPr>
          <w:rFonts w:ascii="Verdana" w:hAnsi="Verdana" w:cs="Arial"/>
          <w:b/>
          <w:bCs/>
          <w:sz w:val="14"/>
          <w:szCs w:val="14"/>
        </w:rPr>
        <w:fldChar w:fldCharType="end"/>
      </w:r>
      <w:r w:rsidRPr="000A6485">
        <w:rPr>
          <w:rFonts w:ascii="Verdana" w:hAnsi="Verdana" w:cs="Arial"/>
          <w:b/>
          <w:bCs/>
          <w:sz w:val="14"/>
          <w:szCs w:val="14"/>
        </w:rPr>
        <w:t xml:space="preserve">  REALIZACJA I ZMIANA PROCENTOWA ROK DO ROKU DOCHODÓW Z CIT W M.ST. WARSZAWA </w:t>
      </w:r>
      <w:r w:rsidRPr="000A6485">
        <w:rPr>
          <w:rFonts w:ascii="Verdana" w:hAnsi="Verdana" w:cs="Arial"/>
          <w:b/>
          <w:bCs/>
          <w:sz w:val="14"/>
          <w:szCs w:val="14"/>
        </w:rPr>
        <w:br/>
        <w:t xml:space="preserve">    W  OKRESIE STY</w:t>
      </w:r>
      <w:r>
        <w:rPr>
          <w:rFonts w:ascii="Verdana" w:hAnsi="Verdana" w:cs="Arial"/>
          <w:b/>
          <w:bCs/>
          <w:sz w:val="14"/>
          <w:szCs w:val="14"/>
        </w:rPr>
        <w:t>CZEŃ-WRZESIEŃ W LATACH 2008-</w:t>
      </w:r>
      <w:r w:rsidRPr="0090283F">
        <w:rPr>
          <w:rFonts w:ascii="Verdana" w:hAnsi="Verdana" w:cs="Arial"/>
          <w:b/>
          <w:bCs/>
          <w:sz w:val="14"/>
          <w:szCs w:val="14"/>
        </w:rPr>
        <w:t>2021</w:t>
      </w:r>
    </w:p>
    <w:p w:rsidR="007F07DD" w:rsidRPr="000A6485" w:rsidRDefault="00F33C94" w:rsidP="007F07DD">
      <w:pPr>
        <w:autoSpaceDE w:val="0"/>
        <w:autoSpaceDN w:val="0"/>
        <w:adjustRightInd w:val="0"/>
        <w:spacing w:before="120" w:after="120"/>
        <w:jc w:val="both"/>
        <w:rPr>
          <w:rFonts w:ascii="Verdana" w:hAnsi="Verdana" w:cs="Verdana"/>
          <w:color w:val="000000"/>
          <w:sz w:val="16"/>
          <w:szCs w:val="16"/>
        </w:rPr>
      </w:pPr>
      <w:r>
        <w:rPr>
          <w:rFonts w:ascii="Verdana" w:hAnsi="Verdana" w:cs="Arial"/>
          <w:b/>
          <w:bCs/>
          <w:noProof/>
          <w:sz w:val="16"/>
          <w:szCs w:val="16"/>
        </w:rPr>
        <w:pict>
          <v:shape id="_x0000_i1033" type="#_x0000_t75" style="width:402.15pt;height:171.25pt">
            <v:imagedata r:id="rId27" o:title=""/>
          </v:shape>
        </w:pict>
      </w:r>
    </w:p>
    <w:p w:rsidR="007F07DD" w:rsidRPr="000A6485" w:rsidRDefault="007F07DD" w:rsidP="007F07DD">
      <w:pPr>
        <w:autoSpaceDE w:val="0"/>
        <w:autoSpaceDN w:val="0"/>
        <w:adjustRightInd w:val="0"/>
        <w:spacing w:before="120" w:after="120"/>
        <w:ind w:firstLine="567"/>
        <w:jc w:val="both"/>
        <w:rPr>
          <w:rFonts w:ascii="Verdana" w:hAnsi="Verdana" w:cs="Verdana"/>
          <w:color w:val="000000"/>
          <w:sz w:val="16"/>
          <w:szCs w:val="16"/>
        </w:rPr>
      </w:pPr>
      <w:r w:rsidRPr="008F2BBC">
        <w:rPr>
          <w:rFonts w:ascii="Verdana" w:hAnsi="Verdana" w:cs="Verdana"/>
          <w:b/>
          <w:color w:val="000000"/>
          <w:sz w:val="16"/>
          <w:szCs w:val="16"/>
        </w:rPr>
        <w:t xml:space="preserve">Dochody z tytułu udziału w </w:t>
      </w:r>
      <w:r w:rsidRPr="000A6485">
        <w:rPr>
          <w:rFonts w:ascii="Verdana" w:hAnsi="Verdana" w:cs="Verdana"/>
          <w:b/>
          <w:color w:val="000000"/>
          <w:sz w:val="16"/>
          <w:szCs w:val="16"/>
        </w:rPr>
        <w:t>PCC</w:t>
      </w:r>
      <w:r w:rsidRPr="000A6485">
        <w:rPr>
          <w:rFonts w:ascii="Verdana" w:hAnsi="Verdana" w:cs="Verdana"/>
          <w:color w:val="000000"/>
          <w:sz w:val="16"/>
          <w:szCs w:val="16"/>
        </w:rPr>
        <w:t xml:space="preserve"> </w:t>
      </w:r>
      <w:r>
        <w:rPr>
          <w:rFonts w:ascii="Verdana" w:hAnsi="Verdana" w:cs="Verdana"/>
          <w:color w:val="000000"/>
          <w:sz w:val="16"/>
          <w:szCs w:val="16"/>
        </w:rPr>
        <w:t xml:space="preserve">zrealizowane </w:t>
      </w:r>
      <w:r w:rsidRPr="000A6485">
        <w:rPr>
          <w:rFonts w:ascii="Verdana" w:hAnsi="Verdana" w:cs="Verdana"/>
          <w:color w:val="000000"/>
          <w:sz w:val="16"/>
          <w:szCs w:val="16"/>
        </w:rPr>
        <w:t xml:space="preserve">za pierwsze 9 miesięcy </w:t>
      </w:r>
      <w:r w:rsidRPr="0090283F">
        <w:rPr>
          <w:rFonts w:ascii="Verdana" w:eastAsiaTheme="minorEastAsia" w:hAnsi="Verdana" w:cs="Verdana"/>
          <w:color w:val="000000"/>
          <w:sz w:val="16"/>
          <w:szCs w:val="16"/>
        </w:rPr>
        <w:t>2021</w:t>
      </w:r>
      <w:r w:rsidRPr="000A6485">
        <w:rPr>
          <w:rFonts w:ascii="Verdana" w:hAnsi="Verdana" w:cs="Verdana"/>
          <w:color w:val="000000"/>
          <w:sz w:val="16"/>
          <w:szCs w:val="16"/>
        </w:rPr>
        <w:t xml:space="preserve"> r. </w:t>
      </w:r>
      <w:r>
        <w:rPr>
          <w:rFonts w:ascii="Verdana" w:hAnsi="Verdana" w:cs="Verdana"/>
          <w:color w:val="000000"/>
          <w:sz w:val="16"/>
          <w:szCs w:val="16"/>
        </w:rPr>
        <w:t>są</w:t>
      </w:r>
      <w:r w:rsidRPr="000A6485">
        <w:rPr>
          <w:rFonts w:ascii="Verdana" w:hAnsi="Verdana" w:cs="Verdana"/>
          <w:color w:val="000000"/>
          <w:sz w:val="16"/>
          <w:szCs w:val="16"/>
        </w:rPr>
        <w:t xml:space="preserve"> </w:t>
      </w:r>
      <w:r>
        <w:rPr>
          <w:rFonts w:ascii="Verdana" w:hAnsi="Verdana" w:cs="Verdana"/>
          <w:color w:val="000000"/>
          <w:sz w:val="16"/>
          <w:szCs w:val="16"/>
        </w:rPr>
        <w:t>znacząco wyższe</w:t>
      </w:r>
      <w:r w:rsidRPr="000A6485">
        <w:rPr>
          <w:rFonts w:ascii="Verdana" w:hAnsi="Verdana" w:cs="Verdana"/>
          <w:color w:val="000000"/>
          <w:sz w:val="16"/>
          <w:szCs w:val="16"/>
        </w:rPr>
        <w:t xml:space="preserve"> </w:t>
      </w:r>
      <w:r>
        <w:rPr>
          <w:rFonts w:ascii="Verdana" w:hAnsi="Verdana" w:cs="Verdana"/>
          <w:color w:val="000000"/>
          <w:sz w:val="16"/>
          <w:szCs w:val="16"/>
        </w:rPr>
        <w:br/>
        <w:t xml:space="preserve">– o </w:t>
      </w:r>
      <w:r w:rsidRPr="008F2BBC">
        <w:rPr>
          <w:rFonts w:ascii="Verdana" w:hAnsi="Verdana" w:cs="Verdana"/>
          <w:b/>
          <w:color w:val="000000"/>
          <w:sz w:val="16"/>
          <w:szCs w:val="16"/>
        </w:rPr>
        <w:t>92,1%</w:t>
      </w:r>
      <w:r>
        <w:rPr>
          <w:rFonts w:ascii="Verdana" w:hAnsi="Verdana" w:cs="Verdana"/>
          <w:color w:val="000000"/>
          <w:sz w:val="16"/>
          <w:szCs w:val="16"/>
        </w:rPr>
        <w:t xml:space="preserve"> - od </w:t>
      </w:r>
      <w:r w:rsidRPr="000A6485">
        <w:rPr>
          <w:rFonts w:ascii="Verdana" w:hAnsi="Verdana" w:cs="Verdana"/>
          <w:color w:val="000000"/>
          <w:sz w:val="16"/>
          <w:szCs w:val="16"/>
        </w:rPr>
        <w:t xml:space="preserve">wykonanych w analogicznym okresie </w:t>
      </w:r>
      <w:r>
        <w:rPr>
          <w:rFonts w:ascii="Verdana" w:hAnsi="Verdana" w:cs="Verdana"/>
          <w:color w:val="000000"/>
          <w:sz w:val="16"/>
          <w:szCs w:val="16"/>
        </w:rPr>
        <w:t>2020</w:t>
      </w:r>
      <w:r w:rsidRPr="000A6485">
        <w:rPr>
          <w:rFonts w:ascii="Verdana" w:hAnsi="Verdana" w:cs="Verdana"/>
          <w:color w:val="000000"/>
          <w:sz w:val="16"/>
          <w:szCs w:val="16"/>
        </w:rPr>
        <w:t xml:space="preserve"> r.</w:t>
      </w:r>
      <w:r>
        <w:rPr>
          <w:rFonts w:ascii="Verdana" w:hAnsi="Verdana" w:cs="Verdana"/>
          <w:color w:val="000000"/>
          <w:sz w:val="16"/>
          <w:szCs w:val="16"/>
        </w:rPr>
        <w:t xml:space="preserve"> </w:t>
      </w:r>
      <w:r>
        <w:rPr>
          <w:rFonts w:ascii="Verdana" w:hAnsi="Verdana" w:cs="Verdana"/>
          <w:sz w:val="16"/>
          <w:szCs w:val="16"/>
          <w:lang w:eastAsia="ko-KR"/>
        </w:rPr>
        <w:t>Na poziomie realizacji dochodów z PCC w okresie 3 kwartałów 2021 r. zaważyły jednak jednorazowe wysokie wpłaty podatku, m.in. związane z transakcją na rynku telekomunikacyjnym, oraz były następstwem ponadstandardowych wpłat podatku pochodzących od osób fizycznych. Ponadstandardowa realizacja dochodów miała miejsce w miesiącach maj-lipiec.</w:t>
      </w:r>
    </w:p>
    <w:p w:rsidR="007F07DD" w:rsidRPr="000A6485" w:rsidRDefault="007F07DD" w:rsidP="007F07DD">
      <w:pPr>
        <w:tabs>
          <w:tab w:val="left" w:pos="540"/>
        </w:tabs>
        <w:spacing w:before="60" w:after="60" w:line="240" w:lineRule="auto"/>
        <w:ind w:left="567" w:hanging="567"/>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15</w:t>
      </w:r>
      <w:r w:rsidRPr="000A6485">
        <w:rPr>
          <w:rFonts w:ascii="Verdana" w:hAnsi="Verdana" w:cs="Arial"/>
          <w:b/>
          <w:bCs/>
          <w:sz w:val="14"/>
          <w:szCs w:val="14"/>
        </w:rPr>
        <w:fldChar w:fldCharType="end"/>
      </w:r>
      <w:r w:rsidRPr="000A6485">
        <w:rPr>
          <w:rFonts w:ascii="Verdana" w:hAnsi="Verdana" w:cs="Arial"/>
          <w:b/>
          <w:bCs/>
          <w:sz w:val="14"/>
          <w:szCs w:val="14"/>
        </w:rPr>
        <w:t xml:space="preserve">  REALIZACJA I ZMIANA PROCENTOWA ROK DO ROKU DOCHODÓW Z PCC W M.ST. WARSZAWA </w:t>
      </w:r>
      <w:r w:rsidRPr="000A6485">
        <w:rPr>
          <w:rFonts w:ascii="Verdana" w:hAnsi="Verdana" w:cs="Arial"/>
          <w:b/>
          <w:bCs/>
          <w:sz w:val="14"/>
          <w:szCs w:val="14"/>
        </w:rPr>
        <w:br/>
        <w:t xml:space="preserve">    W OKRESIE ST</w:t>
      </w:r>
      <w:r>
        <w:rPr>
          <w:rFonts w:ascii="Verdana" w:hAnsi="Verdana" w:cs="Arial"/>
          <w:b/>
          <w:bCs/>
          <w:sz w:val="14"/>
          <w:szCs w:val="14"/>
        </w:rPr>
        <w:t>YCZEŃ-WRZESIEŃ W LATACH 2008-</w:t>
      </w:r>
      <w:r w:rsidRPr="0090283F">
        <w:rPr>
          <w:rFonts w:ascii="Verdana" w:hAnsi="Verdana" w:cs="Arial"/>
          <w:b/>
          <w:bCs/>
          <w:sz w:val="14"/>
          <w:szCs w:val="14"/>
        </w:rPr>
        <w:t>2021</w:t>
      </w:r>
    </w:p>
    <w:p w:rsidR="007F07DD" w:rsidRPr="000A6485" w:rsidRDefault="00F33C94" w:rsidP="007F07DD">
      <w:pPr>
        <w:tabs>
          <w:tab w:val="left" w:pos="540"/>
        </w:tabs>
        <w:spacing w:before="60" w:after="60"/>
        <w:ind w:left="720" w:hanging="720"/>
        <w:rPr>
          <w:rFonts w:ascii="Verdana" w:hAnsi="Verdana" w:cs="Arial"/>
          <w:b/>
          <w:bCs/>
          <w:noProof/>
          <w:sz w:val="16"/>
          <w:szCs w:val="16"/>
        </w:rPr>
      </w:pPr>
      <w:r>
        <w:rPr>
          <w:rFonts w:ascii="Verdana" w:hAnsi="Verdana" w:cs="Arial"/>
          <w:b/>
          <w:bCs/>
          <w:noProof/>
          <w:sz w:val="16"/>
          <w:szCs w:val="16"/>
        </w:rPr>
        <w:pict>
          <v:shape id="_x0000_i1034" type="#_x0000_t75" style="width:397.6pt;height:169.3pt">
            <v:imagedata r:id="rId28" o:title=""/>
          </v:shape>
        </w:pict>
      </w:r>
    </w:p>
    <w:p w:rsidR="007F07DD" w:rsidRDefault="007F07DD" w:rsidP="007F07DD">
      <w:pPr>
        <w:spacing w:before="120" w:after="120"/>
        <w:ind w:firstLine="567"/>
        <w:jc w:val="both"/>
        <w:rPr>
          <w:rFonts w:ascii="Verdana" w:hAnsi="Verdana"/>
          <w:sz w:val="16"/>
          <w:szCs w:val="16"/>
        </w:rPr>
      </w:pPr>
      <w:r w:rsidRPr="000A6485">
        <w:rPr>
          <w:rFonts w:ascii="Verdana" w:hAnsi="Verdana"/>
          <w:sz w:val="16"/>
          <w:szCs w:val="16"/>
        </w:rPr>
        <w:t xml:space="preserve">Planując dochody </w:t>
      </w:r>
      <w:r>
        <w:rPr>
          <w:rFonts w:ascii="Verdana" w:hAnsi="Verdana"/>
          <w:b/>
          <w:sz w:val="16"/>
          <w:szCs w:val="16"/>
        </w:rPr>
        <w:t>na rok</w:t>
      </w:r>
      <w:r w:rsidRPr="000A6485">
        <w:rPr>
          <w:rFonts w:ascii="Verdana" w:hAnsi="Verdana"/>
          <w:b/>
          <w:sz w:val="16"/>
          <w:szCs w:val="16"/>
        </w:rPr>
        <w:t xml:space="preserve"> </w:t>
      </w:r>
      <w:bookmarkStart w:id="5" w:name="OLE_LINK1"/>
      <w:r w:rsidRPr="0090283F">
        <w:rPr>
          <w:rFonts w:ascii="Verdana" w:hAnsi="Verdana"/>
          <w:b/>
          <w:sz w:val="16"/>
          <w:szCs w:val="16"/>
        </w:rPr>
        <w:t>2022</w:t>
      </w:r>
      <w:bookmarkEnd w:id="5"/>
      <w:r w:rsidRPr="000A6485">
        <w:rPr>
          <w:rFonts w:ascii="Verdana" w:hAnsi="Verdana"/>
          <w:b/>
          <w:sz w:val="16"/>
          <w:szCs w:val="16"/>
        </w:rPr>
        <w:t xml:space="preserve"> i</w:t>
      </w:r>
      <w:r>
        <w:rPr>
          <w:rFonts w:ascii="Verdana" w:hAnsi="Verdana"/>
          <w:b/>
          <w:sz w:val="16"/>
          <w:szCs w:val="16"/>
        </w:rPr>
        <w:t xml:space="preserve"> lata następne, </w:t>
      </w:r>
      <w:r w:rsidRPr="00ED4555">
        <w:rPr>
          <w:rFonts w:ascii="Verdana" w:hAnsi="Verdana"/>
          <w:b/>
          <w:sz w:val="16"/>
          <w:szCs w:val="16"/>
        </w:rPr>
        <w:t xml:space="preserve">w tym </w:t>
      </w:r>
      <w:r>
        <w:rPr>
          <w:rFonts w:ascii="Verdana" w:hAnsi="Verdana"/>
          <w:b/>
          <w:sz w:val="16"/>
          <w:szCs w:val="16"/>
        </w:rPr>
        <w:t>wpływy</w:t>
      </w:r>
      <w:r w:rsidRPr="00ED4555">
        <w:rPr>
          <w:rFonts w:ascii="Verdana" w:hAnsi="Verdana"/>
          <w:b/>
          <w:sz w:val="16"/>
          <w:szCs w:val="16"/>
        </w:rPr>
        <w:t xml:space="preserve"> z PIT, CIT i PCC</w:t>
      </w:r>
      <w:r>
        <w:rPr>
          <w:rFonts w:ascii="Verdana" w:hAnsi="Verdana"/>
          <w:b/>
          <w:sz w:val="16"/>
          <w:szCs w:val="16"/>
        </w:rPr>
        <w:t>,</w:t>
      </w:r>
      <w:r w:rsidRPr="000A6485">
        <w:rPr>
          <w:rFonts w:ascii="Verdana" w:hAnsi="Verdana"/>
          <w:sz w:val="16"/>
          <w:szCs w:val="16"/>
        </w:rPr>
        <w:t xml:space="preserve"> </w:t>
      </w:r>
      <w:r w:rsidRPr="000A6485">
        <w:rPr>
          <w:rFonts w:ascii="Verdana" w:hAnsi="Verdana"/>
          <w:b/>
          <w:sz w:val="16"/>
          <w:szCs w:val="16"/>
        </w:rPr>
        <w:t xml:space="preserve">przyjęto zasadę ostrożnego prognozowania dochodów </w:t>
      </w:r>
      <w:r>
        <w:rPr>
          <w:rFonts w:ascii="Verdana" w:hAnsi="Verdana"/>
          <w:sz w:val="16"/>
          <w:szCs w:val="16"/>
        </w:rPr>
        <w:t xml:space="preserve">(zgodnie z nowymi zasadami określonymi w rządowym Programie Polski Ład dochody z PIT i CIT samorządów do budżetu wyznacza Ministerstwo Finansów, natomiast prognozę </w:t>
      </w:r>
      <w:r>
        <w:rPr>
          <w:rFonts w:ascii="Verdana" w:hAnsi="Verdana"/>
          <w:sz w:val="16"/>
          <w:szCs w:val="16"/>
        </w:rPr>
        <w:br/>
        <w:t>w tym zakresie na następne lata, ujmowaną w wieloletnich prognozach finansowych, opracowują JST)</w:t>
      </w:r>
      <w:r w:rsidRPr="000A6485">
        <w:rPr>
          <w:rFonts w:ascii="Verdana" w:hAnsi="Verdana"/>
          <w:sz w:val="16"/>
          <w:szCs w:val="16"/>
        </w:rPr>
        <w:t xml:space="preserve">. </w:t>
      </w:r>
    </w:p>
    <w:p w:rsidR="007F07DD" w:rsidRDefault="007F07DD" w:rsidP="007F07DD">
      <w:pPr>
        <w:spacing w:before="240" w:after="240"/>
        <w:ind w:left="1077" w:hanging="1077"/>
        <w:rPr>
          <w:rFonts w:ascii="Verdana" w:hAnsi="Verdana"/>
          <w:b/>
          <w:bCs/>
          <w:sz w:val="18"/>
          <w:szCs w:val="18"/>
        </w:rPr>
      </w:pPr>
      <w:r>
        <w:rPr>
          <w:rFonts w:ascii="Verdana" w:hAnsi="Verdana"/>
          <w:b/>
          <w:bCs/>
          <w:sz w:val="18"/>
          <w:szCs w:val="18"/>
        </w:rPr>
        <w:br w:type="page"/>
      </w:r>
    </w:p>
    <w:p w:rsidR="007F07DD" w:rsidRPr="000A6485" w:rsidRDefault="007F07DD" w:rsidP="007F07DD">
      <w:pPr>
        <w:spacing w:before="240" w:after="240"/>
        <w:ind w:left="1077" w:hanging="1077"/>
        <w:rPr>
          <w:rFonts w:ascii="Verdana" w:hAnsi="Verdana"/>
          <w:b/>
          <w:bCs/>
          <w:sz w:val="18"/>
          <w:szCs w:val="18"/>
        </w:rPr>
      </w:pPr>
      <w:r w:rsidRPr="000A6485">
        <w:rPr>
          <w:rFonts w:ascii="Verdana" w:hAnsi="Verdana"/>
          <w:b/>
          <w:bCs/>
          <w:sz w:val="18"/>
          <w:szCs w:val="18"/>
        </w:rPr>
        <w:lastRenderedPageBreak/>
        <w:t>7.2.2.2 Prognozy makroekonomiczne</w:t>
      </w:r>
    </w:p>
    <w:p w:rsidR="007F07DD" w:rsidRPr="000A6485" w:rsidRDefault="007F07DD" w:rsidP="007F07DD">
      <w:pPr>
        <w:spacing w:before="120" w:after="120"/>
        <w:ind w:firstLine="540"/>
        <w:jc w:val="both"/>
        <w:rPr>
          <w:rFonts w:ascii="Verdana" w:hAnsi="Verdana"/>
          <w:b/>
          <w:bCs/>
          <w:sz w:val="16"/>
          <w:szCs w:val="16"/>
        </w:rPr>
      </w:pPr>
      <w:r w:rsidRPr="000A6485">
        <w:rPr>
          <w:rFonts w:ascii="Verdana" w:hAnsi="Verdana"/>
          <w:sz w:val="16"/>
          <w:szCs w:val="16"/>
        </w:rPr>
        <w:t>W niniejszej prognozie dochodów zachowano zgodność ze scenariuszem wzrostu gospodarczego kraju nakreślonym na najbliższe lata w projekc</w:t>
      </w:r>
      <w:r>
        <w:rPr>
          <w:rFonts w:ascii="Verdana" w:hAnsi="Verdana"/>
          <w:sz w:val="16"/>
          <w:szCs w:val="16"/>
        </w:rPr>
        <w:t xml:space="preserve">ie ustawy budżetowej na rok </w:t>
      </w:r>
      <w:r w:rsidRPr="0090283F">
        <w:rPr>
          <w:rFonts w:ascii="Verdana" w:eastAsiaTheme="minorEastAsia" w:hAnsi="Verdana" w:cs="Verdana"/>
          <w:color w:val="000000"/>
          <w:sz w:val="16"/>
          <w:szCs w:val="16"/>
        </w:rPr>
        <w:t>2022</w:t>
      </w:r>
      <w:r w:rsidRPr="000A6485">
        <w:rPr>
          <w:rFonts w:ascii="Verdana" w:hAnsi="Verdana"/>
          <w:sz w:val="16"/>
          <w:szCs w:val="16"/>
        </w:rPr>
        <w:t>. Przyjęte do prognozowania wskaźniki makroekonomiczn</w:t>
      </w:r>
      <w:r>
        <w:rPr>
          <w:rFonts w:ascii="Verdana" w:hAnsi="Verdana"/>
          <w:sz w:val="16"/>
          <w:szCs w:val="16"/>
        </w:rPr>
        <w:t>e opublikowane w ww. dokumencie</w:t>
      </w:r>
      <w:r w:rsidRPr="000A6485">
        <w:rPr>
          <w:rFonts w:ascii="Verdana" w:hAnsi="Verdana"/>
          <w:sz w:val="16"/>
          <w:szCs w:val="16"/>
        </w:rPr>
        <w:t xml:space="preserve"> rzutują na parametry projekcji dochodów. Wskaźniki makroekonomiczne prezentuje tab. nr 1 zamieszczona w pkt. 4.2.</w:t>
      </w:r>
    </w:p>
    <w:p w:rsidR="007F07DD" w:rsidRPr="000A6485" w:rsidRDefault="007F07DD" w:rsidP="007F07DD">
      <w:pPr>
        <w:spacing w:before="240" w:after="240"/>
        <w:jc w:val="both"/>
        <w:rPr>
          <w:rFonts w:ascii="Verdana" w:hAnsi="Verdana"/>
          <w:b/>
          <w:bCs/>
          <w:sz w:val="18"/>
          <w:szCs w:val="18"/>
        </w:rPr>
      </w:pPr>
      <w:r w:rsidRPr="000A6485">
        <w:rPr>
          <w:rFonts w:ascii="Verdana" w:hAnsi="Verdana"/>
          <w:b/>
          <w:bCs/>
          <w:sz w:val="18"/>
          <w:szCs w:val="18"/>
        </w:rPr>
        <w:t>7.2.2.3 Pozostałe założenia</w:t>
      </w:r>
    </w:p>
    <w:p w:rsidR="007F07DD" w:rsidRPr="000A6485"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Pozostałe założenia w zakresie prognozy dochodów na lata </w:t>
      </w:r>
      <w:r>
        <w:rPr>
          <w:rFonts w:ascii="Verdana" w:hAnsi="Verdana"/>
          <w:sz w:val="16"/>
          <w:szCs w:val="16"/>
        </w:rPr>
        <w:t>2022</w:t>
      </w:r>
      <w:r w:rsidRPr="000A6485">
        <w:rPr>
          <w:rFonts w:ascii="Verdana" w:hAnsi="Verdana"/>
          <w:sz w:val="16"/>
          <w:szCs w:val="16"/>
        </w:rPr>
        <w:t>-2050 określają w istotny sposób wysokość dochodów, dynamikę, rozkład w poszczególnych latach oraz strukturę źródeł. Przyjęto następujące założenia:</w:t>
      </w:r>
    </w:p>
    <w:p w:rsidR="007F07DD" w:rsidRPr="00EB2748" w:rsidRDefault="007F07DD" w:rsidP="007F07DD">
      <w:pPr>
        <w:pStyle w:val="Akapitzlist"/>
        <w:numPr>
          <w:ilvl w:val="0"/>
          <w:numId w:val="63"/>
        </w:numPr>
        <w:spacing w:before="60" w:after="60"/>
        <w:ind w:left="567" w:hanging="283"/>
        <w:jc w:val="both"/>
        <w:rPr>
          <w:rFonts w:ascii="Verdana" w:hAnsi="Verdana"/>
          <w:sz w:val="16"/>
          <w:szCs w:val="16"/>
        </w:rPr>
      </w:pPr>
      <w:r w:rsidRPr="00EB2748">
        <w:rPr>
          <w:rFonts w:ascii="Verdana" w:hAnsi="Verdana"/>
          <w:sz w:val="16"/>
          <w:szCs w:val="16"/>
        </w:rPr>
        <w:t>P</w:t>
      </w:r>
      <w:r>
        <w:rPr>
          <w:rFonts w:ascii="Verdana" w:hAnsi="Verdana"/>
          <w:sz w:val="16"/>
          <w:szCs w:val="16"/>
        </w:rPr>
        <w:t>lanowane</w:t>
      </w:r>
      <w:r w:rsidRPr="00EB2748">
        <w:rPr>
          <w:rFonts w:ascii="Verdana" w:hAnsi="Verdana"/>
          <w:sz w:val="16"/>
          <w:szCs w:val="16"/>
        </w:rPr>
        <w:t xml:space="preserve"> na </w:t>
      </w:r>
      <w:r w:rsidRPr="0090283F">
        <w:rPr>
          <w:rFonts w:ascii="Verdana" w:eastAsiaTheme="minorEastAsia" w:hAnsi="Verdana" w:cs="Verdana"/>
          <w:color w:val="000000"/>
          <w:sz w:val="16"/>
          <w:szCs w:val="16"/>
        </w:rPr>
        <w:t>2022</w:t>
      </w:r>
      <w:r w:rsidRPr="00EB2748">
        <w:rPr>
          <w:rFonts w:ascii="Verdana" w:hAnsi="Verdana"/>
          <w:sz w:val="16"/>
          <w:szCs w:val="16"/>
        </w:rPr>
        <w:t xml:space="preserve"> r. dochody z podatków dochodowych od osób fizycznych (PIT) i osób prawnych (CIT) oraz dochodów z subwencji ogólnej, a także wysokość wpłaty do budżetu państwa na rzecz subwencji ogólnej w części równoważącej (tzw. Janosikowe) przyjęto na poziomie zgodnym z kwotami podanymi przez Ministerstwo Finansów w pismach z 14 października 2021 r. znak: ST3.4750.31.2021 </w:t>
      </w:r>
      <w:r>
        <w:rPr>
          <w:rFonts w:ascii="Verdana" w:hAnsi="Verdana"/>
          <w:sz w:val="16"/>
          <w:szCs w:val="16"/>
        </w:rPr>
        <w:br/>
      </w:r>
      <w:r w:rsidRPr="00EB2748">
        <w:rPr>
          <w:rFonts w:ascii="Verdana" w:hAnsi="Verdana"/>
          <w:sz w:val="16"/>
          <w:szCs w:val="16"/>
        </w:rPr>
        <w:t xml:space="preserve">i ST8.4750.5.2021. Stosownie do informacji przedstawionej w powyższych pismach, przekazane przez Ministerstwo Finansów parametry budżetowe dla m.st. Warszawy zostały ustalone na podstawie: </w:t>
      </w:r>
    </w:p>
    <w:p w:rsidR="007F07DD" w:rsidRPr="00EB2748" w:rsidRDefault="007F07DD" w:rsidP="007F07DD">
      <w:pPr>
        <w:pStyle w:val="Akapitzlist"/>
        <w:numPr>
          <w:ilvl w:val="0"/>
          <w:numId w:val="55"/>
        </w:numPr>
        <w:spacing w:before="60" w:after="60"/>
        <w:ind w:left="993"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 z 29</w:t>
      </w:r>
      <w:r w:rsidRPr="00AC083A">
        <w:rPr>
          <w:rFonts w:ascii="Verdana" w:hAnsi="Verdana" w:cs="Arial"/>
          <w:sz w:val="16"/>
          <w:szCs w:val="16"/>
        </w:rPr>
        <w:t xml:space="preserve"> października 2021 r. </w:t>
      </w:r>
      <w:r w:rsidRPr="00AC083A">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(Dz.U. poz. 2105),</w:t>
      </w:r>
    </w:p>
    <w:p w:rsidR="007F07DD" w:rsidRPr="00AC083A" w:rsidRDefault="007F07DD" w:rsidP="007F07DD">
      <w:pPr>
        <w:pStyle w:val="Akapitzlist"/>
        <w:numPr>
          <w:ilvl w:val="0"/>
          <w:numId w:val="55"/>
        </w:numPr>
        <w:spacing w:before="60" w:after="60"/>
        <w:ind w:left="993"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Pr>
          <w:rFonts w:ascii="Verdana" w:hAnsi="Verdana" w:cs="Arial"/>
          <w:iCs/>
          <w:sz w:val="16"/>
          <w:szCs w:val="16"/>
        </w:rPr>
        <w:t xml:space="preserve">Dz.U. </w:t>
      </w:r>
      <w:r w:rsidRPr="00AC083A">
        <w:rPr>
          <w:rFonts w:ascii="Verdana" w:hAnsi="Verdana" w:cs="Arial"/>
          <w:iCs/>
          <w:sz w:val="16"/>
          <w:szCs w:val="16"/>
        </w:rPr>
        <w:t>poz. 1927</w:t>
      </w:r>
      <w:r w:rsidRPr="00AC083A">
        <w:rPr>
          <w:rFonts w:ascii="Verdana" w:hAnsi="Verdana" w:cs="Arial"/>
          <w:sz w:val="16"/>
          <w:szCs w:val="16"/>
        </w:rPr>
        <w:t>).</w:t>
      </w:r>
    </w:p>
    <w:p w:rsidR="007F07DD" w:rsidRPr="00EB2748" w:rsidRDefault="007F07DD" w:rsidP="007F07DD">
      <w:pPr>
        <w:spacing w:before="60" w:after="60"/>
        <w:ind w:left="567"/>
        <w:jc w:val="both"/>
        <w:rPr>
          <w:rFonts w:ascii="Verdana" w:hAnsi="Verdana"/>
          <w:bCs/>
          <w:sz w:val="16"/>
          <w:szCs w:val="16"/>
        </w:rPr>
      </w:pPr>
      <w:r w:rsidRPr="000A6485">
        <w:rPr>
          <w:rFonts w:ascii="Verdana" w:hAnsi="Verdana"/>
          <w:iCs/>
          <w:sz w:val="16"/>
          <w:szCs w:val="16"/>
        </w:rPr>
        <w:t xml:space="preserve">Dla kolejnych lat przyjęto szacunki własne oparte </w:t>
      </w:r>
      <w:r>
        <w:rPr>
          <w:rFonts w:ascii="Verdana" w:hAnsi="Verdana"/>
          <w:iCs/>
          <w:sz w:val="16"/>
          <w:szCs w:val="16"/>
        </w:rPr>
        <w:t>o </w:t>
      </w:r>
      <w:r w:rsidRPr="000A6485">
        <w:rPr>
          <w:rFonts w:ascii="Verdana" w:hAnsi="Verdana"/>
          <w:iCs/>
          <w:sz w:val="16"/>
          <w:szCs w:val="16"/>
        </w:rPr>
        <w:t xml:space="preserve">prognozę wskaźników makroekonomicznych przedstawioną przez Ministerstwo Finansów w </w:t>
      </w:r>
      <w:r>
        <w:rPr>
          <w:rFonts w:ascii="Verdana" w:hAnsi="Verdana"/>
          <w:iCs/>
          <w:sz w:val="16"/>
          <w:szCs w:val="16"/>
        </w:rPr>
        <w:t>projekcie ustawy budżetowej na 2022 r.</w:t>
      </w:r>
      <w:r w:rsidRPr="00A31ACA">
        <w:rPr>
          <w:rFonts w:ascii="Verdana" w:hAnsi="Verdana"/>
          <w:bCs/>
          <w:sz w:val="16"/>
          <w:szCs w:val="16"/>
        </w:rPr>
        <w:t xml:space="preserve"> </w:t>
      </w:r>
      <w:r w:rsidRPr="00E927D0">
        <w:rPr>
          <w:rFonts w:ascii="Verdana" w:hAnsi="Verdana"/>
          <w:bCs/>
          <w:sz w:val="16"/>
          <w:szCs w:val="16"/>
        </w:rPr>
        <w:t>przyjęty</w:t>
      </w:r>
      <w:r>
        <w:rPr>
          <w:rFonts w:ascii="Verdana" w:hAnsi="Verdana"/>
          <w:bCs/>
          <w:sz w:val="16"/>
          <w:szCs w:val="16"/>
        </w:rPr>
        <w:t>m</w:t>
      </w:r>
      <w:r w:rsidRPr="00E927D0">
        <w:rPr>
          <w:rFonts w:ascii="Verdana" w:hAnsi="Verdana"/>
          <w:bCs/>
          <w:sz w:val="16"/>
          <w:szCs w:val="16"/>
        </w:rPr>
        <w:t xml:space="preserve"> przez Radę Ministrów w dn</w:t>
      </w:r>
      <w:r>
        <w:rPr>
          <w:rFonts w:ascii="Verdana" w:hAnsi="Verdana"/>
          <w:bCs/>
          <w:sz w:val="16"/>
          <w:szCs w:val="16"/>
        </w:rPr>
        <w:t>iu</w:t>
      </w:r>
      <w:r w:rsidRPr="00E927D0">
        <w:rPr>
          <w:rFonts w:ascii="Verdana" w:hAnsi="Verdana"/>
          <w:bCs/>
          <w:sz w:val="16"/>
          <w:szCs w:val="16"/>
        </w:rPr>
        <w:t xml:space="preserve"> 28</w:t>
      </w:r>
      <w:r>
        <w:rPr>
          <w:rFonts w:ascii="Verdana" w:hAnsi="Verdana"/>
          <w:bCs/>
          <w:sz w:val="16"/>
          <w:szCs w:val="16"/>
        </w:rPr>
        <w:t xml:space="preserve"> września 2021 </w:t>
      </w:r>
      <w:r w:rsidRPr="00E927D0">
        <w:rPr>
          <w:rFonts w:ascii="Verdana" w:hAnsi="Verdana"/>
          <w:bCs/>
          <w:sz w:val="16"/>
          <w:szCs w:val="16"/>
        </w:rPr>
        <w:t xml:space="preserve">r. </w:t>
      </w:r>
      <w:r w:rsidRPr="000A6485">
        <w:rPr>
          <w:rFonts w:ascii="Verdana" w:hAnsi="Verdana"/>
          <w:iCs/>
          <w:sz w:val="16"/>
          <w:szCs w:val="16"/>
        </w:rPr>
        <w:t>oraz</w:t>
      </w:r>
      <w:r>
        <w:rPr>
          <w:rFonts w:ascii="Verdana" w:hAnsi="Verdana"/>
          <w:iCs/>
          <w:sz w:val="16"/>
          <w:szCs w:val="16"/>
        </w:rPr>
        <w:t xml:space="preserve"> w dokumencie pt.</w:t>
      </w:r>
      <w:r w:rsidRPr="000A6485">
        <w:rPr>
          <w:rFonts w:ascii="Verdana" w:hAnsi="Verdana"/>
          <w:iCs/>
          <w:sz w:val="16"/>
          <w:szCs w:val="16"/>
        </w:rPr>
        <w:t xml:space="preserve"> </w:t>
      </w:r>
      <w:r w:rsidRPr="000A6485">
        <w:rPr>
          <w:rFonts w:ascii="Verdana" w:hAnsi="Verdana"/>
          <w:i/>
          <w:sz w:val="16"/>
          <w:szCs w:val="16"/>
        </w:rPr>
        <w:t xml:space="preserve">Wytyczne dotyczące stosowania jednolitych wskaźników makroekonomicznych będących podstawą oszacowania skutków finansowych projektowanych ustaw – aktualizacja </w:t>
      </w:r>
      <w:r>
        <w:rPr>
          <w:rFonts w:ascii="Verdana" w:hAnsi="Verdana"/>
          <w:i/>
          <w:sz w:val="16"/>
          <w:szCs w:val="16"/>
        </w:rPr>
        <w:t>sierpień 2021</w:t>
      </w:r>
      <w:r w:rsidRPr="000A6485">
        <w:rPr>
          <w:rFonts w:ascii="Verdana" w:hAnsi="Verdana"/>
          <w:i/>
          <w:sz w:val="16"/>
          <w:szCs w:val="16"/>
        </w:rPr>
        <w:t xml:space="preserve"> r.</w:t>
      </w:r>
      <w:r>
        <w:rPr>
          <w:rFonts w:ascii="Verdana" w:hAnsi="Verdana"/>
          <w:iCs/>
          <w:sz w:val="16"/>
          <w:szCs w:val="16"/>
        </w:rPr>
        <w:t xml:space="preserve"> W prognozie uwzględniono </w:t>
      </w:r>
      <w:r w:rsidRPr="000A6485">
        <w:rPr>
          <w:rFonts w:ascii="Verdana" w:hAnsi="Verdana"/>
          <w:iCs/>
          <w:sz w:val="16"/>
          <w:szCs w:val="16"/>
        </w:rPr>
        <w:t>spodziewane skutki finansowe zmian w podatku dochodowym od osób fiz</w:t>
      </w:r>
      <w:r>
        <w:rPr>
          <w:rFonts w:ascii="Verdana" w:hAnsi="Verdana"/>
          <w:iCs/>
          <w:sz w:val="16"/>
          <w:szCs w:val="16"/>
        </w:rPr>
        <w:t>ycznych PIT;</w:t>
      </w:r>
    </w:p>
    <w:p w:rsidR="007F07DD" w:rsidRPr="00321E2E" w:rsidRDefault="007F07DD" w:rsidP="007F07DD">
      <w:pPr>
        <w:numPr>
          <w:ilvl w:val="0"/>
          <w:numId w:val="5"/>
        </w:numPr>
        <w:tabs>
          <w:tab w:val="clear" w:pos="1080"/>
          <w:tab w:val="num" w:pos="540"/>
        </w:tabs>
        <w:spacing w:before="60" w:after="60"/>
        <w:ind w:left="540" w:hanging="180"/>
        <w:jc w:val="both"/>
        <w:rPr>
          <w:rFonts w:ascii="Verdana" w:hAnsi="Verdana"/>
          <w:bCs/>
          <w:sz w:val="16"/>
          <w:szCs w:val="16"/>
        </w:rPr>
      </w:pPr>
      <w:r w:rsidRPr="00321E2E">
        <w:rPr>
          <w:rFonts w:ascii="Verdana" w:hAnsi="Verdana" w:cs="Arial"/>
          <w:sz w:val="16"/>
          <w:szCs w:val="16"/>
        </w:rPr>
        <w:t xml:space="preserve">Dochody i wydatki budżetowe związane z Programem „Rodzina 500 Plus” zaplanowano przy założeniu przejęcia przez Zakład Ubezpieczeń Społecznych od czerwca 2022 r. realizacji wypłat świadczeń objętych Programem, co przewiduje ustawa z 17 września 2021 r. </w:t>
      </w:r>
      <w:r w:rsidRPr="00321E2E">
        <w:rPr>
          <w:rFonts w:ascii="Verdana" w:hAnsi="Verdana" w:cs="Arial"/>
          <w:i/>
          <w:sz w:val="16"/>
          <w:szCs w:val="16"/>
        </w:rPr>
        <w:t xml:space="preserve">o zmianie ustawy o pomocy państwa </w:t>
      </w:r>
      <w:r>
        <w:rPr>
          <w:rFonts w:ascii="Verdana" w:hAnsi="Verdana" w:cs="Arial"/>
          <w:i/>
          <w:sz w:val="16"/>
          <w:szCs w:val="16"/>
        </w:rPr>
        <w:br/>
      </w:r>
      <w:r w:rsidRPr="00321E2E">
        <w:rPr>
          <w:rFonts w:ascii="Verdana" w:hAnsi="Verdana" w:cs="Arial"/>
          <w:i/>
          <w:sz w:val="16"/>
          <w:szCs w:val="16"/>
        </w:rPr>
        <w:t>w wychowaniu dzieci oraz niektórych innych ustaw</w:t>
      </w:r>
      <w:r>
        <w:rPr>
          <w:rFonts w:ascii="Verdana" w:hAnsi="Verdana" w:cs="Arial"/>
          <w:sz w:val="16"/>
          <w:szCs w:val="16"/>
        </w:rPr>
        <w:t xml:space="preserve"> </w:t>
      </w:r>
      <w:r w:rsidRPr="00AC083A">
        <w:rPr>
          <w:rFonts w:ascii="Verdana" w:hAnsi="Verdana" w:cs="Arial"/>
          <w:sz w:val="16"/>
          <w:szCs w:val="16"/>
        </w:rPr>
        <w:t>(</w:t>
      </w:r>
      <w:r>
        <w:rPr>
          <w:rFonts w:ascii="Verdana" w:hAnsi="Verdana" w:cs="Arial"/>
          <w:iCs/>
          <w:sz w:val="16"/>
          <w:szCs w:val="16"/>
        </w:rPr>
        <w:t>Dz.U. poz. 1981</w:t>
      </w:r>
      <w:r w:rsidRPr="00AC083A">
        <w:rPr>
          <w:rFonts w:ascii="Verdana" w:hAnsi="Verdana" w:cs="Arial"/>
          <w:sz w:val="16"/>
          <w:szCs w:val="16"/>
        </w:rPr>
        <w:t>)</w:t>
      </w:r>
      <w:r w:rsidRPr="00321E2E">
        <w:rPr>
          <w:rFonts w:ascii="Verdana" w:hAnsi="Verdana" w:cs="Arial"/>
          <w:sz w:val="16"/>
          <w:szCs w:val="16"/>
        </w:rPr>
        <w:t xml:space="preserve">. </w:t>
      </w:r>
      <w:r>
        <w:rPr>
          <w:rFonts w:ascii="Verdana" w:hAnsi="Verdana" w:cs="Arial"/>
          <w:sz w:val="16"/>
          <w:szCs w:val="16"/>
        </w:rPr>
        <w:t xml:space="preserve">Dochody i wydatki związane </w:t>
      </w:r>
      <w:r>
        <w:rPr>
          <w:rFonts w:ascii="Verdana" w:hAnsi="Verdana" w:cs="Arial"/>
          <w:sz w:val="16"/>
          <w:szCs w:val="16"/>
        </w:rPr>
        <w:br/>
        <w:t xml:space="preserve">z realizacją Programu „Rodzina 500 Plus” planowane na 2022 r. wynoszą </w:t>
      </w:r>
      <w:r w:rsidRPr="00321E2E">
        <w:rPr>
          <w:rFonts w:ascii="Verdana" w:hAnsi="Verdana" w:cs="Arial"/>
          <w:b/>
          <w:sz w:val="16"/>
          <w:szCs w:val="16"/>
        </w:rPr>
        <w:t>8</w:t>
      </w:r>
      <w:r>
        <w:rPr>
          <w:rFonts w:ascii="Verdana" w:hAnsi="Verdana" w:cs="Arial"/>
          <w:b/>
          <w:sz w:val="16"/>
          <w:szCs w:val="16"/>
        </w:rPr>
        <w:t>35</w:t>
      </w:r>
      <w:r w:rsidRPr="00321E2E">
        <w:rPr>
          <w:rFonts w:ascii="Verdana" w:hAnsi="Verdana" w:cs="Arial"/>
          <w:b/>
          <w:sz w:val="16"/>
          <w:szCs w:val="16"/>
        </w:rPr>
        <w:t xml:space="preserve"> mln zł</w:t>
      </w:r>
      <w:r>
        <w:rPr>
          <w:rFonts w:ascii="Verdana" w:hAnsi="Verdana" w:cs="Arial"/>
          <w:sz w:val="16"/>
          <w:szCs w:val="16"/>
        </w:rPr>
        <w:t xml:space="preserve"> wobec </w:t>
      </w:r>
      <w:r>
        <w:rPr>
          <w:rFonts w:ascii="Verdana" w:hAnsi="Verdana" w:cs="Arial"/>
          <w:sz w:val="16"/>
          <w:szCs w:val="16"/>
        </w:rPr>
        <w:br/>
      </w:r>
      <w:r>
        <w:rPr>
          <w:rFonts w:ascii="Verdana" w:hAnsi="Verdana" w:cs="Arial"/>
          <w:b/>
          <w:sz w:val="16"/>
          <w:szCs w:val="16"/>
        </w:rPr>
        <w:t>2,022</w:t>
      </w:r>
      <w:r w:rsidRPr="00321E2E">
        <w:rPr>
          <w:rFonts w:ascii="Verdana" w:hAnsi="Verdana" w:cs="Arial"/>
          <w:b/>
          <w:sz w:val="16"/>
          <w:szCs w:val="16"/>
        </w:rPr>
        <w:t xml:space="preserve"> mld zł</w:t>
      </w:r>
      <w:r>
        <w:rPr>
          <w:rFonts w:ascii="Verdana" w:hAnsi="Verdana" w:cs="Arial"/>
          <w:sz w:val="16"/>
          <w:szCs w:val="16"/>
        </w:rPr>
        <w:t xml:space="preserve"> w 2021 r. </w:t>
      </w:r>
      <w:r>
        <w:rPr>
          <w:rFonts w:ascii="Verdana" w:hAnsi="Verdana"/>
          <w:sz w:val="16"/>
          <w:szCs w:val="16"/>
        </w:rPr>
        <w:t>Parametry budżetowe na kolejne lata objęte WPF, tj. 2023-2050, nie obejmują zadań związanych z realizacją Programu „Rodzina 500 Plus”;</w:t>
      </w:r>
    </w:p>
    <w:p w:rsidR="007F07DD" w:rsidRPr="00492AD1" w:rsidRDefault="007F07DD" w:rsidP="007F07DD">
      <w:pPr>
        <w:numPr>
          <w:ilvl w:val="0"/>
          <w:numId w:val="5"/>
        </w:numPr>
        <w:tabs>
          <w:tab w:val="clear" w:pos="1080"/>
          <w:tab w:val="num" w:pos="540"/>
        </w:tabs>
        <w:spacing w:before="60" w:after="60"/>
        <w:ind w:left="540" w:hanging="180"/>
        <w:jc w:val="both"/>
        <w:rPr>
          <w:rFonts w:ascii="Verdana" w:hAnsi="Verdana"/>
          <w:bCs/>
          <w:sz w:val="16"/>
          <w:szCs w:val="16"/>
        </w:rPr>
      </w:pPr>
      <w:r w:rsidRPr="00492AD1">
        <w:rPr>
          <w:rFonts w:ascii="Verdana" w:hAnsi="Verdana"/>
          <w:sz w:val="16"/>
          <w:szCs w:val="16"/>
        </w:rPr>
        <w:t>Szacowanie wszelkich pozostałych dochodów objętych niniejszą Prognozą w opa</w:t>
      </w:r>
      <w:r>
        <w:rPr>
          <w:rFonts w:ascii="Verdana" w:hAnsi="Verdana"/>
          <w:sz w:val="16"/>
          <w:szCs w:val="16"/>
        </w:rPr>
        <w:t>rciu o obowiązujący stan prawny;</w:t>
      </w:r>
    </w:p>
    <w:p w:rsidR="007F07DD" w:rsidRPr="000A6485" w:rsidRDefault="007F07DD" w:rsidP="007F07DD">
      <w:pPr>
        <w:numPr>
          <w:ilvl w:val="0"/>
          <w:numId w:val="5"/>
        </w:numPr>
        <w:tabs>
          <w:tab w:val="clear" w:pos="1080"/>
          <w:tab w:val="num" w:pos="540"/>
        </w:tabs>
        <w:spacing w:before="60" w:after="60"/>
        <w:ind w:left="540" w:hanging="180"/>
        <w:jc w:val="both"/>
        <w:rPr>
          <w:rFonts w:ascii="Verdana" w:hAnsi="Verdana"/>
          <w:bCs/>
          <w:sz w:val="16"/>
          <w:szCs w:val="16"/>
        </w:rPr>
      </w:pPr>
      <w:r w:rsidRPr="000A6485">
        <w:rPr>
          <w:rFonts w:ascii="Verdana" w:hAnsi="Verdana"/>
          <w:iCs/>
          <w:sz w:val="16"/>
          <w:szCs w:val="16"/>
        </w:rPr>
        <w:t xml:space="preserve">Planowane dochody z subwencji oświatowej na </w:t>
      </w:r>
      <w:r w:rsidRPr="0090283F">
        <w:rPr>
          <w:rFonts w:ascii="Verdana" w:eastAsiaTheme="minorEastAsia" w:hAnsi="Verdana" w:cs="Verdana"/>
          <w:color w:val="000000"/>
          <w:sz w:val="16"/>
          <w:szCs w:val="16"/>
        </w:rPr>
        <w:t>2022</w:t>
      </w:r>
      <w:r w:rsidRPr="000A6485">
        <w:rPr>
          <w:rFonts w:ascii="Verdana" w:hAnsi="Verdana"/>
          <w:iCs/>
          <w:sz w:val="16"/>
          <w:szCs w:val="16"/>
        </w:rPr>
        <w:t xml:space="preserve"> r. uwzględniono w kwocie podanej przez Ministerstwo Finansów w pismach z dnia 1</w:t>
      </w:r>
      <w:r>
        <w:rPr>
          <w:rFonts w:ascii="Verdana" w:hAnsi="Verdana"/>
          <w:iCs/>
          <w:sz w:val="16"/>
          <w:szCs w:val="16"/>
        </w:rPr>
        <w:t>4</w:t>
      </w:r>
      <w:r w:rsidRPr="000A6485">
        <w:rPr>
          <w:rFonts w:ascii="Verdana" w:hAnsi="Verdana"/>
          <w:iCs/>
          <w:sz w:val="16"/>
          <w:szCs w:val="16"/>
        </w:rPr>
        <w:t xml:space="preserve"> października </w:t>
      </w:r>
      <w:r w:rsidRPr="0090283F">
        <w:rPr>
          <w:rFonts w:ascii="Verdana" w:eastAsiaTheme="minorEastAsia" w:hAnsi="Verdana" w:cs="Verdana"/>
          <w:color w:val="000000"/>
          <w:sz w:val="16"/>
          <w:szCs w:val="16"/>
        </w:rPr>
        <w:t>2021</w:t>
      </w:r>
      <w:r w:rsidRPr="000A6485">
        <w:rPr>
          <w:rFonts w:ascii="Verdana" w:hAnsi="Verdana"/>
          <w:iCs/>
          <w:sz w:val="16"/>
          <w:szCs w:val="16"/>
        </w:rPr>
        <w:t xml:space="preserve"> r. o sygn.</w:t>
      </w:r>
      <w:r w:rsidRPr="000A6485">
        <w:rPr>
          <w:rFonts w:ascii="Verdana" w:hAnsi="Verdana" w:cs="Verdana"/>
          <w:sz w:val="16"/>
          <w:szCs w:val="16"/>
          <w:lang w:eastAsia="ko-KR"/>
        </w:rPr>
        <w:t xml:space="preserve"> </w:t>
      </w:r>
      <w:r w:rsidRPr="00EB2748">
        <w:rPr>
          <w:rFonts w:ascii="Verdana" w:hAnsi="Verdana"/>
          <w:sz w:val="16"/>
          <w:szCs w:val="16"/>
        </w:rPr>
        <w:t>ST3.4750.31.2021 i ST8.4750.5.2021</w:t>
      </w:r>
      <w:r w:rsidRPr="000A6485">
        <w:rPr>
          <w:rFonts w:ascii="Verdana" w:hAnsi="Verdana"/>
          <w:iCs/>
          <w:sz w:val="16"/>
          <w:szCs w:val="16"/>
        </w:rPr>
        <w:t xml:space="preserve">, </w:t>
      </w:r>
      <w:r w:rsidRPr="000A6485">
        <w:rPr>
          <w:rFonts w:ascii="Verdana" w:hAnsi="Verdana"/>
          <w:iCs/>
          <w:sz w:val="16"/>
          <w:szCs w:val="16"/>
        </w:rPr>
        <w:br/>
        <w:t>co stanowiło podstawę do oszacowania dochodów w tym zakresie w perspektywie 2050 r.</w:t>
      </w:r>
    </w:p>
    <w:p w:rsidR="007F07DD" w:rsidRDefault="007F07DD" w:rsidP="007F07DD">
      <w:pPr>
        <w:spacing w:before="240" w:after="240"/>
        <w:jc w:val="both"/>
        <w:rPr>
          <w:rFonts w:ascii="Verdana" w:hAnsi="Verdana"/>
          <w:b/>
          <w:bCs/>
          <w:sz w:val="18"/>
          <w:szCs w:val="18"/>
        </w:rPr>
      </w:pPr>
      <w:r>
        <w:rPr>
          <w:rFonts w:ascii="Verdana" w:hAnsi="Verdana"/>
          <w:b/>
          <w:bCs/>
          <w:sz w:val="18"/>
          <w:szCs w:val="18"/>
        </w:rPr>
        <w:br w:type="page"/>
      </w:r>
    </w:p>
    <w:p w:rsidR="007F07DD" w:rsidRPr="000A6485" w:rsidRDefault="007F07DD" w:rsidP="007F07DD">
      <w:pPr>
        <w:spacing w:before="240" w:after="240"/>
        <w:jc w:val="both"/>
        <w:rPr>
          <w:rFonts w:ascii="Verdana" w:hAnsi="Verdana"/>
          <w:b/>
          <w:bCs/>
          <w:sz w:val="18"/>
          <w:szCs w:val="18"/>
        </w:rPr>
      </w:pPr>
      <w:r w:rsidRPr="000A6485">
        <w:rPr>
          <w:rFonts w:ascii="Verdana" w:hAnsi="Verdana"/>
          <w:b/>
          <w:bCs/>
          <w:sz w:val="18"/>
          <w:szCs w:val="18"/>
        </w:rPr>
        <w:lastRenderedPageBreak/>
        <w:t>7.2.3 Wynik zbiorczy prognozy dochodów</w:t>
      </w:r>
    </w:p>
    <w:p w:rsidR="007F07DD" w:rsidRPr="000A6485" w:rsidRDefault="007F07DD" w:rsidP="007F07DD">
      <w:pPr>
        <w:pStyle w:val="Akapitzlist"/>
        <w:spacing w:before="120" w:after="120"/>
        <w:ind w:left="0" w:firstLine="567"/>
        <w:jc w:val="both"/>
        <w:rPr>
          <w:rFonts w:ascii="Verdana" w:hAnsi="Verdana"/>
          <w:sz w:val="16"/>
          <w:szCs w:val="16"/>
        </w:rPr>
      </w:pPr>
      <w:r w:rsidRPr="000A6485">
        <w:rPr>
          <w:rFonts w:ascii="Verdana" w:hAnsi="Verdana"/>
          <w:sz w:val="16"/>
          <w:szCs w:val="16"/>
        </w:rPr>
        <w:t>Wykres nr 1</w:t>
      </w:r>
      <w:r>
        <w:rPr>
          <w:rFonts w:ascii="Verdana" w:hAnsi="Verdana"/>
          <w:sz w:val="16"/>
          <w:szCs w:val="16"/>
        </w:rPr>
        <w:t>6</w:t>
      </w:r>
      <w:r w:rsidRPr="000A6485">
        <w:rPr>
          <w:rFonts w:ascii="Verdana" w:hAnsi="Verdana"/>
          <w:sz w:val="16"/>
          <w:szCs w:val="16"/>
        </w:rPr>
        <w:t xml:space="preserve"> prezentuje prognozowane dochody ogółem w poszczególnych latach objętych Prognozą</w:t>
      </w:r>
      <w:r w:rsidRPr="000A6485">
        <w:rPr>
          <w:rStyle w:val="Odwoanieprzypisudolnego"/>
          <w:rFonts w:ascii="Verdana" w:hAnsi="Verdana"/>
          <w:sz w:val="16"/>
          <w:szCs w:val="16"/>
        </w:rPr>
        <w:footnoteReference w:id="9"/>
      </w:r>
      <w:r>
        <w:rPr>
          <w:rFonts w:ascii="Verdana" w:hAnsi="Verdana"/>
          <w:sz w:val="16"/>
          <w:szCs w:val="16"/>
        </w:rPr>
        <w:t>.</w:t>
      </w:r>
    </w:p>
    <w:p w:rsidR="007F07DD" w:rsidRPr="000A6485" w:rsidRDefault="007F07DD" w:rsidP="007F07DD">
      <w:pPr>
        <w:tabs>
          <w:tab w:val="left" w:pos="567"/>
        </w:tabs>
        <w:spacing w:before="60" w:after="60" w:line="240" w:lineRule="auto"/>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16</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OGÓŁEM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35" type="#_x0000_t75" style="width:453.4pt;height:214.05pt">
            <v:imagedata r:id="rId29" o:title=""/>
          </v:shape>
        </w:pict>
      </w:r>
    </w:p>
    <w:p w:rsidR="007F07DD" w:rsidRPr="000A6485" w:rsidRDefault="007F07DD" w:rsidP="007F07DD">
      <w:pPr>
        <w:spacing w:before="120" w:after="120"/>
        <w:ind w:firstLine="540"/>
        <w:jc w:val="both"/>
        <w:rPr>
          <w:rFonts w:ascii="Verdana" w:hAnsi="Verdana"/>
          <w:sz w:val="16"/>
          <w:szCs w:val="16"/>
        </w:rPr>
      </w:pPr>
      <w:r w:rsidRPr="00A505E6">
        <w:rPr>
          <w:rFonts w:ascii="Verdana" w:hAnsi="Verdana"/>
          <w:sz w:val="16"/>
          <w:szCs w:val="16"/>
        </w:rPr>
        <w:t xml:space="preserve">W okresie objętym WPF 2022-2050 prognozuje się uzyskanie wsparcia z budżetu unijnego w łącznej wysokości </w:t>
      </w:r>
      <w:r>
        <w:rPr>
          <w:rFonts w:ascii="Verdana" w:hAnsi="Verdana"/>
          <w:b/>
          <w:sz w:val="16"/>
          <w:szCs w:val="16"/>
        </w:rPr>
        <w:t>1,556</w:t>
      </w:r>
      <w:r w:rsidRPr="00A505E6">
        <w:rPr>
          <w:rFonts w:ascii="Verdana" w:hAnsi="Verdana"/>
          <w:b/>
          <w:sz w:val="16"/>
          <w:szCs w:val="16"/>
        </w:rPr>
        <w:t xml:space="preserve"> mld zł</w:t>
      </w:r>
      <w:r w:rsidRPr="00A505E6">
        <w:rPr>
          <w:rFonts w:ascii="Verdana" w:hAnsi="Verdana"/>
          <w:sz w:val="16"/>
          <w:szCs w:val="16"/>
        </w:rPr>
        <w:t xml:space="preserve">, w tym </w:t>
      </w:r>
      <w:r w:rsidRPr="00A505E6">
        <w:rPr>
          <w:rFonts w:ascii="Verdana" w:hAnsi="Verdana"/>
          <w:b/>
          <w:sz w:val="16"/>
          <w:szCs w:val="16"/>
        </w:rPr>
        <w:t>1,506 mld zł</w:t>
      </w:r>
      <w:r w:rsidRPr="00A505E6">
        <w:rPr>
          <w:rFonts w:ascii="Verdana" w:hAnsi="Verdana"/>
          <w:sz w:val="16"/>
          <w:szCs w:val="16"/>
        </w:rPr>
        <w:t xml:space="preserve"> dofinansowania realizacji projektów inwestycyjnych.</w:t>
      </w:r>
    </w:p>
    <w:p w:rsidR="007F07DD" w:rsidRPr="000A6485" w:rsidRDefault="007F07DD" w:rsidP="007F07DD">
      <w:pPr>
        <w:spacing w:before="120" w:after="120"/>
        <w:ind w:firstLine="567"/>
        <w:jc w:val="both"/>
        <w:rPr>
          <w:rFonts w:ascii="Verdana" w:hAnsi="Verdana"/>
          <w:sz w:val="16"/>
          <w:szCs w:val="16"/>
        </w:rPr>
      </w:pPr>
      <w:r w:rsidRPr="000A6485">
        <w:rPr>
          <w:rFonts w:ascii="Verdana" w:hAnsi="Verdana"/>
          <w:sz w:val="16"/>
          <w:szCs w:val="16"/>
        </w:rPr>
        <w:t>Wykres nr 1</w:t>
      </w:r>
      <w:r>
        <w:rPr>
          <w:rFonts w:ascii="Verdana" w:hAnsi="Verdana"/>
          <w:sz w:val="16"/>
          <w:szCs w:val="16"/>
        </w:rPr>
        <w:t>7</w:t>
      </w:r>
      <w:r w:rsidRPr="000A6485">
        <w:rPr>
          <w:rFonts w:ascii="Verdana" w:hAnsi="Verdana"/>
          <w:sz w:val="16"/>
          <w:szCs w:val="16"/>
        </w:rPr>
        <w:t xml:space="preserve"> prezentuje procentową zmianę rok do roku wysokości dochodów ogółem w poszczególnych latach objętych Prognozą.</w:t>
      </w:r>
    </w:p>
    <w:p w:rsidR="007F07DD" w:rsidRPr="000A6485" w:rsidRDefault="007F07DD" w:rsidP="007F07DD">
      <w:pPr>
        <w:spacing w:before="12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17</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OGÓŁEM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Default="00F33C94" w:rsidP="007F07DD">
      <w:pPr>
        <w:spacing w:before="120" w:after="120"/>
        <w:jc w:val="both"/>
        <w:rPr>
          <w:rFonts w:ascii="Verdana" w:hAnsi="Verdana"/>
          <w:noProof/>
          <w:sz w:val="18"/>
          <w:szCs w:val="18"/>
        </w:rPr>
      </w:pPr>
      <w:r>
        <w:rPr>
          <w:rFonts w:ascii="Verdana" w:hAnsi="Verdana"/>
          <w:noProof/>
          <w:sz w:val="18"/>
          <w:szCs w:val="18"/>
        </w:rPr>
        <w:pict>
          <v:shape id="_x0000_i1036" type="#_x0000_t75" style="width:452.1pt;height:214.05pt">
            <v:imagedata r:id="rId30" o:title=""/>
          </v:shape>
        </w:pict>
      </w:r>
      <w:r w:rsidR="007F07DD">
        <w:rPr>
          <w:rFonts w:ascii="Verdana" w:hAnsi="Verdana"/>
          <w:noProof/>
          <w:sz w:val="18"/>
          <w:szCs w:val="18"/>
        </w:rPr>
        <w:br w:type="page"/>
      </w:r>
    </w:p>
    <w:p w:rsidR="007F07DD" w:rsidRPr="000A6485" w:rsidRDefault="007F07DD" w:rsidP="007F07DD">
      <w:pPr>
        <w:spacing w:before="120" w:after="120"/>
        <w:ind w:firstLine="540"/>
        <w:jc w:val="both"/>
        <w:rPr>
          <w:rFonts w:ascii="Verdana" w:hAnsi="Verdana"/>
          <w:sz w:val="16"/>
          <w:szCs w:val="16"/>
        </w:rPr>
      </w:pPr>
      <w:r w:rsidRPr="000A6485">
        <w:rPr>
          <w:rFonts w:ascii="Verdana" w:hAnsi="Verdana"/>
          <w:sz w:val="16"/>
          <w:szCs w:val="16"/>
        </w:rPr>
        <w:lastRenderedPageBreak/>
        <w:t>Dalsza część opracowania zawiera uszczegółowienie zbiorczej prognozy dochodów poprzez omówienie pozycji dochodowych wyszczególnionych we wzorze WPF określonym rozporządzeniem Ministra Finansów.</w:t>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t>7.2.3.1 Prognoza dochodów z podatku dochodowego od osób fizycznych PIT</w:t>
      </w:r>
    </w:p>
    <w:p w:rsidR="007F07DD" w:rsidRPr="000A6485" w:rsidRDefault="007F07DD" w:rsidP="007F07DD">
      <w:pPr>
        <w:tabs>
          <w:tab w:val="left" w:pos="0"/>
        </w:tabs>
        <w:spacing w:before="120" w:after="120"/>
        <w:ind w:firstLine="567"/>
        <w:jc w:val="both"/>
        <w:rPr>
          <w:rFonts w:ascii="Verdana" w:hAnsi="Verdana"/>
          <w:sz w:val="16"/>
          <w:szCs w:val="16"/>
        </w:rPr>
      </w:pPr>
      <w:r w:rsidRPr="000A6485">
        <w:rPr>
          <w:rFonts w:ascii="Verdana" w:hAnsi="Verdana"/>
          <w:sz w:val="16"/>
          <w:szCs w:val="16"/>
        </w:rPr>
        <w:t>Wykres nr 1</w:t>
      </w:r>
      <w:r>
        <w:rPr>
          <w:rFonts w:ascii="Verdana" w:hAnsi="Verdana"/>
          <w:sz w:val="16"/>
          <w:szCs w:val="16"/>
        </w:rPr>
        <w:t>8</w:t>
      </w:r>
      <w:r w:rsidRPr="000A6485">
        <w:rPr>
          <w:rFonts w:ascii="Verdana" w:hAnsi="Verdana"/>
          <w:sz w:val="16"/>
          <w:szCs w:val="16"/>
        </w:rPr>
        <w:t xml:space="preserve"> prezentuje prognozowane dochody z udziału w PIT w poszczególnych latach objętych Prognozą.</w:t>
      </w:r>
    </w:p>
    <w:p w:rsidR="007F07DD" w:rsidRPr="000A6485" w:rsidRDefault="007F07DD" w:rsidP="007F07DD">
      <w:pPr>
        <w:tabs>
          <w:tab w:val="left" w:pos="567"/>
        </w:tabs>
        <w:spacing w:before="120" w:after="60"/>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18</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w:t>
      </w:r>
      <w:r>
        <w:rPr>
          <w:rFonts w:ascii="Verdana" w:hAnsi="Verdana" w:cs="Arial"/>
          <w:b/>
          <w:bCs/>
          <w:sz w:val="14"/>
          <w:szCs w:val="14"/>
        </w:rPr>
        <w:t xml:space="preserve"> PIT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pPr>
      <w:r>
        <w:rPr>
          <w:noProof/>
        </w:rPr>
        <w:pict>
          <v:shape id="_x0000_i1037" type="#_x0000_t75" style="width:453.4pt;height:214.05pt">
            <v:imagedata r:id="rId31" o:title=""/>
          </v:shape>
        </w:pict>
      </w:r>
    </w:p>
    <w:p w:rsidR="007F07DD" w:rsidRPr="000A6485" w:rsidRDefault="007F07DD" w:rsidP="007F07DD">
      <w:pPr>
        <w:spacing w:before="120" w:after="120"/>
        <w:ind w:firstLine="539"/>
        <w:jc w:val="both"/>
        <w:rPr>
          <w:rFonts w:ascii="Verdana" w:hAnsi="Verdana"/>
          <w:sz w:val="16"/>
          <w:szCs w:val="16"/>
        </w:rPr>
      </w:pPr>
      <w:r w:rsidRPr="000A6485">
        <w:rPr>
          <w:rFonts w:ascii="Verdana" w:hAnsi="Verdana"/>
          <w:sz w:val="16"/>
          <w:szCs w:val="16"/>
        </w:rPr>
        <w:t>Prognozuje się, że wpływy m.st. Warszawy z PIT w okresie pierwszych pięciu lat prognozy tj. od 202</w:t>
      </w:r>
      <w:r>
        <w:rPr>
          <w:rFonts w:ascii="Verdana" w:hAnsi="Verdana"/>
          <w:sz w:val="16"/>
          <w:szCs w:val="16"/>
        </w:rPr>
        <w:t>2</w:t>
      </w:r>
      <w:r w:rsidRPr="000A6485">
        <w:rPr>
          <w:rFonts w:ascii="Verdana" w:hAnsi="Verdana"/>
          <w:sz w:val="16"/>
          <w:szCs w:val="16"/>
        </w:rPr>
        <w:t xml:space="preserve"> </w:t>
      </w:r>
      <w:r w:rsidRPr="000A6485">
        <w:rPr>
          <w:rFonts w:ascii="Verdana" w:hAnsi="Verdana"/>
          <w:sz w:val="16"/>
          <w:szCs w:val="16"/>
        </w:rPr>
        <w:br/>
        <w:t>do 202</w:t>
      </w:r>
      <w:r>
        <w:rPr>
          <w:rFonts w:ascii="Verdana" w:hAnsi="Verdana"/>
          <w:sz w:val="16"/>
          <w:szCs w:val="16"/>
        </w:rPr>
        <w:t>6</w:t>
      </w:r>
      <w:r w:rsidRPr="000A6485">
        <w:rPr>
          <w:rFonts w:ascii="Verdana" w:hAnsi="Verdana"/>
          <w:sz w:val="16"/>
          <w:szCs w:val="16"/>
        </w:rPr>
        <w:t xml:space="preserve"> r. wyniosą łącznie </w:t>
      </w:r>
      <w:r w:rsidRPr="000A6485">
        <w:rPr>
          <w:rFonts w:ascii="Verdana" w:hAnsi="Verdana"/>
          <w:b/>
          <w:sz w:val="16"/>
          <w:szCs w:val="16"/>
        </w:rPr>
        <w:t>3</w:t>
      </w:r>
      <w:r>
        <w:rPr>
          <w:rFonts w:ascii="Verdana" w:hAnsi="Verdana"/>
          <w:b/>
          <w:sz w:val="16"/>
          <w:szCs w:val="16"/>
        </w:rPr>
        <w:t>4,4</w:t>
      </w:r>
      <w:r w:rsidRPr="000A6485">
        <w:rPr>
          <w:rFonts w:ascii="Verdana" w:hAnsi="Verdana"/>
          <w:b/>
          <w:sz w:val="16"/>
          <w:szCs w:val="16"/>
        </w:rPr>
        <w:t xml:space="preserve"> mld zł</w:t>
      </w:r>
      <w:r w:rsidRPr="000A6485">
        <w:rPr>
          <w:rFonts w:ascii="Verdana" w:hAnsi="Verdana"/>
          <w:sz w:val="16"/>
          <w:szCs w:val="16"/>
        </w:rPr>
        <w:t xml:space="preserve">, co będzie stanowiło </w:t>
      </w:r>
      <w:r w:rsidRPr="000A6485">
        <w:rPr>
          <w:rFonts w:ascii="Verdana" w:hAnsi="Verdana"/>
          <w:b/>
          <w:sz w:val="16"/>
          <w:szCs w:val="16"/>
        </w:rPr>
        <w:t>3</w:t>
      </w:r>
      <w:r>
        <w:rPr>
          <w:rFonts w:ascii="Verdana" w:hAnsi="Verdana"/>
          <w:b/>
          <w:sz w:val="16"/>
          <w:szCs w:val="16"/>
        </w:rPr>
        <w:t>6</w:t>
      </w:r>
      <w:r w:rsidRPr="000A6485">
        <w:rPr>
          <w:rFonts w:ascii="Verdana" w:hAnsi="Verdana"/>
          <w:b/>
          <w:sz w:val="16"/>
          <w:szCs w:val="16"/>
        </w:rPr>
        <w:t>,</w:t>
      </w:r>
      <w:r>
        <w:rPr>
          <w:rFonts w:ascii="Verdana" w:hAnsi="Verdana"/>
          <w:b/>
          <w:sz w:val="16"/>
          <w:szCs w:val="16"/>
        </w:rPr>
        <w:t>2</w:t>
      </w:r>
      <w:r w:rsidRPr="000A6485">
        <w:rPr>
          <w:rFonts w:ascii="Verdana" w:hAnsi="Verdana"/>
          <w:b/>
          <w:sz w:val="16"/>
          <w:szCs w:val="16"/>
        </w:rPr>
        <w:t>%</w:t>
      </w:r>
      <w:r w:rsidRPr="000A6485">
        <w:rPr>
          <w:rFonts w:ascii="Verdana" w:hAnsi="Verdana"/>
          <w:sz w:val="16"/>
          <w:szCs w:val="16"/>
        </w:rPr>
        <w:t xml:space="preserve"> planowanych do realizacji w tym okresie dochodów ogółem.</w:t>
      </w:r>
    </w:p>
    <w:p w:rsidR="007F07DD" w:rsidRPr="000A6485" w:rsidRDefault="007F07DD" w:rsidP="007F07DD">
      <w:pPr>
        <w:spacing w:before="120" w:after="120"/>
        <w:ind w:firstLine="567"/>
        <w:jc w:val="both"/>
        <w:rPr>
          <w:rFonts w:ascii="Verdana" w:hAnsi="Verdana"/>
          <w:sz w:val="16"/>
          <w:szCs w:val="16"/>
        </w:rPr>
      </w:pPr>
      <w:r w:rsidRPr="000A6485">
        <w:rPr>
          <w:rFonts w:ascii="Verdana" w:hAnsi="Verdana"/>
          <w:sz w:val="16"/>
          <w:szCs w:val="16"/>
        </w:rPr>
        <w:t xml:space="preserve">Wykres nr </w:t>
      </w:r>
      <w:r>
        <w:rPr>
          <w:rFonts w:ascii="Verdana" w:hAnsi="Verdana"/>
          <w:sz w:val="16"/>
          <w:szCs w:val="16"/>
        </w:rPr>
        <w:t>19</w:t>
      </w:r>
      <w:r w:rsidRPr="000A6485">
        <w:rPr>
          <w:rFonts w:ascii="Verdana" w:hAnsi="Verdana"/>
          <w:sz w:val="16"/>
          <w:szCs w:val="16"/>
        </w:rPr>
        <w:t xml:space="preserve"> prezentuje procentową zmianę rok do roku wysokości dochodów z udziału w PIT </w:t>
      </w:r>
      <w:r w:rsidRPr="000A6485">
        <w:rPr>
          <w:rFonts w:ascii="Verdana" w:hAnsi="Verdana"/>
          <w:sz w:val="16"/>
          <w:szCs w:val="16"/>
        </w:rPr>
        <w:br/>
        <w:t>w poszczególnych latach objętych Prognozą.</w:t>
      </w:r>
    </w:p>
    <w:p w:rsidR="007F07DD" w:rsidRPr="000A6485" w:rsidRDefault="007F07DD" w:rsidP="007F07DD">
      <w:pPr>
        <w:spacing w:before="12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19</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Z PIT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38" type="#_x0000_t75" style="width:452.1pt;height:214.05pt">
            <v:imagedata r:id="rId32" o:title=""/>
          </v:shape>
        </w:pict>
      </w:r>
    </w:p>
    <w:p w:rsidR="007F07DD" w:rsidRDefault="007F07DD" w:rsidP="007F07DD">
      <w:pPr>
        <w:spacing w:before="120" w:after="120"/>
        <w:jc w:val="both"/>
        <w:rPr>
          <w:rFonts w:ascii="Verdana" w:hAnsi="Verdana" w:cs="Verdana"/>
          <w:sz w:val="16"/>
          <w:szCs w:val="16"/>
          <w:lang w:eastAsia="ko-KR"/>
        </w:rPr>
      </w:pPr>
      <w:r>
        <w:rPr>
          <w:rFonts w:ascii="Verdana" w:hAnsi="Verdana" w:cs="Verdana"/>
          <w:sz w:val="16"/>
          <w:szCs w:val="16"/>
          <w:lang w:eastAsia="ko-KR"/>
        </w:rPr>
        <w:lastRenderedPageBreak/>
        <w:t xml:space="preserve">Wieloletnia Prognoza Finansowa na lata 2022-2050 w zakresie wpływów z </w:t>
      </w:r>
      <w:r w:rsidRPr="00EC2B78">
        <w:rPr>
          <w:rFonts w:ascii="Verdana" w:hAnsi="Verdana" w:cs="Verdana"/>
          <w:sz w:val="16"/>
          <w:szCs w:val="16"/>
          <w:lang w:eastAsia="ko-KR"/>
        </w:rPr>
        <w:t>podatku dochodowego od osób fizycznych PIT</w:t>
      </w:r>
      <w:r>
        <w:rPr>
          <w:rFonts w:ascii="Verdana" w:hAnsi="Verdana" w:cs="Verdana"/>
          <w:sz w:val="16"/>
          <w:szCs w:val="16"/>
          <w:lang w:eastAsia="ko-KR"/>
        </w:rPr>
        <w:t xml:space="preserve"> została przygotowana w warunkach gruntownej zmiany zasad ustalania dochodów z PIT w wyniku nowelizacji </w:t>
      </w:r>
      <w:r w:rsidRPr="005B7485">
        <w:rPr>
          <w:rFonts w:ascii="Verdana" w:hAnsi="Verdana" w:cs="Verdana"/>
          <w:sz w:val="16"/>
          <w:szCs w:val="16"/>
          <w:lang w:eastAsia="ko-KR"/>
        </w:rPr>
        <w:t>z dnia 14 października 2021 r.</w:t>
      </w:r>
      <w:r>
        <w:rPr>
          <w:rFonts w:ascii="Verdana" w:hAnsi="Verdana" w:cs="Verdana"/>
          <w:sz w:val="16"/>
          <w:szCs w:val="16"/>
          <w:lang w:eastAsia="ko-KR"/>
        </w:rPr>
        <w:t xml:space="preserve"> </w:t>
      </w:r>
      <w:r w:rsidRPr="005B7485">
        <w:rPr>
          <w:rFonts w:ascii="Verdana" w:hAnsi="Verdana" w:cs="Verdana"/>
          <w:sz w:val="16"/>
          <w:szCs w:val="16"/>
          <w:lang w:eastAsia="ko-KR"/>
        </w:rPr>
        <w:t>ustawy o dochodach jednostek samorządu terytorialnego</w:t>
      </w:r>
      <w:r>
        <w:rPr>
          <w:rFonts w:ascii="Verdana" w:hAnsi="Verdana" w:cs="Verdana"/>
          <w:sz w:val="16"/>
          <w:szCs w:val="16"/>
          <w:lang w:eastAsia="ko-KR"/>
        </w:rPr>
        <w:t>.</w:t>
      </w:r>
    </w:p>
    <w:p w:rsidR="007F07DD" w:rsidRPr="0064397A" w:rsidRDefault="007F07DD" w:rsidP="007F07DD">
      <w:pPr>
        <w:spacing w:before="120" w:after="120"/>
        <w:jc w:val="both"/>
        <w:rPr>
          <w:rFonts w:ascii="Verdana" w:hAnsi="Verdana" w:cs="Verdana"/>
          <w:sz w:val="16"/>
          <w:szCs w:val="16"/>
          <w:lang w:eastAsia="ko-KR"/>
        </w:rPr>
      </w:pPr>
      <w:r>
        <w:rPr>
          <w:rFonts w:ascii="Verdana" w:hAnsi="Verdana" w:cs="Verdana"/>
          <w:sz w:val="16"/>
          <w:szCs w:val="16"/>
          <w:lang w:eastAsia="ko-KR"/>
        </w:rPr>
        <w:t>Na skutek tej nowelizacji, począwszy od roku budżetowego 2022 r., ustalanie prognozy dochodów z PIT Miasta na rok budżetowy leży w kompetencjach Ministra Finansów. Ustalona przez MF roczna kwota dochodów będzie przekazywana do budżetu miasta w roku budżetowym w równych 12 miesięcznych ratach.</w:t>
      </w:r>
    </w:p>
    <w:p w:rsidR="007F07DD" w:rsidRDefault="007F07DD" w:rsidP="007F07DD">
      <w:pPr>
        <w:spacing w:before="120" w:after="120"/>
        <w:jc w:val="both"/>
        <w:rPr>
          <w:rFonts w:ascii="Verdana" w:hAnsi="Verdana" w:cs="Verdana"/>
          <w:sz w:val="16"/>
          <w:szCs w:val="16"/>
          <w:lang w:eastAsia="ko-KR"/>
        </w:rPr>
      </w:pPr>
      <w:r>
        <w:rPr>
          <w:rFonts w:ascii="Verdana" w:hAnsi="Verdana" w:cs="Verdana"/>
          <w:sz w:val="16"/>
          <w:szCs w:val="16"/>
          <w:lang w:eastAsia="ko-KR"/>
        </w:rPr>
        <w:t>Prognozę dochodów z PIT Miasta na kolejne lata, w perspektywie określonej w WPF sporządzają samodzielnie JST.</w:t>
      </w:r>
    </w:p>
    <w:p w:rsidR="007F07DD" w:rsidRDefault="007F07DD" w:rsidP="007F07DD">
      <w:pPr>
        <w:spacing w:before="120" w:after="120"/>
        <w:jc w:val="both"/>
        <w:rPr>
          <w:rFonts w:ascii="Verdana" w:hAnsi="Verdana" w:cs="Verdana"/>
          <w:sz w:val="16"/>
          <w:szCs w:val="16"/>
          <w:lang w:eastAsia="ko-KR"/>
        </w:rPr>
      </w:pPr>
      <w:r>
        <w:rPr>
          <w:rFonts w:ascii="Verdana" w:hAnsi="Verdana" w:cs="Verdana"/>
          <w:sz w:val="16"/>
          <w:szCs w:val="16"/>
          <w:lang w:eastAsia="ko-KR"/>
        </w:rPr>
        <w:t>Ustalona przez Ministra Finansów na rok budżetowy 2022 prognoza dochodów m.st. Warszawy z PIT uwzględnia skutki programu Polski Ład w szczególności o</w:t>
      </w:r>
      <w:r w:rsidRPr="00A07977">
        <w:rPr>
          <w:rFonts w:ascii="Verdana" w:hAnsi="Verdana" w:cs="Verdana"/>
          <w:sz w:val="16"/>
          <w:szCs w:val="16"/>
          <w:lang w:eastAsia="ko-KR"/>
        </w:rPr>
        <w:t>bniżenie klina podatkowego</w:t>
      </w:r>
      <w:r>
        <w:rPr>
          <w:rFonts w:ascii="Verdana" w:hAnsi="Verdana" w:cs="Verdana"/>
          <w:sz w:val="16"/>
          <w:szCs w:val="16"/>
          <w:lang w:eastAsia="ko-KR"/>
        </w:rPr>
        <w:t xml:space="preserve">, które sprawi, że począwszy od 2022 r. </w:t>
      </w:r>
      <w:r w:rsidRPr="00A07977">
        <w:rPr>
          <w:rFonts w:ascii="Verdana" w:hAnsi="Verdana" w:cs="Verdana"/>
          <w:sz w:val="16"/>
          <w:szCs w:val="16"/>
          <w:lang w:eastAsia="ko-KR"/>
        </w:rPr>
        <w:t>dochod</w:t>
      </w:r>
      <w:r>
        <w:rPr>
          <w:rFonts w:ascii="Verdana" w:hAnsi="Verdana" w:cs="Verdana"/>
          <w:sz w:val="16"/>
          <w:szCs w:val="16"/>
          <w:lang w:eastAsia="ko-KR"/>
        </w:rPr>
        <w:t>y</w:t>
      </w:r>
      <w:r w:rsidRPr="00A07977">
        <w:rPr>
          <w:rFonts w:ascii="Verdana" w:hAnsi="Verdana" w:cs="Verdana"/>
          <w:sz w:val="16"/>
          <w:szCs w:val="16"/>
          <w:lang w:eastAsia="ko-KR"/>
        </w:rPr>
        <w:t xml:space="preserve"> Miasta</w:t>
      </w:r>
      <w:r>
        <w:rPr>
          <w:rFonts w:ascii="Verdana" w:hAnsi="Verdana" w:cs="Verdana"/>
          <w:sz w:val="16"/>
          <w:szCs w:val="16"/>
          <w:lang w:eastAsia="ko-KR"/>
        </w:rPr>
        <w:t xml:space="preserve"> będą mniejsze </w:t>
      </w:r>
      <w:r w:rsidRPr="00A07977">
        <w:rPr>
          <w:rFonts w:ascii="Verdana" w:hAnsi="Verdana" w:cs="Verdana"/>
          <w:sz w:val="16"/>
          <w:szCs w:val="16"/>
          <w:lang w:eastAsia="ko-KR"/>
        </w:rPr>
        <w:t xml:space="preserve">o </w:t>
      </w:r>
      <w:r>
        <w:rPr>
          <w:rFonts w:ascii="Verdana" w:hAnsi="Verdana" w:cs="Verdana"/>
          <w:sz w:val="16"/>
          <w:szCs w:val="16"/>
          <w:lang w:eastAsia="ko-KR"/>
        </w:rPr>
        <w:t xml:space="preserve">ok. </w:t>
      </w:r>
      <w:r w:rsidRPr="00F56EB6">
        <w:rPr>
          <w:rFonts w:ascii="Verdana" w:hAnsi="Verdana" w:cs="Verdana"/>
          <w:b/>
          <w:sz w:val="16"/>
          <w:szCs w:val="16"/>
          <w:lang w:eastAsia="ko-KR"/>
        </w:rPr>
        <w:t>1,4 mld zł</w:t>
      </w:r>
      <w:r w:rsidRPr="00A07977">
        <w:rPr>
          <w:rFonts w:ascii="Verdana" w:hAnsi="Verdana" w:cs="Verdana"/>
          <w:sz w:val="16"/>
          <w:szCs w:val="16"/>
          <w:lang w:eastAsia="ko-KR"/>
        </w:rPr>
        <w:t xml:space="preserve"> rocznie. </w:t>
      </w:r>
    </w:p>
    <w:p w:rsidR="007F07DD" w:rsidRDefault="007F07DD" w:rsidP="007F07DD">
      <w:pPr>
        <w:spacing w:before="60" w:after="60"/>
        <w:jc w:val="both"/>
        <w:rPr>
          <w:rFonts w:ascii="Verdana" w:hAnsi="Verdana" w:cs="Verdana"/>
          <w:sz w:val="16"/>
          <w:szCs w:val="16"/>
        </w:rPr>
      </w:pPr>
      <w:r>
        <w:rPr>
          <w:rFonts w:ascii="Verdana" w:hAnsi="Verdana" w:cs="Verdana"/>
          <w:sz w:val="16"/>
          <w:szCs w:val="16"/>
        </w:rPr>
        <w:t>Zmniejszenie wpływów wynika przede wszystkim z:</w:t>
      </w:r>
    </w:p>
    <w:p w:rsidR="007F07DD" w:rsidRPr="003373D0" w:rsidRDefault="007F07DD" w:rsidP="007F07DD">
      <w:pPr>
        <w:pStyle w:val="Akapitzlist"/>
        <w:numPr>
          <w:ilvl w:val="0"/>
          <w:numId w:val="54"/>
        </w:numPr>
        <w:spacing w:before="60" w:after="60"/>
        <w:jc w:val="both"/>
        <w:rPr>
          <w:rFonts w:ascii="Verdana" w:hAnsi="Verdana" w:cs="Verdana"/>
          <w:sz w:val="16"/>
          <w:szCs w:val="16"/>
        </w:rPr>
      </w:pPr>
      <w:r w:rsidRPr="003373D0">
        <w:rPr>
          <w:rFonts w:ascii="Verdana" w:hAnsi="Verdana" w:cs="Verdana"/>
          <w:sz w:val="16"/>
          <w:szCs w:val="16"/>
        </w:rPr>
        <w:t xml:space="preserve">podwyższenia do 30 000 zł kwoty wolnej od podatku dla ogółu podatników obliczających podatek według skali podatkowej, </w:t>
      </w:r>
    </w:p>
    <w:p w:rsidR="007F07DD" w:rsidRPr="003373D0" w:rsidRDefault="007F07DD" w:rsidP="007F07DD">
      <w:pPr>
        <w:pStyle w:val="Akapitzlist"/>
        <w:numPr>
          <w:ilvl w:val="0"/>
          <w:numId w:val="54"/>
        </w:numPr>
        <w:spacing w:before="60" w:after="60"/>
        <w:jc w:val="both"/>
        <w:rPr>
          <w:rFonts w:ascii="Verdana" w:hAnsi="Verdana" w:cs="Verdana"/>
          <w:sz w:val="16"/>
          <w:szCs w:val="16"/>
        </w:rPr>
      </w:pPr>
      <w:r w:rsidRPr="003373D0">
        <w:rPr>
          <w:rFonts w:ascii="Verdana" w:hAnsi="Verdana" w:cs="Verdana"/>
          <w:sz w:val="16"/>
          <w:szCs w:val="16"/>
        </w:rPr>
        <w:t xml:space="preserve">podwyższenia do 120 000 zł progu dochodów, po przekroczeniu którego ma zastosowanie 32% stawka podatku, </w:t>
      </w:r>
    </w:p>
    <w:p w:rsidR="007F07DD" w:rsidRPr="003373D0" w:rsidRDefault="007F07DD" w:rsidP="007F07DD">
      <w:pPr>
        <w:pStyle w:val="Akapitzlist"/>
        <w:numPr>
          <w:ilvl w:val="0"/>
          <w:numId w:val="54"/>
        </w:numPr>
        <w:spacing w:before="60" w:after="60"/>
        <w:jc w:val="both"/>
        <w:rPr>
          <w:rFonts w:ascii="Verdana" w:hAnsi="Verdana" w:cs="Verdana"/>
          <w:sz w:val="16"/>
          <w:szCs w:val="16"/>
        </w:rPr>
      </w:pPr>
      <w:r w:rsidRPr="003373D0">
        <w:rPr>
          <w:rFonts w:ascii="Verdana" w:hAnsi="Verdana" w:cs="Verdana"/>
          <w:sz w:val="16"/>
          <w:szCs w:val="16"/>
        </w:rPr>
        <w:t>wprowadzenia ulgi dla klasy średniej.</w:t>
      </w:r>
    </w:p>
    <w:p w:rsidR="007F07DD" w:rsidRDefault="007F07DD" w:rsidP="007F07DD">
      <w:pPr>
        <w:spacing w:before="60" w:after="60"/>
        <w:jc w:val="both"/>
        <w:rPr>
          <w:rFonts w:ascii="Verdana" w:hAnsi="Verdana" w:cs="Verdana"/>
          <w:sz w:val="16"/>
          <w:szCs w:val="16"/>
        </w:rPr>
      </w:pPr>
      <w:r>
        <w:rPr>
          <w:rFonts w:ascii="Verdana" w:hAnsi="Verdana" w:cs="Verdana"/>
          <w:sz w:val="16"/>
          <w:szCs w:val="16"/>
        </w:rPr>
        <w:t xml:space="preserve">Procedowane w ramach Programu Polski Ład zmiany </w:t>
      </w:r>
      <w:r w:rsidRPr="000A6485">
        <w:rPr>
          <w:rFonts w:ascii="Verdana" w:hAnsi="Verdana" w:cs="Verdana"/>
          <w:sz w:val="16"/>
          <w:szCs w:val="16"/>
        </w:rPr>
        <w:t xml:space="preserve">w podatku dochodowym od osób fizycznych (PIT) </w:t>
      </w:r>
      <w:r w:rsidRPr="00F56EB6">
        <w:rPr>
          <w:rFonts w:ascii="Verdana" w:hAnsi="Verdana" w:cs="Verdana"/>
          <w:sz w:val="16"/>
          <w:szCs w:val="16"/>
        </w:rPr>
        <w:t>nakładają się</w:t>
      </w:r>
      <w:r>
        <w:rPr>
          <w:rFonts w:ascii="Verdana" w:hAnsi="Verdana" w:cs="Verdana"/>
          <w:sz w:val="16"/>
          <w:szCs w:val="16"/>
        </w:rPr>
        <w:t xml:space="preserve"> na </w:t>
      </w:r>
      <w:r w:rsidRPr="00F56EB6">
        <w:rPr>
          <w:rFonts w:ascii="Verdana" w:hAnsi="Verdana" w:cs="Verdana"/>
          <w:sz w:val="16"/>
          <w:szCs w:val="16"/>
        </w:rPr>
        <w:t>skutki zmian w PIT wprowadzonych w 2019 roku, które trwale obniż</w:t>
      </w:r>
      <w:r>
        <w:rPr>
          <w:rFonts w:ascii="Verdana" w:hAnsi="Verdana" w:cs="Verdana"/>
          <w:sz w:val="16"/>
          <w:szCs w:val="16"/>
        </w:rPr>
        <w:t>yły</w:t>
      </w:r>
      <w:r w:rsidRPr="00F56EB6">
        <w:rPr>
          <w:rFonts w:ascii="Verdana" w:hAnsi="Verdana" w:cs="Verdana"/>
          <w:sz w:val="16"/>
          <w:szCs w:val="16"/>
        </w:rPr>
        <w:t xml:space="preserve"> dochody samorządów</w:t>
      </w:r>
      <w:r>
        <w:rPr>
          <w:rFonts w:ascii="Verdana" w:hAnsi="Verdana" w:cs="Verdana"/>
          <w:sz w:val="16"/>
          <w:szCs w:val="16"/>
        </w:rPr>
        <w:t xml:space="preserve"> w latach 2020-2021</w:t>
      </w:r>
      <w:r w:rsidRPr="00F56EB6">
        <w:rPr>
          <w:rFonts w:ascii="Verdana" w:hAnsi="Verdana" w:cs="Verdana"/>
          <w:sz w:val="16"/>
          <w:szCs w:val="16"/>
        </w:rPr>
        <w:t>.</w:t>
      </w:r>
      <w:r>
        <w:rPr>
          <w:rFonts w:ascii="Verdana" w:hAnsi="Verdana" w:cs="Verdana"/>
          <w:sz w:val="16"/>
          <w:szCs w:val="16"/>
        </w:rPr>
        <w:t xml:space="preserve"> Zmiany legislacyjne w zakresie PIT wprowadzone  w latach 2019-2020 spowodowały roczny ubytek dochodów Miasta w wys. </w:t>
      </w:r>
      <w:r>
        <w:rPr>
          <w:rFonts w:ascii="Verdana" w:hAnsi="Verdana" w:cs="Verdana"/>
          <w:b/>
          <w:sz w:val="16"/>
          <w:szCs w:val="16"/>
        </w:rPr>
        <w:t>874 mln </w:t>
      </w:r>
      <w:r w:rsidRPr="003373D0">
        <w:rPr>
          <w:rFonts w:ascii="Verdana" w:hAnsi="Verdana" w:cs="Verdana"/>
          <w:b/>
          <w:sz w:val="16"/>
          <w:szCs w:val="16"/>
        </w:rPr>
        <w:t>zł</w:t>
      </w:r>
      <w:r>
        <w:rPr>
          <w:rFonts w:ascii="Verdana" w:hAnsi="Verdana" w:cs="Verdana"/>
          <w:sz w:val="16"/>
          <w:szCs w:val="16"/>
        </w:rPr>
        <w:t xml:space="preserve"> i dotyczyły:</w:t>
      </w:r>
    </w:p>
    <w:p w:rsidR="007F07DD" w:rsidRDefault="007F07DD" w:rsidP="007F07DD">
      <w:pPr>
        <w:pStyle w:val="Akapitzlist"/>
        <w:numPr>
          <w:ilvl w:val="0"/>
          <w:numId w:val="53"/>
        </w:numPr>
        <w:spacing w:before="60" w:after="60"/>
        <w:jc w:val="both"/>
        <w:rPr>
          <w:rFonts w:ascii="Verdana" w:hAnsi="Verdana" w:cs="Verdana"/>
          <w:sz w:val="16"/>
          <w:szCs w:val="16"/>
        </w:rPr>
      </w:pPr>
      <w:r w:rsidRPr="00B32F9D">
        <w:rPr>
          <w:rFonts w:ascii="Verdana" w:hAnsi="Verdana" w:cs="Verdana"/>
          <w:sz w:val="16"/>
          <w:szCs w:val="16"/>
        </w:rPr>
        <w:t>zwolnieni</w:t>
      </w:r>
      <w:r>
        <w:rPr>
          <w:rFonts w:ascii="Verdana" w:hAnsi="Verdana" w:cs="Verdana"/>
          <w:sz w:val="16"/>
          <w:szCs w:val="16"/>
        </w:rPr>
        <w:t>a</w:t>
      </w:r>
      <w:r w:rsidRPr="00B32F9D">
        <w:rPr>
          <w:rFonts w:ascii="Verdana" w:hAnsi="Verdana" w:cs="Verdana"/>
          <w:sz w:val="16"/>
          <w:szCs w:val="16"/>
        </w:rPr>
        <w:t xml:space="preserve"> z podatku PIT osób w wieku poniżej 26</w:t>
      </w:r>
      <w:r>
        <w:rPr>
          <w:rFonts w:ascii="Verdana" w:hAnsi="Verdana" w:cs="Verdana"/>
          <w:sz w:val="16"/>
          <w:szCs w:val="16"/>
        </w:rPr>
        <w:t>.</w:t>
      </w:r>
      <w:r w:rsidRPr="00B32F9D">
        <w:rPr>
          <w:rFonts w:ascii="Verdana" w:hAnsi="Verdana" w:cs="Verdana"/>
          <w:sz w:val="16"/>
          <w:szCs w:val="16"/>
        </w:rPr>
        <w:t xml:space="preserve"> roku życia</w:t>
      </w:r>
      <w:r>
        <w:rPr>
          <w:rFonts w:ascii="Verdana" w:hAnsi="Verdana" w:cs="Verdana"/>
          <w:sz w:val="16"/>
          <w:szCs w:val="16"/>
        </w:rPr>
        <w:t>,</w:t>
      </w:r>
      <w:r w:rsidRPr="00B32F9D">
        <w:rPr>
          <w:rFonts w:ascii="Verdana" w:hAnsi="Verdana" w:cs="Verdana"/>
          <w:sz w:val="16"/>
          <w:szCs w:val="16"/>
        </w:rPr>
        <w:t xml:space="preserve"> </w:t>
      </w:r>
    </w:p>
    <w:p w:rsidR="007F07DD" w:rsidRDefault="007F07DD" w:rsidP="007F07DD">
      <w:pPr>
        <w:pStyle w:val="Akapitzlist"/>
        <w:numPr>
          <w:ilvl w:val="0"/>
          <w:numId w:val="53"/>
        </w:numPr>
        <w:spacing w:before="60" w:after="60"/>
        <w:jc w:val="both"/>
        <w:rPr>
          <w:rFonts w:ascii="Verdana" w:hAnsi="Verdana" w:cs="Verdana"/>
          <w:sz w:val="16"/>
          <w:szCs w:val="16"/>
        </w:rPr>
      </w:pPr>
      <w:r w:rsidRPr="00B32F9D">
        <w:rPr>
          <w:rFonts w:ascii="Verdana" w:hAnsi="Verdana" w:cs="Verdana"/>
          <w:sz w:val="16"/>
          <w:szCs w:val="16"/>
        </w:rPr>
        <w:t>obniżeni</w:t>
      </w:r>
      <w:r>
        <w:rPr>
          <w:rFonts w:ascii="Verdana" w:hAnsi="Verdana" w:cs="Verdana"/>
          <w:sz w:val="16"/>
          <w:szCs w:val="16"/>
        </w:rPr>
        <w:t>a</w:t>
      </w:r>
      <w:r w:rsidRPr="00B32F9D">
        <w:rPr>
          <w:rFonts w:ascii="Verdana" w:hAnsi="Verdana" w:cs="Verdana"/>
          <w:sz w:val="16"/>
          <w:szCs w:val="16"/>
        </w:rPr>
        <w:t xml:space="preserve"> s</w:t>
      </w:r>
      <w:r>
        <w:rPr>
          <w:rFonts w:ascii="Verdana" w:hAnsi="Verdana" w:cs="Verdana"/>
          <w:sz w:val="16"/>
          <w:szCs w:val="16"/>
        </w:rPr>
        <w:t>tawki podatku PIT z 18% do 17%,</w:t>
      </w:r>
    </w:p>
    <w:p w:rsidR="007F07DD" w:rsidRDefault="007F07DD" w:rsidP="007F07DD">
      <w:pPr>
        <w:pStyle w:val="Akapitzlist"/>
        <w:numPr>
          <w:ilvl w:val="0"/>
          <w:numId w:val="53"/>
        </w:numPr>
        <w:spacing w:before="60" w:after="60"/>
        <w:jc w:val="both"/>
        <w:rPr>
          <w:rFonts w:ascii="Verdana" w:hAnsi="Verdana" w:cs="Verdana"/>
          <w:sz w:val="16"/>
          <w:szCs w:val="16"/>
        </w:rPr>
      </w:pPr>
      <w:r w:rsidRPr="00B32F9D">
        <w:rPr>
          <w:rFonts w:ascii="Verdana" w:hAnsi="Verdana" w:cs="Verdana"/>
          <w:sz w:val="16"/>
          <w:szCs w:val="16"/>
        </w:rPr>
        <w:t>podwyższe</w:t>
      </w:r>
      <w:r>
        <w:rPr>
          <w:rFonts w:ascii="Verdana" w:hAnsi="Verdana" w:cs="Verdana"/>
          <w:sz w:val="16"/>
          <w:szCs w:val="16"/>
        </w:rPr>
        <w:t>nia</w:t>
      </w:r>
      <w:r w:rsidRPr="00B32F9D">
        <w:rPr>
          <w:rFonts w:ascii="Verdana" w:hAnsi="Verdana" w:cs="Verdana"/>
          <w:sz w:val="16"/>
          <w:szCs w:val="16"/>
        </w:rPr>
        <w:t xml:space="preserve"> kwoty ko</w:t>
      </w:r>
      <w:r>
        <w:rPr>
          <w:rFonts w:ascii="Verdana" w:hAnsi="Verdana" w:cs="Verdana"/>
          <w:sz w:val="16"/>
          <w:szCs w:val="16"/>
        </w:rPr>
        <w:t>sztów uzyskania przychodu w PIT,</w:t>
      </w:r>
    </w:p>
    <w:p w:rsidR="007F07DD" w:rsidRPr="00B32F9D" w:rsidRDefault="007F07DD" w:rsidP="007F07DD">
      <w:pPr>
        <w:pStyle w:val="Akapitzlist"/>
        <w:numPr>
          <w:ilvl w:val="0"/>
          <w:numId w:val="53"/>
        </w:numPr>
        <w:spacing w:before="60" w:after="60"/>
        <w:jc w:val="both"/>
        <w:rPr>
          <w:rFonts w:ascii="Verdana" w:hAnsi="Verdana" w:cs="Verdana"/>
          <w:sz w:val="16"/>
          <w:szCs w:val="16"/>
        </w:rPr>
      </w:pPr>
      <w:r w:rsidRPr="00B32F9D">
        <w:rPr>
          <w:rFonts w:ascii="Verdana" w:hAnsi="Verdana" w:cs="Verdana"/>
          <w:sz w:val="16"/>
          <w:szCs w:val="16"/>
        </w:rPr>
        <w:t>podwyższeni</w:t>
      </w:r>
      <w:r>
        <w:rPr>
          <w:rFonts w:ascii="Verdana" w:hAnsi="Verdana" w:cs="Verdana"/>
          <w:sz w:val="16"/>
          <w:szCs w:val="16"/>
        </w:rPr>
        <w:t>a</w:t>
      </w:r>
      <w:r w:rsidRPr="00B32F9D">
        <w:rPr>
          <w:rFonts w:ascii="Verdana" w:hAnsi="Verdana" w:cs="Verdana"/>
          <w:sz w:val="16"/>
          <w:szCs w:val="16"/>
        </w:rPr>
        <w:t xml:space="preserve"> z 250 tys. euro do 2 mln euro limitu przychodu umożliwiającego podatnikom prowadzącym pozarolniczą działalność gospodarczą skorzystanie z uproszczonej zryczałtowanej formy opodatkowania.</w:t>
      </w:r>
    </w:p>
    <w:p w:rsidR="007F07DD" w:rsidRPr="0064397A" w:rsidRDefault="007F07DD" w:rsidP="007F07DD">
      <w:pPr>
        <w:spacing w:before="120" w:after="120"/>
        <w:jc w:val="both"/>
        <w:rPr>
          <w:rFonts w:ascii="Verdana" w:hAnsi="Verdana" w:cs="Verdana"/>
          <w:sz w:val="16"/>
          <w:szCs w:val="16"/>
          <w:lang w:eastAsia="ko-KR"/>
        </w:rPr>
      </w:pPr>
      <w:r>
        <w:rPr>
          <w:rFonts w:ascii="Verdana" w:hAnsi="Verdana"/>
          <w:bCs/>
          <w:sz w:val="16"/>
          <w:szCs w:val="16"/>
        </w:rPr>
        <w:t>Łączny skutek zmian wprowadzonych to trwały ubytek do</w:t>
      </w:r>
      <w:r w:rsidRPr="000A6485">
        <w:rPr>
          <w:rFonts w:ascii="Verdana" w:hAnsi="Verdana"/>
          <w:bCs/>
          <w:sz w:val="16"/>
          <w:szCs w:val="16"/>
        </w:rPr>
        <w:t xml:space="preserve">chodów m.st. </w:t>
      </w:r>
      <w:r w:rsidRPr="000A6485">
        <w:rPr>
          <w:rFonts w:ascii="Verdana" w:hAnsi="Verdana" w:cs="Verdana"/>
          <w:sz w:val="16"/>
          <w:szCs w:val="16"/>
        </w:rPr>
        <w:t>Warszawy</w:t>
      </w:r>
      <w:r w:rsidRPr="000A6485">
        <w:rPr>
          <w:rFonts w:ascii="Verdana" w:hAnsi="Verdana"/>
          <w:bCs/>
          <w:sz w:val="16"/>
          <w:szCs w:val="16"/>
        </w:rPr>
        <w:t xml:space="preserve"> w całej perspektywie W</w:t>
      </w:r>
      <w:r>
        <w:rPr>
          <w:rFonts w:ascii="Verdana" w:hAnsi="Verdana"/>
          <w:bCs/>
          <w:sz w:val="16"/>
          <w:szCs w:val="16"/>
        </w:rPr>
        <w:t>ieloletniej Prognozy Finansowej</w:t>
      </w:r>
      <w:r w:rsidRPr="000A6485">
        <w:rPr>
          <w:rFonts w:ascii="Verdana" w:hAnsi="Verdana"/>
          <w:bCs/>
          <w:sz w:val="16"/>
          <w:szCs w:val="16"/>
        </w:rPr>
        <w:t xml:space="preserve"> </w:t>
      </w:r>
      <w:r w:rsidRPr="000A6485">
        <w:rPr>
          <w:rFonts w:ascii="Verdana" w:hAnsi="Verdana" w:cs="Verdana"/>
          <w:sz w:val="16"/>
          <w:szCs w:val="16"/>
        </w:rPr>
        <w:t xml:space="preserve">na kwotę </w:t>
      </w:r>
      <w:r>
        <w:rPr>
          <w:rFonts w:ascii="Verdana" w:hAnsi="Verdana" w:cs="Verdana"/>
          <w:sz w:val="16"/>
          <w:szCs w:val="16"/>
        </w:rPr>
        <w:t xml:space="preserve">bliską </w:t>
      </w:r>
      <w:r w:rsidRPr="006C03D2">
        <w:rPr>
          <w:rFonts w:ascii="Verdana" w:hAnsi="Verdana" w:cs="Verdana"/>
          <w:b/>
          <w:sz w:val="16"/>
          <w:szCs w:val="16"/>
          <w:lang w:eastAsia="ko-KR"/>
        </w:rPr>
        <w:t>2,3 mld zł</w:t>
      </w:r>
      <w:r>
        <w:rPr>
          <w:rFonts w:ascii="Verdana" w:hAnsi="Verdana" w:cs="Verdana"/>
          <w:sz w:val="16"/>
          <w:szCs w:val="16"/>
          <w:lang w:eastAsia="ko-KR"/>
        </w:rPr>
        <w:t xml:space="preserve"> rocznie w porównaniu z </w:t>
      </w:r>
      <w:r w:rsidRPr="000A6485">
        <w:rPr>
          <w:rFonts w:ascii="Verdana" w:hAnsi="Verdana" w:cs="Verdana"/>
          <w:sz w:val="16"/>
          <w:szCs w:val="16"/>
          <w:lang w:eastAsia="ko-KR"/>
        </w:rPr>
        <w:t>sytuacją niezmienionego stanu prawnego</w:t>
      </w:r>
      <w:r w:rsidRPr="0064397A">
        <w:rPr>
          <w:rFonts w:ascii="Verdana" w:hAnsi="Verdana" w:cs="Verdana"/>
          <w:sz w:val="16"/>
          <w:szCs w:val="16"/>
          <w:lang w:eastAsia="ko-KR"/>
        </w:rPr>
        <w:t>.</w:t>
      </w:r>
    </w:p>
    <w:p w:rsidR="007F07DD" w:rsidRPr="000A6485" w:rsidRDefault="007F07DD" w:rsidP="007F07DD">
      <w:pPr>
        <w:spacing w:before="120" w:after="120"/>
        <w:jc w:val="both"/>
        <w:rPr>
          <w:rFonts w:ascii="Verdana" w:hAnsi="Verdana"/>
          <w:sz w:val="16"/>
          <w:szCs w:val="16"/>
        </w:rPr>
      </w:pPr>
      <w:r w:rsidRPr="000A6485">
        <w:rPr>
          <w:rFonts w:ascii="Verdana" w:hAnsi="Verdana"/>
          <w:sz w:val="16"/>
          <w:szCs w:val="16"/>
        </w:rPr>
        <w:t>Metodologia prognozowania tego źródła dochodów opiera się na określeniu trzech głównych czynników determinujących wysokość uzyskiwanych środków:</w:t>
      </w:r>
    </w:p>
    <w:p w:rsidR="007F07DD" w:rsidRPr="000A6485" w:rsidRDefault="007F07DD" w:rsidP="007F07DD">
      <w:pPr>
        <w:numPr>
          <w:ilvl w:val="0"/>
          <w:numId w:val="6"/>
        </w:numPr>
        <w:tabs>
          <w:tab w:val="clear" w:pos="1080"/>
          <w:tab w:val="num" w:pos="567"/>
        </w:tabs>
        <w:spacing w:before="120" w:after="120"/>
        <w:ind w:left="540" w:hanging="256"/>
        <w:jc w:val="both"/>
        <w:rPr>
          <w:rFonts w:ascii="Verdana" w:hAnsi="Verdana"/>
          <w:sz w:val="16"/>
          <w:szCs w:val="16"/>
        </w:rPr>
      </w:pPr>
      <w:r>
        <w:rPr>
          <w:rFonts w:ascii="Verdana" w:hAnsi="Verdana"/>
          <w:sz w:val="16"/>
          <w:szCs w:val="16"/>
        </w:rPr>
        <w:t xml:space="preserve">puli </w:t>
      </w:r>
      <w:r w:rsidRPr="000A6485">
        <w:rPr>
          <w:rFonts w:ascii="Verdana" w:hAnsi="Verdana"/>
          <w:sz w:val="16"/>
          <w:szCs w:val="16"/>
        </w:rPr>
        <w:t>wpływów z PIT do</w:t>
      </w:r>
      <w:r>
        <w:rPr>
          <w:rFonts w:ascii="Verdana" w:hAnsi="Verdana"/>
          <w:sz w:val="16"/>
          <w:szCs w:val="16"/>
        </w:rPr>
        <w:t xml:space="preserve"> poddziału między </w:t>
      </w:r>
      <w:r w:rsidRPr="000A6485">
        <w:rPr>
          <w:rFonts w:ascii="Verdana" w:hAnsi="Verdana"/>
          <w:sz w:val="16"/>
          <w:szCs w:val="16"/>
        </w:rPr>
        <w:t>budżet państwa</w:t>
      </w:r>
      <w:r>
        <w:rPr>
          <w:rFonts w:ascii="Verdana" w:hAnsi="Verdana"/>
          <w:sz w:val="16"/>
          <w:szCs w:val="16"/>
        </w:rPr>
        <w:t xml:space="preserve"> i JST</w:t>
      </w:r>
      <w:r w:rsidRPr="000A6485">
        <w:rPr>
          <w:rFonts w:ascii="Verdana" w:hAnsi="Verdana"/>
          <w:sz w:val="16"/>
          <w:szCs w:val="16"/>
        </w:rPr>
        <w:t>,</w:t>
      </w:r>
    </w:p>
    <w:p w:rsidR="007F07DD" w:rsidRPr="000A6485" w:rsidRDefault="007F07DD" w:rsidP="007F07DD">
      <w:pPr>
        <w:numPr>
          <w:ilvl w:val="0"/>
          <w:numId w:val="6"/>
        </w:numPr>
        <w:tabs>
          <w:tab w:val="clear" w:pos="1080"/>
          <w:tab w:val="num" w:pos="567"/>
        </w:tabs>
        <w:spacing w:before="120" w:after="120"/>
        <w:ind w:left="540" w:hanging="256"/>
        <w:jc w:val="both"/>
        <w:rPr>
          <w:rFonts w:ascii="Verdana" w:hAnsi="Verdana"/>
          <w:sz w:val="16"/>
          <w:szCs w:val="16"/>
        </w:rPr>
      </w:pPr>
      <w:r w:rsidRPr="000A6485">
        <w:rPr>
          <w:rFonts w:ascii="Verdana" w:hAnsi="Verdana"/>
          <w:sz w:val="16"/>
          <w:szCs w:val="16"/>
        </w:rPr>
        <w:t>ustawowego, określonego dla miast na prawach powiatu udziału we wpływach z PIT do budżetu państwa,</w:t>
      </w:r>
    </w:p>
    <w:p w:rsidR="007F07DD" w:rsidRPr="000A6485" w:rsidRDefault="007F07DD" w:rsidP="007F07DD">
      <w:pPr>
        <w:numPr>
          <w:ilvl w:val="0"/>
          <w:numId w:val="6"/>
        </w:numPr>
        <w:tabs>
          <w:tab w:val="clear" w:pos="1080"/>
          <w:tab w:val="num" w:pos="567"/>
        </w:tabs>
        <w:spacing w:before="120" w:after="120"/>
        <w:ind w:left="540" w:hanging="256"/>
        <w:jc w:val="both"/>
        <w:rPr>
          <w:rFonts w:ascii="Verdana" w:hAnsi="Verdana"/>
          <w:sz w:val="16"/>
          <w:szCs w:val="16"/>
        </w:rPr>
      </w:pPr>
      <w:r w:rsidRPr="000A6485">
        <w:rPr>
          <w:rFonts w:ascii="Verdana" w:hAnsi="Verdana"/>
          <w:sz w:val="16"/>
          <w:szCs w:val="16"/>
        </w:rPr>
        <w:t>indywidualnego, wyliczonego dla jednostki samorządu terytorialnego udziału we wpływach z PIT wszystkich jednostek samorządu terytorialnego danego typu.</w:t>
      </w:r>
    </w:p>
    <w:p w:rsidR="007F07DD" w:rsidRPr="000A6485" w:rsidRDefault="007F07DD" w:rsidP="007F07DD">
      <w:pPr>
        <w:spacing w:before="120" w:after="120"/>
        <w:jc w:val="both"/>
        <w:rPr>
          <w:rFonts w:ascii="Verdana" w:hAnsi="Verdana"/>
          <w:sz w:val="16"/>
          <w:szCs w:val="16"/>
        </w:rPr>
      </w:pPr>
      <w:r>
        <w:rPr>
          <w:rFonts w:ascii="Verdana" w:hAnsi="Verdana"/>
          <w:sz w:val="16"/>
          <w:szCs w:val="16"/>
        </w:rPr>
        <w:t xml:space="preserve">Pula </w:t>
      </w:r>
      <w:r w:rsidRPr="000A6485">
        <w:rPr>
          <w:rFonts w:ascii="Verdana" w:hAnsi="Verdana"/>
          <w:sz w:val="16"/>
          <w:szCs w:val="16"/>
        </w:rPr>
        <w:t>wpływów z PIT do</w:t>
      </w:r>
      <w:r>
        <w:rPr>
          <w:rFonts w:ascii="Verdana" w:hAnsi="Verdana"/>
          <w:sz w:val="16"/>
          <w:szCs w:val="16"/>
        </w:rPr>
        <w:t xml:space="preserve"> poddziału między </w:t>
      </w:r>
      <w:r w:rsidRPr="000A6485">
        <w:rPr>
          <w:rFonts w:ascii="Verdana" w:hAnsi="Verdana"/>
          <w:sz w:val="16"/>
          <w:szCs w:val="16"/>
        </w:rPr>
        <w:t>budżet państwa</w:t>
      </w:r>
      <w:r>
        <w:rPr>
          <w:rFonts w:ascii="Verdana" w:hAnsi="Verdana"/>
          <w:sz w:val="16"/>
          <w:szCs w:val="16"/>
        </w:rPr>
        <w:t xml:space="preserve"> i JST</w:t>
      </w:r>
      <w:r w:rsidRPr="000A6485">
        <w:rPr>
          <w:rFonts w:ascii="Verdana" w:hAnsi="Verdana"/>
          <w:sz w:val="16"/>
          <w:szCs w:val="16"/>
        </w:rPr>
        <w:t xml:space="preserve"> </w:t>
      </w:r>
      <w:r>
        <w:rPr>
          <w:rFonts w:ascii="Verdana" w:hAnsi="Verdana"/>
          <w:sz w:val="16"/>
          <w:szCs w:val="16"/>
        </w:rPr>
        <w:t>jest</w:t>
      </w:r>
      <w:r w:rsidRPr="000A6485">
        <w:rPr>
          <w:rFonts w:ascii="Verdana" w:hAnsi="Verdana"/>
          <w:sz w:val="16"/>
          <w:szCs w:val="16"/>
        </w:rPr>
        <w:t xml:space="preserve"> silnie skorelowan</w:t>
      </w:r>
      <w:r>
        <w:rPr>
          <w:rFonts w:ascii="Verdana" w:hAnsi="Verdana"/>
          <w:sz w:val="16"/>
          <w:szCs w:val="16"/>
        </w:rPr>
        <w:t>a</w:t>
      </w:r>
      <w:r w:rsidRPr="000A6485">
        <w:rPr>
          <w:rFonts w:ascii="Verdana" w:hAnsi="Verdana"/>
          <w:sz w:val="16"/>
          <w:szCs w:val="16"/>
        </w:rPr>
        <w:t xml:space="preserve"> ze zjawiskami obserwowanymi na rynku pracy. W niniejszej prognozie uwzględniono następujące przewidywane przez Ministerstwo Finansów zdarzenia determinujące w skali kraju liczbę podatników PIT oraz wysokość podatków przez nich odprowadzanych. Zakłada się w najbliższych latach:</w:t>
      </w:r>
    </w:p>
    <w:p w:rsidR="007F07DD" w:rsidRPr="000A6485" w:rsidRDefault="007F07DD" w:rsidP="007F07DD">
      <w:pPr>
        <w:pStyle w:val="Akapitzlist"/>
        <w:numPr>
          <w:ilvl w:val="0"/>
          <w:numId w:val="7"/>
        </w:numPr>
        <w:tabs>
          <w:tab w:val="clear" w:pos="1080"/>
        </w:tabs>
        <w:autoSpaceDE w:val="0"/>
        <w:autoSpaceDN w:val="0"/>
        <w:adjustRightInd w:val="0"/>
        <w:spacing w:before="120" w:after="120"/>
        <w:ind w:left="567" w:hanging="283"/>
        <w:contextualSpacing w:val="0"/>
        <w:jc w:val="both"/>
        <w:rPr>
          <w:rFonts w:ascii="Verdana" w:hAnsi="Verdana" w:cs="Verdana"/>
          <w:sz w:val="16"/>
          <w:szCs w:val="16"/>
        </w:rPr>
      </w:pPr>
      <w:r w:rsidRPr="000A6485">
        <w:rPr>
          <w:rFonts w:ascii="Verdana" w:hAnsi="Verdana" w:cs="Verdana"/>
          <w:sz w:val="16"/>
          <w:szCs w:val="16"/>
        </w:rPr>
        <w:t>dynamik</w:t>
      </w:r>
      <w:r>
        <w:rPr>
          <w:rFonts w:ascii="Verdana" w:hAnsi="Verdana" w:cs="Verdana"/>
          <w:sz w:val="16"/>
          <w:szCs w:val="16"/>
        </w:rPr>
        <w:t>ę</w:t>
      </w:r>
      <w:r w:rsidRPr="000A6485">
        <w:rPr>
          <w:rFonts w:ascii="Verdana" w:hAnsi="Verdana" w:cs="Verdana"/>
          <w:sz w:val="16"/>
          <w:szCs w:val="16"/>
        </w:rPr>
        <w:t xml:space="preserve"> PKB </w:t>
      </w:r>
      <w:r>
        <w:rPr>
          <w:rFonts w:ascii="Verdana" w:hAnsi="Verdana" w:cs="Verdana"/>
          <w:sz w:val="16"/>
          <w:szCs w:val="16"/>
        </w:rPr>
        <w:t>w 2022</w:t>
      </w:r>
      <w:r w:rsidRPr="000A6485">
        <w:rPr>
          <w:rFonts w:ascii="Verdana" w:hAnsi="Verdana" w:cs="Verdana"/>
          <w:sz w:val="16"/>
          <w:szCs w:val="16"/>
        </w:rPr>
        <w:t xml:space="preserve"> r. </w:t>
      </w:r>
      <w:r>
        <w:rPr>
          <w:rFonts w:ascii="Verdana" w:hAnsi="Verdana" w:cs="Verdana"/>
          <w:sz w:val="16"/>
          <w:szCs w:val="16"/>
        </w:rPr>
        <w:t>w wys.</w:t>
      </w:r>
      <w:r w:rsidRPr="000A6485">
        <w:rPr>
          <w:rFonts w:ascii="Verdana" w:hAnsi="Verdana" w:cs="Verdana"/>
          <w:sz w:val="16"/>
          <w:szCs w:val="16"/>
        </w:rPr>
        <w:t xml:space="preserve"> </w:t>
      </w:r>
      <w:r>
        <w:rPr>
          <w:rFonts w:ascii="Verdana" w:hAnsi="Verdana" w:cs="Verdana"/>
          <w:b/>
          <w:sz w:val="16"/>
          <w:szCs w:val="16"/>
        </w:rPr>
        <w:t>4,6</w:t>
      </w:r>
      <w:r w:rsidRPr="000A6485">
        <w:rPr>
          <w:rFonts w:ascii="Verdana" w:hAnsi="Verdana" w:cs="Verdana"/>
          <w:b/>
          <w:sz w:val="16"/>
          <w:szCs w:val="16"/>
        </w:rPr>
        <w:t>%</w:t>
      </w:r>
      <w:r>
        <w:rPr>
          <w:rFonts w:ascii="Verdana" w:hAnsi="Verdana" w:cs="Verdana"/>
          <w:sz w:val="16"/>
          <w:szCs w:val="16"/>
        </w:rPr>
        <w:t xml:space="preserve"> oraz w </w:t>
      </w:r>
      <w:r w:rsidRPr="000A6485">
        <w:rPr>
          <w:rFonts w:ascii="Verdana" w:hAnsi="Verdana" w:cs="Verdana"/>
          <w:sz w:val="16"/>
          <w:szCs w:val="16"/>
        </w:rPr>
        <w:t xml:space="preserve">kolejnych latach: </w:t>
      </w:r>
      <w:r w:rsidRPr="000A6485">
        <w:rPr>
          <w:rFonts w:ascii="Verdana" w:hAnsi="Verdana" w:cs="Verdana"/>
          <w:b/>
          <w:sz w:val="16"/>
          <w:szCs w:val="16"/>
        </w:rPr>
        <w:t>3,</w:t>
      </w:r>
      <w:r>
        <w:rPr>
          <w:rFonts w:ascii="Verdana" w:hAnsi="Verdana" w:cs="Verdana"/>
          <w:b/>
          <w:sz w:val="16"/>
          <w:szCs w:val="16"/>
        </w:rPr>
        <w:t>7</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3</w:t>
      </w:r>
      <w:r w:rsidRPr="000A6485">
        <w:rPr>
          <w:rFonts w:ascii="Verdana" w:hAnsi="Verdana" w:cs="Verdana"/>
          <w:sz w:val="16"/>
          <w:szCs w:val="16"/>
        </w:rPr>
        <w:t xml:space="preserve"> r., </w:t>
      </w:r>
      <w:r>
        <w:rPr>
          <w:rFonts w:ascii="Verdana" w:hAnsi="Verdana" w:cs="Verdana"/>
          <w:b/>
          <w:sz w:val="16"/>
          <w:szCs w:val="16"/>
        </w:rPr>
        <w:t>3,5</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4</w:t>
      </w:r>
      <w:r w:rsidRPr="000A6485">
        <w:rPr>
          <w:rFonts w:ascii="Verdana" w:hAnsi="Verdana" w:cs="Verdana"/>
          <w:sz w:val="16"/>
          <w:szCs w:val="16"/>
        </w:rPr>
        <w:t xml:space="preserve"> r. </w:t>
      </w:r>
      <w:r>
        <w:rPr>
          <w:rFonts w:ascii="Verdana" w:hAnsi="Verdana" w:cs="Verdana"/>
          <w:sz w:val="16"/>
          <w:szCs w:val="16"/>
        </w:rPr>
        <w:br/>
      </w:r>
      <w:r w:rsidRPr="000A6485">
        <w:rPr>
          <w:rFonts w:ascii="Verdana" w:hAnsi="Verdana" w:cs="Verdana"/>
          <w:sz w:val="16"/>
          <w:szCs w:val="16"/>
        </w:rPr>
        <w:t xml:space="preserve">i </w:t>
      </w:r>
      <w:r>
        <w:rPr>
          <w:rFonts w:ascii="Verdana" w:hAnsi="Verdana" w:cs="Verdana"/>
          <w:sz w:val="16"/>
          <w:szCs w:val="16"/>
        </w:rPr>
        <w:t>w </w:t>
      </w:r>
      <w:r w:rsidRPr="000A6485">
        <w:rPr>
          <w:rFonts w:ascii="Verdana" w:hAnsi="Verdana" w:cs="Verdana"/>
          <w:sz w:val="16"/>
          <w:szCs w:val="16"/>
        </w:rPr>
        <w:t>202</w:t>
      </w:r>
      <w:r>
        <w:rPr>
          <w:rFonts w:ascii="Verdana" w:hAnsi="Verdana" w:cs="Verdana"/>
          <w:sz w:val="16"/>
          <w:szCs w:val="16"/>
        </w:rPr>
        <w:t>5</w:t>
      </w:r>
      <w:r w:rsidRPr="000A6485">
        <w:rPr>
          <w:rFonts w:ascii="Verdana" w:hAnsi="Verdana" w:cs="Verdana"/>
          <w:sz w:val="16"/>
          <w:szCs w:val="16"/>
        </w:rPr>
        <w:t xml:space="preserve"> r.,</w:t>
      </w:r>
    </w:p>
    <w:p w:rsidR="007F07DD" w:rsidRPr="000A6485" w:rsidRDefault="007F07DD" w:rsidP="007F07DD">
      <w:pPr>
        <w:pStyle w:val="Akapitzlist"/>
        <w:numPr>
          <w:ilvl w:val="0"/>
          <w:numId w:val="7"/>
        </w:numPr>
        <w:tabs>
          <w:tab w:val="clear" w:pos="1080"/>
          <w:tab w:val="num" w:pos="709"/>
        </w:tabs>
        <w:autoSpaceDE w:val="0"/>
        <w:autoSpaceDN w:val="0"/>
        <w:adjustRightInd w:val="0"/>
        <w:spacing w:before="120" w:after="120"/>
        <w:ind w:left="567" w:hanging="283"/>
        <w:contextualSpacing w:val="0"/>
        <w:jc w:val="both"/>
        <w:rPr>
          <w:rFonts w:ascii="Verdana" w:hAnsi="Verdana" w:cs="Verdana"/>
          <w:sz w:val="16"/>
          <w:szCs w:val="16"/>
        </w:rPr>
      </w:pPr>
      <w:r w:rsidRPr="000A6485">
        <w:rPr>
          <w:rFonts w:ascii="Verdana" w:hAnsi="Verdana" w:cs="Verdana"/>
          <w:sz w:val="16"/>
          <w:szCs w:val="16"/>
        </w:rPr>
        <w:lastRenderedPageBreak/>
        <w:t>dynamik</w:t>
      </w:r>
      <w:r>
        <w:rPr>
          <w:rFonts w:ascii="Verdana" w:hAnsi="Verdana" w:cs="Verdana"/>
          <w:sz w:val="16"/>
          <w:szCs w:val="16"/>
        </w:rPr>
        <w:t>ę</w:t>
      </w:r>
      <w:r w:rsidRPr="000A6485">
        <w:rPr>
          <w:rFonts w:ascii="Verdana" w:hAnsi="Verdana" w:cs="Verdana"/>
          <w:sz w:val="16"/>
          <w:szCs w:val="16"/>
        </w:rPr>
        <w:t xml:space="preserve"> poziomu wynagrodzeń w gospodarce narodowej </w:t>
      </w:r>
      <w:r>
        <w:rPr>
          <w:rFonts w:ascii="Verdana" w:hAnsi="Verdana" w:cs="Verdana"/>
          <w:sz w:val="16"/>
          <w:szCs w:val="16"/>
        </w:rPr>
        <w:t>na poziomie</w:t>
      </w:r>
      <w:r w:rsidRPr="000A6485">
        <w:rPr>
          <w:rFonts w:ascii="Verdana" w:hAnsi="Verdana" w:cs="Verdana"/>
          <w:sz w:val="16"/>
          <w:szCs w:val="16"/>
        </w:rPr>
        <w:t xml:space="preserve"> </w:t>
      </w:r>
      <w:r>
        <w:rPr>
          <w:rFonts w:ascii="Verdana" w:hAnsi="Verdana" w:cs="Verdana"/>
          <w:b/>
          <w:sz w:val="16"/>
          <w:szCs w:val="16"/>
        </w:rPr>
        <w:t>6,7</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2</w:t>
      </w:r>
      <w:r w:rsidRPr="000A6485">
        <w:rPr>
          <w:rFonts w:ascii="Verdana" w:hAnsi="Verdana" w:cs="Verdana"/>
          <w:sz w:val="16"/>
          <w:szCs w:val="16"/>
        </w:rPr>
        <w:t xml:space="preserve"> r. i </w:t>
      </w:r>
      <w:r>
        <w:rPr>
          <w:rFonts w:ascii="Verdana" w:hAnsi="Verdana" w:cs="Verdana"/>
          <w:sz w:val="16"/>
          <w:szCs w:val="16"/>
        </w:rPr>
        <w:t>w </w:t>
      </w:r>
      <w:r w:rsidRPr="000A6485">
        <w:rPr>
          <w:rFonts w:ascii="Verdana" w:hAnsi="Verdana" w:cs="Verdana"/>
          <w:sz w:val="16"/>
          <w:szCs w:val="16"/>
        </w:rPr>
        <w:t xml:space="preserve">kolejnych latach: </w:t>
      </w:r>
      <w:r>
        <w:rPr>
          <w:rFonts w:ascii="Verdana" w:hAnsi="Verdana" w:cs="Verdana"/>
          <w:b/>
          <w:sz w:val="16"/>
          <w:szCs w:val="16"/>
        </w:rPr>
        <w:t>6</w:t>
      </w:r>
      <w:r w:rsidRPr="000A6485">
        <w:rPr>
          <w:rFonts w:ascii="Verdana" w:hAnsi="Verdana" w:cs="Verdana"/>
          <w:b/>
          <w:sz w:val="16"/>
          <w:szCs w:val="16"/>
        </w:rPr>
        <w:t>,</w:t>
      </w:r>
      <w:r>
        <w:rPr>
          <w:rFonts w:ascii="Verdana" w:hAnsi="Verdana" w:cs="Verdana"/>
          <w:b/>
          <w:sz w:val="16"/>
          <w:szCs w:val="16"/>
        </w:rPr>
        <w:t>5</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3</w:t>
      </w:r>
      <w:r w:rsidRPr="000A6485">
        <w:rPr>
          <w:rFonts w:ascii="Verdana" w:hAnsi="Verdana" w:cs="Verdana"/>
          <w:sz w:val="16"/>
          <w:szCs w:val="16"/>
        </w:rPr>
        <w:t xml:space="preserve"> r., </w:t>
      </w:r>
      <w:r>
        <w:rPr>
          <w:rFonts w:ascii="Verdana" w:hAnsi="Verdana" w:cs="Verdana"/>
          <w:b/>
          <w:sz w:val="16"/>
          <w:szCs w:val="16"/>
        </w:rPr>
        <w:t>6,2</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4</w:t>
      </w:r>
      <w:r w:rsidRPr="000A6485">
        <w:rPr>
          <w:rFonts w:ascii="Verdana" w:hAnsi="Verdana" w:cs="Verdana"/>
          <w:sz w:val="16"/>
          <w:szCs w:val="16"/>
        </w:rPr>
        <w:t xml:space="preserve"> r. i </w:t>
      </w:r>
      <w:r w:rsidRPr="00762781">
        <w:rPr>
          <w:rFonts w:ascii="Verdana" w:hAnsi="Verdana" w:cs="Verdana"/>
          <w:b/>
          <w:sz w:val="16"/>
          <w:szCs w:val="16"/>
        </w:rPr>
        <w:t>6,1%</w:t>
      </w:r>
      <w:r>
        <w:rPr>
          <w:rFonts w:ascii="Verdana" w:hAnsi="Verdana" w:cs="Verdana"/>
          <w:sz w:val="16"/>
          <w:szCs w:val="16"/>
        </w:rPr>
        <w:t xml:space="preserve"> w </w:t>
      </w:r>
      <w:r w:rsidRPr="000A6485">
        <w:rPr>
          <w:rFonts w:ascii="Verdana" w:hAnsi="Verdana" w:cs="Verdana"/>
          <w:sz w:val="16"/>
          <w:szCs w:val="16"/>
        </w:rPr>
        <w:t>202</w:t>
      </w:r>
      <w:r>
        <w:rPr>
          <w:rFonts w:ascii="Verdana" w:hAnsi="Verdana" w:cs="Verdana"/>
          <w:sz w:val="16"/>
          <w:szCs w:val="16"/>
        </w:rPr>
        <w:t>5</w:t>
      </w:r>
      <w:r w:rsidRPr="000A6485">
        <w:rPr>
          <w:rFonts w:ascii="Verdana" w:hAnsi="Verdana" w:cs="Verdana"/>
          <w:sz w:val="16"/>
          <w:szCs w:val="16"/>
        </w:rPr>
        <w:t xml:space="preserve"> r.,</w:t>
      </w:r>
    </w:p>
    <w:p w:rsidR="007F07DD" w:rsidRPr="000A6485" w:rsidRDefault="007F07DD" w:rsidP="007F07DD">
      <w:pPr>
        <w:pStyle w:val="Akapitzlist"/>
        <w:numPr>
          <w:ilvl w:val="0"/>
          <w:numId w:val="7"/>
        </w:numPr>
        <w:tabs>
          <w:tab w:val="clear" w:pos="1080"/>
          <w:tab w:val="num" w:pos="709"/>
        </w:tabs>
        <w:autoSpaceDE w:val="0"/>
        <w:autoSpaceDN w:val="0"/>
        <w:adjustRightInd w:val="0"/>
        <w:spacing w:before="120" w:after="120"/>
        <w:ind w:left="567" w:hanging="283"/>
        <w:contextualSpacing w:val="0"/>
        <w:jc w:val="both"/>
        <w:rPr>
          <w:rFonts w:ascii="Verdana" w:hAnsi="Verdana" w:cs="Verdana"/>
          <w:sz w:val="16"/>
          <w:szCs w:val="16"/>
        </w:rPr>
      </w:pPr>
      <w:r w:rsidRPr="000A6485">
        <w:rPr>
          <w:rFonts w:ascii="Verdana" w:hAnsi="Verdana" w:cs="Verdana"/>
          <w:sz w:val="16"/>
          <w:szCs w:val="16"/>
        </w:rPr>
        <w:t>dynamik</w:t>
      </w:r>
      <w:r>
        <w:rPr>
          <w:rFonts w:ascii="Verdana" w:hAnsi="Verdana" w:cs="Verdana"/>
          <w:sz w:val="16"/>
          <w:szCs w:val="16"/>
        </w:rPr>
        <w:t xml:space="preserve">ę zatrudnienia </w:t>
      </w:r>
      <w:r w:rsidRPr="000A6485">
        <w:rPr>
          <w:rFonts w:ascii="Verdana" w:hAnsi="Verdana" w:cs="Verdana"/>
          <w:sz w:val="16"/>
          <w:szCs w:val="16"/>
        </w:rPr>
        <w:t xml:space="preserve">w gospodarce narodowej </w:t>
      </w:r>
      <w:r>
        <w:rPr>
          <w:rFonts w:ascii="Verdana" w:hAnsi="Verdana" w:cs="Verdana"/>
          <w:sz w:val="16"/>
          <w:szCs w:val="16"/>
        </w:rPr>
        <w:t>na poziomie</w:t>
      </w:r>
      <w:r w:rsidRPr="000A6485">
        <w:rPr>
          <w:rFonts w:ascii="Verdana" w:hAnsi="Verdana" w:cs="Verdana"/>
          <w:sz w:val="16"/>
          <w:szCs w:val="16"/>
        </w:rPr>
        <w:t xml:space="preserve"> </w:t>
      </w:r>
      <w:r>
        <w:rPr>
          <w:rFonts w:ascii="Verdana" w:hAnsi="Verdana" w:cs="Verdana"/>
          <w:b/>
          <w:sz w:val="16"/>
          <w:szCs w:val="16"/>
        </w:rPr>
        <w:t>0,7</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2</w:t>
      </w:r>
      <w:r w:rsidRPr="000A6485">
        <w:rPr>
          <w:rFonts w:ascii="Verdana" w:hAnsi="Verdana" w:cs="Verdana"/>
          <w:sz w:val="16"/>
          <w:szCs w:val="16"/>
        </w:rPr>
        <w:t xml:space="preserve"> r. i</w:t>
      </w:r>
      <w:r>
        <w:rPr>
          <w:rFonts w:ascii="Verdana" w:hAnsi="Verdana" w:cs="Verdana"/>
          <w:sz w:val="16"/>
          <w:szCs w:val="16"/>
        </w:rPr>
        <w:t xml:space="preserve"> </w:t>
      </w:r>
      <w:r w:rsidRPr="0090305C">
        <w:rPr>
          <w:rFonts w:ascii="Verdana" w:hAnsi="Verdana" w:cs="Verdana"/>
          <w:b/>
          <w:sz w:val="16"/>
          <w:szCs w:val="16"/>
        </w:rPr>
        <w:t>0,3</w:t>
      </w:r>
      <w:r>
        <w:rPr>
          <w:rFonts w:ascii="Verdana" w:hAnsi="Verdana" w:cs="Verdana"/>
          <w:b/>
          <w:sz w:val="16"/>
          <w:szCs w:val="16"/>
        </w:rPr>
        <w:t>%</w:t>
      </w:r>
      <w:r>
        <w:rPr>
          <w:rFonts w:ascii="Verdana" w:hAnsi="Verdana" w:cs="Verdana"/>
          <w:sz w:val="16"/>
          <w:szCs w:val="16"/>
        </w:rPr>
        <w:t xml:space="preserve"> w 2023 r. </w:t>
      </w:r>
      <w:r>
        <w:rPr>
          <w:rFonts w:ascii="Verdana" w:hAnsi="Verdana" w:cs="Verdana"/>
          <w:sz w:val="16"/>
          <w:szCs w:val="16"/>
        </w:rPr>
        <w:br/>
        <w:t>i stabilizację w </w:t>
      </w:r>
      <w:r w:rsidRPr="000A6485">
        <w:rPr>
          <w:rFonts w:ascii="Verdana" w:hAnsi="Verdana" w:cs="Verdana"/>
          <w:sz w:val="16"/>
          <w:szCs w:val="16"/>
        </w:rPr>
        <w:t>kolejnych latach</w:t>
      </w:r>
      <w:r>
        <w:rPr>
          <w:rFonts w:ascii="Verdana" w:hAnsi="Verdana" w:cs="Verdana"/>
          <w:sz w:val="16"/>
          <w:szCs w:val="16"/>
        </w:rPr>
        <w:t>.</w:t>
      </w:r>
    </w:p>
    <w:p w:rsidR="007F07DD" w:rsidRPr="000A6485" w:rsidRDefault="007F07DD" w:rsidP="007F07DD">
      <w:pPr>
        <w:spacing w:before="120" w:after="120"/>
        <w:jc w:val="both"/>
        <w:rPr>
          <w:rFonts w:ascii="Verdana" w:hAnsi="Verdana"/>
          <w:sz w:val="16"/>
          <w:szCs w:val="16"/>
        </w:rPr>
      </w:pPr>
      <w:r w:rsidRPr="000A6485">
        <w:rPr>
          <w:rFonts w:ascii="Verdana" w:hAnsi="Verdana"/>
          <w:sz w:val="16"/>
          <w:szCs w:val="16"/>
        </w:rPr>
        <w:t xml:space="preserve">Drugim elementem prognozy dochodów z udziału w PIT, obok oszacowania ogólnej kwoty wpływów </w:t>
      </w:r>
      <w:r w:rsidRPr="000A6485">
        <w:rPr>
          <w:rFonts w:ascii="Verdana" w:hAnsi="Verdana"/>
          <w:sz w:val="16"/>
          <w:szCs w:val="16"/>
        </w:rPr>
        <w:br/>
        <w:t xml:space="preserve">z tego podatku dla całego kraju, jest określenie udziałów sektora samorządowego w dochodach z PIT </w:t>
      </w:r>
      <w:r w:rsidRPr="000A6485">
        <w:rPr>
          <w:rFonts w:ascii="Verdana" w:hAnsi="Verdana"/>
          <w:sz w:val="16"/>
          <w:szCs w:val="16"/>
        </w:rPr>
        <w:br/>
        <w:t xml:space="preserve">oraz udziałów poszczególnych jednostek. </w:t>
      </w:r>
    </w:p>
    <w:p w:rsidR="007F07DD" w:rsidRDefault="007F07DD" w:rsidP="007F07DD">
      <w:pPr>
        <w:spacing w:before="120" w:after="120"/>
        <w:jc w:val="both"/>
        <w:rPr>
          <w:rFonts w:ascii="Verdana" w:hAnsi="Verdana"/>
          <w:sz w:val="16"/>
          <w:szCs w:val="16"/>
        </w:rPr>
      </w:pPr>
      <w:r>
        <w:rPr>
          <w:rFonts w:ascii="Verdana" w:hAnsi="Verdana"/>
          <w:sz w:val="16"/>
          <w:szCs w:val="16"/>
        </w:rPr>
        <w:t>W dniu 14</w:t>
      </w:r>
      <w:r w:rsidRPr="000A6485">
        <w:rPr>
          <w:rFonts w:ascii="Verdana" w:hAnsi="Verdana"/>
          <w:sz w:val="16"/>
          <w:szCs w:val="16"/>
        </w:rPr>
        <w:t xml:space="preserve"> października 20</w:t>
      </w:r>
      <w:r>
        <w:rPr>
          <w:rFonts w:ascii="Verdana" w:hAnsi="Verdana"/>
          <w:sz w:val="16"/>
          <w:szCs w:val="16"/>
        </w:rPr>
        <w:t xml:space="preserve">21 r. Minister Finansów </w:t>
      </w:r>
      <w:r w:rsidRPr="000A6485">
        <w:rPr>
          <w:rFonts w:ascii="Verdana" w:hAnsi="Verdana"/>
          <w:sz w:val="16"/>
          <w:szCs w:val="16"/>
        </w:rPr>
        <w:t xml:space="preserve">- zgodnie z art. 33 ust. 1 pkt 1 ustawy z dnia 13 listopada </w:t>
      </w:r>
      <w:r>
        <w:rPr>
          <w:rFonts w:ascii="Verdana" w:hAnsi="Verdana"/>
          <w:sz w:val="16"/>
          <w:szCs w:val="16"/>
        </w:rPr>
        <w:br/>
      </w:r>
      <w:r w:rsidRPr="000A6485">
        <w:rPr>
          <w:rFonts w:ascii="Verdana" w:hAnsi="Verdana"/>
          <w:sz w:val="16"/>
          <w:szCs w:val="16"/>
        </w:rPr>
        <w:t>2003 r. o dochodach jednostek samorządu terytorialnego - poinformował jednos</w:t>
      </w:r>
      <w:r>
        <w:rPr>
          <w:rFonts w:ascii="Verdana" w:hAnsi="Verdana"/>
          <w:sz w:val="16"/>
          <w:szCs w:val="16"/>
        </w:rPr>
        <w:t>tki samorządu terytorialnego, w </w:t>
      </w:r>
      <w:r w:rsidRPr="000A6485">
        <w:rPr>
          <w:rFonts w:ascii="Verdana" w:hAnsi="Verdana"/>
          <w:sz w:val="16"/>
          <w:szCs w:val="16"/>
        </w:rPr>
        <w:t>tym m.st. Warszawa, o planowanych udziałach we wpływach z podatku</w:t>
      </w:r>
      <w:r>
        <w:rPr>
          <w:rFonts w:ascii="Verdana" w:hAnsi="Verdana"/>
          <w:sz w:val="16"/>
          <w:szCs w:val="16"/>
        </w:rPr>
        <w:t xml:space="preserve"> dochodowego od osób fizycznych ustalonych na 2022 r.</w:t>
      </w:r>
    </w:p>
    <w:p w:rsidR="007F07DD" w:rsidRPr="000A6485" w:rsidRDefault="007F07DD" w:rsidP="007F07DD">
      <w:pPr>
        <w:spacing w:before="120" w:after="120"/>
        <w:jc w:val="both"/>
        <w:rPr>
          <w:rFonts w:ascii="Verdana" w:hAnsi="Verdana" w:cs="Verdana"/>
          <w:sz w:val="16"/>
          <w:szCs w:val="16"/>
        </w:rPr>
      </w:pPr>
      <w:r w:rsidRPr="000A6485">
        <w:rPr>
          <w:rFonts w:ascii="Verdana" w:hAnsi="Verdana" w:cs="Verdana"/>
          <w:sz w:val="16"/>
          <w:szCs w:val="16"/>
        </w:rPr>
        <w:t>Na 202</w:t>
      </w:r>
      <w:r>
        <w:rPr>
          <w:rFonts w:ascii="Verdana" w:hAnsi="Verdana" w:cs="Verdana"/>
          <w:sz w:val="16"/>
          <w:szCs w:val="16"/>
        </w:rPr>
        <w:t>2</w:t>
      </w:r>
      <w:r w:rsidRPr="000A6485">
        <w:rPr>
          <w:rFonts w:ascii="Verdana" w:hAnsi="Verdana" w:cs="Verdana"/>
          <w:sz w:val="16"/>
          <w:szCs w:val="16"/>
        </w:rPr>
        <w:t xml:space="preserve"> r. Ministerstwo Finansów zakłada wzrost – podobnie jak w latach poprzednich – wskaźnika udziału dla wszystkich gmin w kraju w planowanych ogólnych wpływach z PIT, tj. z </w:t>
      </w:r>
      <w:r w:rsidRPr="000A6485">
        <w:rPr>
          <w:rFonts w:ascii="Verdana" w:hAnsi="Verdana" w:cs="Verdana"/>
          <w:b/>
          <w:sz w:val="16"/>
          <w:szCs w:val="16"/>
        </w:rPr>
        <w:t>38,</w:t>
      </w:r>
      <w:r>
        <w:rPr>
          <w:rFonts w:ascii="Verdana" w:hAnsi="Verdana" w:cs="Verdana"/>
          <w:b/>
          <w:sz w:val="16"/>
          <w:szCs w:val="16"/>
        </w:rPr>
        <w:t>23</w:t>
      </w:r>
      <w:r w:rsidRPr="000A6485">
        <w:rPr>
          <w:rFonts w:ascii="Verdana" w:hAnsi="Verdana" w:cs="Verdana"/>
          <w:b/>
          <w:sz w:val="16"/>
          <w:szCs w:val="16"/>
        </w:rPr>
        <w:t>%</w:t>
      </w:r>
      <w:r w:rsidRPr="000A6485">
        <w:rPr>
          <w:rFonts w:ascii="Verdana" w:hAnsi="Verdana" w:cs="Verdana"/>
          <w:sz w:val="16"/>
          <w:szCs w:val="16"/>
        </w:rPr>
        <w:t xml:space="preserve"> w 20</w:t>
      </w:r>
      <w:r>
        <w:rPr>
          <w:rFonts w:ascii="Verdana" w:hAnsi="Verdana" w:cs="Verdana"/>
          <w:sz w:val="16"/>
          <w:szCs w:val="16"/>
        </w:rPr>
        <w:t>21</w:t>
      </w:r>
      <w:r w:rsidRPr="000A6485">
        <w:rPr>
          <w:rFonts w:ascii="Verdana" w:hAnsi="Verdana" w:cs="Verdana"/>
          <w:sz w:val="16"/>
          <w:szCs w:val="16"/>
        </w:rPr>
        <w:t xml:space="preserve"> r. do </w:t>
      </w:r>
      <w:r w:rsidRPr="000A6485">
        <w:rPr>
          <w:rFonts w:ascii="Verdana" w:hAnsi="Verdana" w:cs="Verdana"/>
          <w:b/>
          <w:sz w:val="16"/>
          <w:szCs w:val="16"/>
        </w:rPr>
        <w:t>38,</w:t>
      </w:r>
      <w:r>
        <w:rPr>
          <w:rFonts w:ascii="Verdana" w:hAnsi="Verdana" w:cs="Verdana"/>
          <w:b/>
          <w:sz w:val="16"/>
          <w:szCs w:val="16"/>
        </w:rPr>
        <w:t>34</w:t>
      </w:r>
      <w:r w:rsidRPr="000A6485">
        <w:rPr>
          <w:rFonts w:ascii="Verdana" w:hAnsi="Verdana" w:cs="Verdana"/>
          <w:b/>
          <w:sz w:val="16"/>
          <w:szCs w:val="16"/>
        </w:rPr>
        <w:t>%</w:t>
      </w:r>
      <w:r w:rsidRPr="000A6485">
        <w:rPr>
          <w:rFonts w:ascii="Verdana" w:hAnsi="Verdana" w:cs="Verdana"/>
          <w:sz w:val="16"/>
          <w:szCs w:val="16"/>
        </w:rPr>
        <w:t xml:space="preserve"> </w:t>
      </w:r>
      <w:r w:rsidRPr="000A6485">
        <w:rPr>
          <w:rFonts w:ascii="Verdana" w:hAnsi="Verdana" w:cs="Verdana"/>
          <w:sz w:val="16"/>
          <w:szCs w:val="16"/>
        </w:rPr>
        <w:br/>
        <w:t>w 202</w:t>
      </w:r>
      <w:r>
        <w:rPr>
          <w:rFonts w:ascii="Verdana" w:hAnsi="Verdana" w:cs="Verdana"/>
          <w:sz w:val="16"/>
          <w:szCs w:val="16"/>
        </w:rPr>
        <w:t>2</w:t>
      </w:r>
      <w:r w:rsidRPr="000A6485">
        <w:rPr>
          <w:rFonts w:ascii="Verdana" w:hAnsi="Verdana" w:cs="Verdana"/>
          <w:sz w:val="16"/>
          <w:szCs w:val="16"/>
        </w:rPr>
        <w:t xml:space="preserve"> r. w związku ze zmian</w:t>
      </w:r>
      <w:r>
        <w:rPr>
          <w:rFonts w:ascii="Verdana" w:hAnsi="Verdana" w:cs="Verdana"/>
          <w:sz w:val="16"/>
          <w:szCs w:val="16"/>
        </w:rPr>
        <w:t>ą</w:t>
      </w:r>
      <w:r w:rsidRPr="000A6485">
        <w:rPr>
          <w:rFonts w:ascii="Verdana" w:hAnsi="Verdana" w:cs="Verdana"/>
          <w:sz w:val="16"/>
          <w:szCs w:val="16"/>
        </w:rPr>
        <w:t xml:space="preserve"> liczby pensjonariuszy </w:t>
      </w:r>
      <w:r>
        <w:rPr>
          <w:rFonts w:ascii="Verdana" w:hAnsi="Verdana" w:cs="Verdana"/>
          <w:sz w:val="16"/>
          <w:szCs w:val="16"/>
        </w:rPr>
        <w:t>przyjętych</w:t>
      </w:r>
      <w:r w:rsidRPr="000A6485">
        <w:rPr>
          <w:rFonts w:ascii="Verdana" w:hAnsi="Verdana" w:cs="Verdana"/>
          <w:sz w:val="16"/>
          <w:szCs w:val="16"/>
        </w:rPr>
        <w:t xml:space="preserve"> </w:t>
      </w:r>
      <w:r>
        <w:rPr>
          <w:rFonts w:ascii="Verdana" w:hAnsi="Verdana" w:cs="Verdana"/>
          <w:sz w:val="16"/>
          <w:szCs w:val="16"/>
        </w:rPr>
        <w:t xml:space="preserve">do </w:t>
      </w:r>
      <w:r w:rsidRPr="000A6485">
        <w:rPr>
          <w:rFonts w:ascii="Verdana" w:hAnsi="Verdana" w:cs="Verdana"/>
          <w:sz w:val="16"/>
          <w:szCs w:val="16"/>
        </w:rPr>
        <w:t>domów opieki społecznej</w:t>
      </w:r>
      <w:r>
        <w:rPr>
          <w:rFonts w:ascii="Verdana" w:hAnsi="Verdana" w:cs="Verdana"/>
          <w:sz w:val="16"/>
          <w:szCs w:val="16"/>
        </w:rPr>
        <w:t xml:space="preserve"> </w:t>
      </w:r>
      <w:r>
        <w:rPr>
          <w:rFonts w:ascii="Verdana" w:hAnsi="Verdana" w:cs="Verdana"/>
          <w:sz w:val="16"/>
          <w:szCs w:val="16"/>
          <w:lang w:eastAsia="ko-KR"/>
        </w:rPr>
        <w:t>przed dniem 1 </w:t>
      </w:r>
      <w:r w:rsidRPr="00011AAA">
        <w:rPr>
          <w:rFonts w:ascii="Verdana" w:hAnsi="Verdana" w:cs="Verdana"/>
          <w:sz w:val="16"/>
          <w:szCs w:val="16"/>
          <w:lang w:eastAsia="ko-KR"/>
        </w:rPr>
        <w:t>stycznia 2004 r</w:t>
      </w:r>
      <w:r>
        <w:rPr>
          <w:rFonts w:ascii="Verdana" w:hAnsi="Verdana" w:cs="Verdana"/>
          <w:sz w:val="16"/>
          <w:szCs w:val="16"/>
          <w:lang w:eastAsia="ko-KR"/>
        </w:rPr>
        <w:t>.</w:t>
      </w:r>
      <w:r w:rsidRPr="000A6485">
        <w:rPr>
          <w:rFonts w:ascii="Verdana" w:hAnsi="Verdana" w:cs="Verdana"/>
          <w:sz w:val="16"/>
          <w:szCs w:val="16"/>
        </w:rPr>
        <w:t xml:space="preserve">, w części powiatowej udział jest stały i wynosi </w:t>
      </w:r>
      <w:r w:rsidRPr="000A6485">
        <w:rPr>
          <w:rFonts w:ascii="Verdana" w:hAnsi="Verdana" w:cs="Verdana"/>
          <w:b/>
          <w:sz w:val="16"/>
          <w:szCs w:val="16"/>
        </w:rPr>
        <w:t>10,25%</w:t>
      </w:r>
      <w:r w:rsidRPr="000A6485">
        <w:rPr>
          <w:rFonts w:ascii="Verdana" w:hAnsi="Verdana" w:cs="Verdana"/>
          <w:sz w:val="16"/>
          <w:szCs w:val="16"/>
        </w:rPr>
        <w:t>.</w:t>
      </w:r>
    </w:p>
    <w:p w:rsidR="007F07DD" w:rsidRPr="000A6485" w:rsidRDefault="007F07DD" w:rsidP="007F07DD">
      <w:pPr>
        <w:pStyle w:val="Akapitzlist"/>
        <w:autoSpaceDE w:val="0"/>
        <w:autoSpaceDN w:val="0"/>
        <w:adjustRightInd w:val="0"/>
        <w:spacing w:before="120" w:after="120"/>
        <w:ind w:left="0"/>
        <w:contextualSpacing w:val="0"/>
        <w:jc w:val="both"/>
        <w:rPr>
          <w:rFonts w:ascii="Verdana" w:hAnsi="Verdana" w:cs="Verdana"/>
          <w:sz w:val="16"/>
          <w:szCs w:val="16"/>
        </w:rPr>
      </w:pPr>
      <w:r w:rsidRPr="000A6485">
        <w:rPr>
          <w:rFonts w:ascii="Verdana" w:hAnsi="Verdana" w:cs="Verdana"/>
          <w:sz w:val="16"/>
          <w:szCs w:val="16"/>
        </w:rPr>
        <w:t>Wskaźnik udziału podatku należnego odprowadzonego od podatników zamieszkałych na terenie m.st. Warszawy w podatku na</w:t>
      </w:r>
      <w:r>
        <w:rPr>
          <w:rFonts w:ascii="Verdana" w:hAnsi="Verdana" w:cs="Verdana"/>
          <w:sz w:val="16"/>
          <w:szCs w:val="16"/>
        </w:rPr>
        <w:t>leżnym dla kraju wynosi dla 2022</w:t>
      </w:r>
      <w:r w:rsidRPr="000A6485">
        <w:rPr>
          <w:rFonts w:ascii="Verdana" w:hAnsi="Verdana" w:cs="Verdana"/>
          <w:sz w:val="16"/>
          <w:szCs w:val="16"/>
        </w:rPr>
        <w:t xml:space="preserve"> r. </w:t>
      </w:r>
      <w:r w:rsidRPr="000A6485">
        <w:rPr>
          <w:rFonts w:ascii="Verdana" w:hAnsi="Verdana" w:cs="Verdana"/>
          <w:b/>
          <w:sz w:val="16"/>
          <w:szCs w:val="16"/>
        </w:rPr>
        <w:t>11,</w:t>
      </w:r>
      <w:r>
        <w:rPr>
          <w:rFonts w:ascii="Verdana" w:hAnsi="Verdana" w:cs="Verdana"/>
          <w:b/>
          <w:sz w:val="16"/>
          <w:szCs w:val="16"/>
        </w:rPr>
        <w:t>644</w:t>
      </w:r>
      <w:r w:rsidRPr="000A6485">
        <w:rPr>
          <w:rFonts w:ascii="Verdana" w:hAnsi="Verdana" w:cs="Verdana"/>
          <w:b/>
          <w:sz w:val="16"/>
          <w:szCs w:val="16"/>
        </w:rPr>
        <w:t>%</w:t>
      </w:r>
      <w:r w:rsidRPr="000A6485">
        <w:rPr>
          <w:rFonts w:ascii="Verdana" w:hAnsi="Verdana" w:cs="Verdana"/>
          <w:sz w:val="16"/>
          <w:szCs w:val="16"/>
        </w:rPr>
        <w:t xml:space="preserve"> wobec poziomu </w:t>
      </w:r>
      <w:r w:rsidRPr="000A6485">
        <w:rPr>
          <w:rFonts w:ascii="Verdana" w:hAnsi="Verdana" w:cs="Verdana"/>
          <w:b/>
          <w:sz w:val="16"/>
          <w:szCs w:val="16"/>
        </w:rPr>
        <w:t>11,</w:t>
      </w:r>
      <w:r>
        <w:rPr>
          <w:rFonts w:ascii="Verdana" w:hAnsi="Verdana" w:cs="Verdana"/>
          <w:b/>
          <w:sz w:val="16"/>
          <w:szCs w:val="16"/>
        </w:rPr>
        <w:t>534</w:t>
      </w:r>
      <w:r w:rsidRPr="000A6485">
        <w:rPr>
          <w:rFonts w:ascii="Verdana" w:hAnsi="Verdana" w:cs="Verdana"/>
          <w:b/>
          <w:sz w:val="16"/>
          <w:szCs w:val="16"/>
        </w:rPr>
        <w:t>%</w:t>
      </w:r>
      <w:r>
        <w:rPr>
          <w:rFonts w:ascii="Verdana" w:hAnsi="Verdana" w:cs="Verdana"/>
          <w:sz w:val="16"/>
          <w:szCs w:val="16"/>
        </w:rPr>
        <w:t xml:space="preserve"> w 2021</w:t>
      </w:r>
      <w:r w:rsidRPr="000A6485">
        <w:rPr>
          <w:rFonts w:ascii="Verdana" w:hAnsi="Verdana" w:cs="Verdana"/>
          <w:sz w:val="16"/>
          <w:szCs w:val="16"/>
        </w:rPr>
        <w:t xml:space="preserve"> r.</w:t>
      </w:r>
      <w:r>
        <w:rPr>
          <w:rFonts w:ascii="Verdana" w:hAnsi="Verdana" w:cs="Verdana"/>
          <w:sz w:val="16"/>
          <w:szCs w:val="16"/>
        </w:rPr>
        <w:t xml:space="preserve"> Udział ten został wyliczony wg nowych zasad zgodnie z nowelizacją</w:t>
      </w:r>
      <w:r w:rsidRPr="009232EB">
        <w:rPr>
          <w:rFonts w:ascii="Verdana" w:hAnsi="Verdana" w:cs="Verdana"/>
          <w:sz w:val="16"/>
          <w:szCs w:val="16"/>
        </w:rPr>
        <w:t xml:space="preserve"> z dnia 14 października 2021 r. ustawy o dochodach jednostek samorządu terytorialnego, zwanej ustawą o wsparciu jednostek samor</w:t>
      </w:r>
      <w:r>
        <w:rPr>
          <w:rFonts w:ascii="Verdana" w:hAnsi="Verdana" w:cs="Verdana"/>
          <w:sz w:val="16"/>
          <w:szCs w:val="16"/>
        </w:rPr>
        <w:t>ządu terytorialnego w związku z </w:t>
      </w:r>
      <w:r w:rsidRPr="009232EB">
        <w:rPr>
          <w:rFonts w:ascii="Verdana" w:hAnsi="Verdana" w:cs="Verdana"/>
          <w:sz w:val="16"/>
          <w:szCs w:val="16"/>
        </w:rPr>
        <w:t>Programem Polski Ład</w:t>
      </w:r>
      <w:r>
        <w:rPr>
          <w:rFonts w:ascii="Verdana" w:hAnsi="Verdana" w:cs="Verdana"/>
          <w:sz w:val="16"/>
          <w:szCs w:val="16"/>
        </w:rPr>
        <w:t>.</w:t>
      </w:r>
      <w:r w:rsidRPr="009232EB">
        <w:rPr>
          <w:rFonts w:ascii="Verdana" w:hAnsi="Verdana" w:cs="Verdana"/>
          <w:sz w:val="16"/>
          <w:szCs w:val="16"/>
        </w:rPr>
        <w:t xml:space="preserve"> Udział na 2022 r. został ustalony jako średnia ważona arytmetyczna z 3 lat obliczeniowych obejmujących: rok 2020, rok 2019 i rok 2018, odpowiednio z wagami 0,5, 0,33 i 0,17.</w:t>
      </w:r>
    </w:p>
    <w:p w:rsidR="007F07DD" w:rsidRDefault="007F07DD" w:rsidP="007F07DD">
      <w:pPr>
        <w:spacing w:before="120" w:after="120"/>
        <w:jc w:val="both"/>
        <w:rPr>
          <w:rFonts w:ascii="Verdana" w:hAnsi="Verdana"/>
          <w:sz w:val="18"/>
          <w:szCs w:val="18"/>
        </w:rPr>
      </w:pPr>
      <w:r>
        <w:rPr>
          <w:rFonts w:ascii="Verdana" w:hAnsi="Verdana"/>
          <w:sz w:val="16"/>
          <w:szCs w:val="16"/>
        </w:rPr>
        <w:t>W prognozie sporządzonej na kolejne lata w</w:t>
      </w:r>
      <w:r w:rsidRPr="00A4416D">
        <w:rPr>
          <w:rFonts w:ascii="Verdana" w:hAnsi="Verdana"/>
          <w:sz w:val="16"/>
          <w:szCs w:val="16"/>
        </w:rPr>
        <w:t xml:space="preserve">skaźniki partycypacji sektora samorządowego i </w:t>
      </w:r>
      <w:r>
        <w:rPr>
          <w:rFonts w:ascii="Verdana" w:hAnsi="Verdana"/>
          <w:sz w:val="16"/>
          <w:szCs w:val="16"/>
        </w:rPr>
        <w:t>m.st. Warszawy w dochodach z P</w:t>
      </w:r>
      <w:r w:rsidRPr="00A4416D">
        <w:rPr>
          <w:rFonts w:ascii="Verdana" w:hAnsi="Verdana"/>
          <w:sz w:val="16"/>
          <w:szCs w:val="16"/>
        </w:rPr>
        <w:t>T zostały przyjęte na poziomie oszacowanym przez Ministerstwo Finansów dla 2022 r.</w:t>
      </w:r>
    </w:p>
    <w:p w:rsidR="007F07DD" w:rsidRDefault="007F07DD" w:rsidP="007F07DD">
      <w:pPr>
        <w:spacing w:before="120" w:after="120"/>
        <w:jc w:val="both"/>
        <w:rPr>
          <w:rFonts w:ascii="Verdana" w:hAnsi="Verdana" w:cs="Verdana"/>
          <w:sz w:val="16"/>
          <w:szCs w:val="16"/>
        </w:rPr>
      </w:pPr>
      <w:r>
        <w:rPr>
          <w:rFonts w:ascii="Verdana" w:hAnsi="Verdana" w:cs="Verdana"/>
          <w:sz w:val="16"/>
          <w:szCs w:val="16"/>
        </w:rPr>
        <w:t>Nowelizacja</w:t>
      </w:r>
      <w:r w:rsidRPr="009232EB">
        <w:rPr>
          <w:rFonts w:ascii="Verdana" w:hAnsi="Verdana" w:cs="Verdana"/>
          <w:sz w:val="16"/>
          <w:szCs w:val="16"/>
        </w:rPr>
        <w:t xml:space="preserve"> z 14 października 2021 r. ustawy o dochodach jednostek samorządu terytorialnego, zwanej ustawą o wsparciu jednostek samor</w:t>
      </w:r>
      <w:r>
        <w:rPr>
          <w:rFonts w:ascii="Verdana" w:hAnsi="Verdana" w:cs="Verdana"/>
          <w:sz w:val="16"/>
          <w:szCs w:val="16"/>
        </w:rPr>
        <w:t>ządu terytorialnego w związku z </w:t>
      </w:r>
      <w:r w:rsidRPr="009232EB">
        <w:rPr>
          <w:rFonts w:ascii="Verdana" w:hAnsi="Verdana" w:cs="Verdana"/>
          <w:sz w:val="16"/>
          <w:szCs w:val="16"/>
        </w:rPr>
        <w:t>Programem Polski Ład</w:t>
      </w:r>
      <w:r>
        <w:rPr>
          <w:rFonts w:ascii="Verdana" w:hAnsi="Verdana" w:cs="Verdana"/>
          <w:sz w:val="16"/>
          <w:szCs w:val="16"/>
        </w:rPr>
        <w:t xml:space="preserve">, w przypadku gdyby, </w:t>
      </w:r>
      <w:r w:rsidRPr="00A14FD5">
        <w:rPr>
          <w:rFonts w:ascii="Verdana" w:hAnsi="Verdana" w:cs="Verdana"/>
          <w:sz w:val="16"/>
          <w:szCs w:val="16"/>
        </w:rPr>
        <w:t xml:space="preserve">wykonana ogólna kwota wpływów z PIT była inna od prognozowanej, </w:t>
      </w:r>
      <w:r>
        <w:rPr>
          <w:rFonts w:ascii="Verdana" w:hAnsi="Verdana" w:cs="Verdana"/>
          <w:sz w:val="16"/>
          <w:szCs w:val="16"/>
        </w:rPr>
        <w:t xml:space="preserve">przewiduje korektę prognozy dochodów </w:t>
      </w:r>
      <w:r w:rsidRPr="00A14FD5">
        <w:rPr>
          <w:rFonts w:ascii="Verdana" w:hAnsi="Verdana" w:cs="Verdana"/>
          <w:sz w:val="16"/>
          <w:szCs w:val="16"/>
        </w:rPr>
        <w:t>po dwóch latach od roku w którym różnica wystąpiła przez zwiększenie albo zmniej</w:t>
      </w:r>
      <w:r>
        <w:rPr>
          <w:rFonts w:ascii="Verdana" w:hAnsi="Verdana" w:cs="Verdana"/>
          <w:sz w:val="16"/>
          <w:szCs w:val="16"/>
        </w:rPr>
        <w:t>szenie planowanych dochodów z </w:t>
      </w:r>
      <w:r w:rsidRPr="00A14FD5">
        <w:rPr>
          <w:rFonts w:ascii="Verdana" w:hAnsi="Verdana" w:cs="Verdana"/>
          <w:sz w:val="16"/>
          <w:szCs w:val="16"/>
        </w:rPr>
        <w:t>tego tytułu o równowartość różnicy między kwotą prognozowaną a wykonaną.</w:t>
      </w:r>
    </w:p>
    <w:p w:rsidR="007F07DD" w:rsidRPr="000A6485" w:rsidRDefault="007F07DD" w:rsidP="007F07DD">
      <w:pPr>
        <w:spacing w:before="120" w:after="120"/>
        <w:jc w:val="both"/>
        <w:rPr>
          <w:rFonts w:ascii="Verdana" w:hAnsi="Verdana"/>
          <w:sz w:val="18"/>
          <w:szCs w:val="18"/>
        </w:rPr>
      </w:pPr>
      <w:r>
        <w:rPr>
          <w:rFonts w:ascii="Verdana" w:hAnsi="Verdana" w:cs="Verdana"/>
          <w:sz w:val="16"/>
          <w:szCs w:val="16"/>
        </w:rPr>
        <w:t>Wieloletnia Prognoza Finansowa m.st. Warszawy nie przewiduje ustawowej korekty prognozy z tytułu różnic pomiędzy prognozą i jej realizacją.</w:t>
      </w:r>
      <w:r w:rsidRPr="000A6485">
        <w:rPr>
          <w:rFonts w:ascii="Verdana" w:hAnsi="Verdana"/>
          <w:sz w:val="18"/>
          <w:szCs w:val="18"/>
        </w:rPr>
        <w:t xml:space="preserve"> </w:t>
      </w:r>
    </w:p>
    <w:p w:rsidR="007F07DD" w:rsidRDefault="007F07DD" w:rsidP="007F07DD">
      <w:pPr>
        <w:spacing w:before="240" w:after="240"/>
        <w:rPr>
          <w:rFonts w:ascii="Verdana" w:hAnsi="Verdana"/>
          <w:b/>
          <w:bCs/>
          <w:sz w:val="18"/>
          <w:szCs w:val="18"/>
        </w:rPr>
      </w:pPr>
      <w:r>
        <w:rPr>
          <w:rFonts w:ascii="Verdana" w:hAnsi="Verdana"/>
          <w:b/>
          <w:bCs/>
          <w:sz w:val="18"/>
          <w:szCs w:val="18"/>
        </w:rPr>
        <w:br w:type="page"/>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lastRenderedPageBreak/>
        <w:t>7.2.3.2 Prognoza dochodów z podatku dochodowego od osób prawnych CIT</w:t>
      </w:r>
    </w:p>
    <w:p w:rsidR="007F07DD" w:rsidRPr="000A6485" w:rsidRDefault="007F07DD" w:rsidP="007F07DD">
      <w:pPr>
        <w:tabs>
          <w:tab w:val="left" w:pos="0"/>
        </w:tabs>
        <w:spacing w:before="120" w:after="120"/>
        <w:ind w:firstLine="567"/>
        <w:jc w:val="both"/>
        <w:rPr>
          <w:rFonts w:ascii="Verdana" w:hAnsi="Verdana"/>
          <w:sz w:val="16"/>
          <w:szCs w:val="16"/>
        </w:rPr>
      </w:pPr>
      <w:r w:rsidRPr="000A6485">
        <w:rPr>
          <w:rFonts w:ascii="Verdana" w:hAnsi="Verdana"/>
          <w:sz w:val="16"/>
          <w:szCs w:val="16"/>
        </w:rPr>
        <w:t xml:space="preserve">Wykres nr </w:t>
      </w:r>
      <w:r>
        <w:rPr>
          <w:rFonts w:ascii="Verdana" w:hAnsi="Verdana"/>
          <w:sz w:val="16"/>
          <w:szCs w:val="16"/>
        </w:rPr>
        <w:t>20</w:t>
      </w:r>
      <w:r w:rsidRPr="000A6485">
        <w:rPr>
          <w:rFonts w:ascii="Verdana" w:hAnsi="Verdana"/>
          <w:sz w:val="16"/>
          <w:szCs w:val="16"/>
        </w:rPr>
        <w:t xml:space="preserve"> prezentuje prognozowane dochody z udziału w CIT w poszczególnych latach objętych Prognozą.</w:t>
      </w:r>
    </w:p>
    <w:p w:rsidR="007F07DD" w:rsidRPr="000A6485" w:rsidRDefault="007F07DD" w:rsidP="007F07DD">
      <w:pPr>
        <w:tabs>
          <w:tab w:val="left" w:pos="567"/>
        </w:tabs>
        <w:spacing w:before="120" w:after="60"/>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20</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w:t>
      </w:r>
      <w:r>
        <w:rPr>
          <w:rFonts w:ascii="Verdana" w:hAnsi="Verdana" w:cs="Arial"/>
          <w:b/>
          <w:bCs/>
          <w:sz w:val="14"/>
          <w:szCs w:val="14"/>
        </w:rPr>
        <w:t xml:space="preserve"> CIT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noProof/>
          <w:sz w:val="20"/>
          <w:szCs w:val="20"/>
        </w:rPr>
      </w:pPr>
      <w:r>
        <w:rPr>
          <w:rFonts w:ascii="Verdana" w:hAnsi="Verdana"/>
          <w:b/>
          <w:bCs/>
          <w:noProof/>
          <w:sz w:val="20"/>
          <w:szCs w:val="20"/>
        </w:rPr>
        <w:pict>
          <v:shape id="_x0000_i1039" type="#_x0000_t75" style="width:452.1pt;height:193.95pt">
            <v:imagedata r:id="rId33" o:title=""/>
          </v:shape>
        </w:pict>
      </w:r>
    </w:p>
    <w:p w:rsidR="007F07DD" w:rsidRDefault="007F07DD" w:rsidP="007F07DD">
      <w:pPr>
        <w:spacing w:before="60" w:after="60"/>
        <w:ind w:firstLine="540"/>
        <w:jc w:val="both"/>
        <w:rPr>
          <w:rFonts w:ascii="Verdana" w:hAnsi="Verdana"/>
          <w:sz w:val="16"/>
          <w:szCs w:val="16"/>
        </w:rPr>
      </w:pPr>
      <w:r w:rsidRPr="000A6485">
        <w:rPr>
          <w:rFonts w:ascii="Verdana" w:hAnsi="Verdana"/>
          <w:sz w:val="16"/>
          <w:szCs w:val="16"/>
        </w:rPr>
        <w:t>Prognozuje się, że wpływy m.st. Warszawy z CIT w okresie pierwszych pięciu lat prognozy tj. od 202</w:t>
      </w:r>
      <w:r>
        <w:rPr>
          <w:rFonts w:ascii="Verdana" w:hAnsi="Verdana"/>
          <w:sz w:val="16"/>
          <w:szCs w:val="16"/>
        </w:rPr>
        <w:t>2</w:t>
      </w:r>
      <w:r w:rsidRPr="000A6485">
        <w:rPr>
          <w:rFonts w:ascii="Verdana" w:hAnsi="Verdana"/>
          <w:sz w:val="16"/>
          <w:szCs w:val="16"/>
        </w:rPr>
        <w:t xml:space="preserve"> </w:t>
      </w:r>
      <w:r w:rsidRPr="000A6485">
        <w:rPr>
          <w:rFonts w:ascii="Verdana" w:hAnsi="Verdana"/>
          <w:sz w:val="16"/>
          <w:szCs w:val="16"/>
        </w:rPr>
        <w:br/>
        <w:t>do 202</w:t>
      </w:r>
      <w:r>
        <w:rPr>
          <w:rFonts w:ascii="Verdana" w:hAnsi="Verdana"/>
          <w:sz w:val="16"/>
          <w:szCs w:val="16"/>
        </w:rPr>
        <w:t>6</w:t>
      </w:r>
      <w:r w:rsidRPr="000A6485">
        <w:rPr>
          <w:rFonts w:ascii="Verdana" w:hAnsi="Verdana"/>
          <w:sz w:val="16"/>
          <w:szCs w:val="16"/>
        </w:rPr>
        <w:t xml:space="preserve"> r. wyniosą łącznie </w:t>
      </w:r>
      <w:r>
        <w:rPr>
          <w:rFonts w:ascii="Verdana" w:hAnsi="Verdana"/>
          <w:b/>
          <w:sz w:val="16"/>
          <w:szCs w:val="16"/>
        </w:rPr>
        <w:t>6,8</w:t>
      </w:r>
      <w:r w:rsidRPr="000A6485">
        <w:rPr>
          <w:rFonts w:ascii="Verdana" w:hAnsi="Verdana"/>
          <w:b/>
          <w:sz w:val="16"/>
          <w:szCs w:val="16"/>
        </w:rPr>
        <w:t xml:space="preserve"> mld zł</w:t>
      </w:r>
      <w:r w:rsidRPr="000A6485">
        <w:rPr>
          <w:rFonts w:ascii="Verdana" w:hAnsi="Verdana"/>
          <w:sz w:val="16"/>
          <w:szCs w:val="16"/>
        </w:rPr>
        <w:t xml:space="preserve">, co będzie stanowiło </w:t>
      </w:r>
      <w:r>
        <w:rPr>
          <w:rFonts w:ascii="Verdana" w:hAnsi="Verdana"/>
          <w:b/>
          <w:sz w:val="16"/>
          <w:szCs w:val="16"/>
        </w:rPr>
        <w:t>7,2</w:t>
      </w:r>
      <w:r w:rsidRPr="000A6485">
        <w:rPr>
          <w:rFonts w:ascii="Verdana" w:hAnsi="Verdana"/>
          <w:b/>
          <w:sz w:val="16"/>
          <w:szCs w:val="16"/>
        </w:rPr>
        <w:t>%</w:t>
      </w:r>
      <w:r w:rsidRPr="000A6485">
        <w:rPr>
          <w:rFonts w:ascii="Verdana" w:hAnsi="Verdana"/>
          <w:sz w:val="16"/>
          <w:szCs w:val="16"/>
        </w:rPr>
        <w:t xml:space="preserve"> planowanych do realizacji w tym okresie dochodów ogółem.</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21</w:t>
      </w:r>
      <w:r w:rsidRPr="000A6485">
        <w:rPr>
          <w:rFonts w:ascii="Verdana" w:hAnsi="Verdana"/>
          <w:sz w:val="16"/>
          <w:szCs w:val="16"/>
        </w:rPr>
        <w:t xml:space="preserve"> prezentuje procentową zmianę rok do roku wysokości dochodów z udziału w CIT </w:t>
      </w:r>
      <w:r w:rsidRPr="000A6485">
        <w:rPr>
          <w:rFonts w:ascii="Verdana" w:hAnsi="Verdana"/>
          <w:sz w:val="16"/>
          <w:szCs w:val="16"/>
        </w:rPr>
        <w:br/>
        <w:t>w poszczególnych latach objętych Prognozą.</w:t>
      </w:r>
    </w:p>
    <w:p w:rsidR="007F07DD" w:rsidRPr="000A6485" w:rsidRDefault="007F07DD" w:rsidP="007F07DD">
      <w:pPr>
        <w:spacing w:before="12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21</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Z CIT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40" type="#_x0000_t75" style="width:452.1pt;height:193.95pt">
            <v:imagedata r:id="rId34" o:title=""/>
          </v:shape>
        </w:pict>
      </w:r>
    </w:p>
    <w:p w:rsidR="007F07DD" w:rsidRDefault="007F07DD" w:rsidP="007F07DD">
      <w:pPr>
        <w:spacing w:before="120" w:after="120"/>
        <w:ind w:firstLine="540"/>
        <w:jc w:val="both"/>
        <w:rPr>
          <w:rFonts w:ascii="Verdana" w:hAnsi="Verdana"/>
          <w:sz w:val="16"/>
          <w:szCs w:val="16"/>
        </w:rPr>
      </w:pPr>
    </w:p>
    <w:p w:rsidR="007F07DD" w:rsidRDefault="007F07DD" w:rsidP="007F07DD">
      <w:pPr>
        <w:spacing w:before="60" w:after="60"/>
        <w:jc w:val="both"/>
        <w:rPr>
          <w:rFonts w:ascii="Verdana" w:hAnsi="Verdana" w:cs="Verdana"/>
          <w:sz w:val="16"/>
          <w:szCs w:val="16"/>
          <w:lang w:eastAsia="ko-KR"/>
        </w:rPr>
      </w:pPr>
      <w:r>
        <w:rPr>
          <w:rFonts w:ascii="Verdana" w:hAnsi="Verdana" w:cs="Verdana"/>
          <w:sz w:val="16"/>
          <w:szCs w:val="16"/>
          <w:lang w:eastAsia="ko-KR"/>
        </w:rPr>
        <w:t xml:space="preserve">Wieloletnia Prognoza Finansowa na lata 2022-2050 w zakresie wpływów z </w:t>
      </w:r>
      <w:r w:rsidRPr="00EC2B78">
        <w:rPr>
          <w:rFonts w:ascii="Verdana" w:hAnsi="Verdana" w:cs="Verdana"/>
          <w:sz w:val="16"/>
          <w:szCs w:val="16"/>
          <w:lang w:eastAsia="ko-KR"/>
        </w:rPr>
        <w:t xml:space="preserve">podatku dochodowego od osób </w:t>
      </w:r>
      <w:r>
        <w:rPr>
          <w:rFonts w:ascii="Verdana" w:hAnsi="Verdana" w:cs="Verdana"/>
          <w:sz w:val="16"/>
          <w:szCs w:val="16"/>
          <w:lang w:eastAsia="ko-KR"/>
        </w:rPr>
        <w:t>prawnych C</w:t>
      </w:r>
      <w:r w:rsidRPr="00EC2B78">
        <w:rPr>
          <w:rFonts w:ascii="Verdana" w:hAnsi="Verdana" w:cs="Verdana"/>
          <w:sz w:val="16"/>
          <w:szCs w:val="16"/>
          <w:lang w:eastAsia="ko-KR"/>
        </w:rPr>
        <w:t>IT</w:t>
      </w:r>
      <w:r>
        <w:rPr>
          <w:rFonts w:ascii="Verdana" w:hAnsi="Verdana" w:cs="Verdana"/>
          <w:sz w:val="16"/>
          <w:szCs w:val="16"/>
          <w:lang w:eastAsia="ko-KR"/>
        </w:rPr>
        <w:t>, analogicznie do prognozy dochodów z PIT, została przygotowana w warunkach gruntownej zmiany zasad ustalania dochodów w tym związanej z nowelizacją</w:t>
      </w:r>
      <w:r w:rsidRPr="005B7485">
        <w:rPr>
          <w:rFonts w:ascii="Verdana" w:hAnsi="Verdana" w:cs="Verdana"/>
          <w:sz w:val="16"/>
          <w:szCs w:val="16"/>
          <w:lang w:eastAsia="ko-KR"/>
        </w:rPr>
        <w:t xml:space="preserve"> z dnia 14 października 2021 r.</w:t>
      </w:r>
      <w:r>
        <w:rPr>
          <w:rFonts w:ascii="Verdana" w:hAnsi="Verdana" w:cs="Verdana"/>
          <w:sz w:val="16"/>
          <w:szCs w:val="16"/>
          <w:lang w:eastAsia="ko-KR"/>
        </w:rPr>
        <w:t xml:space="preserve"> </w:t>
      </w:r>
      <w:r w:rsidRPr="005B7485">
        <w:rPr>
          <w:rFonts w:ascii="Verdana" w:hAnsi="Verdana" w:cs="Verdana"/>
          <w:sz w:val="16"/>
          <w:szCs w:val="16"/>
          <w:lang w:eastAsia="ko-KR"/>
        </w:rPr>
        <w:t>ustawy o dochodach jednostek samorządu terytorialnego</w:t>
      </w:r>
      <w:r>
        <w:rPr>
          <w:rFonts w:ascii="Verdana" w:hAnsi="Verdana" w:cs="Verdana"/>
          <w:sz w:val="16"/>
          <w:szCs w:val="16"/>
          <w:lang w:eastAsia="ko-KR"/>
        </w:rPr>
        <w:t>.</w:t>
      </w:r>
    </w:p>
    <w:p w:rsidR="007F07DD" w:rsidRPr="0064397A" w:rsidRDefault="007F07DD" w:rsidP="007F07DD">
      <w:pPr>
        <w:spacing w:before="60" w:after="60"/>
        <w:jc w:val="both"/>
        <w:rPr>
          <w:rFonts w:ascii="Verdana" w:hAnsi="Verdana" w:cs="Verdana"/>
          <w:sz w:val="16"/>
          <w:szCs w:val="16"/>
          <w:lang w:eastAsia="ko-KR"/>
        </w:rPr>
      </w:pPr>
      <w:r>
        <w:rPr>
          <w:rFonts w:ascii="Verdana" w:hAnsi="Verdana" w:cs="Verdana"/>
          <w:sz w:val="16"/>
          <w:szCs w:val="16"/>
          <w:lang w:eastAsia="ko-KR"/>
        </w:rPr>
        <w:lastRenderedPageBreak/>
        <w:t>Zgodnie z wspomnianą nowelizacją począwszy od roku budżetowego 2022 r. ustalanie prognozy dochodów z CIT Miasta na rok budżetowy leży w kompetencjach Ministra Finansów. Ustalona przez MF roczna kwota dochodów będzie przekazywana do budżetu miasta w roku budżetowym w równych 12 miesięcznych ratach.</w:t>
      </w:r>
    </w:p>
    <w:p w:rsidR="007F07DD" w:rsidRDefault="007F07DD" w:rsidP="007F07DD">
      <w:pPr>
        <w:spacing w:before="60" w:after="60"/>
        <w:jc w:val="both"/>
        <w:rPr>
          <w:rFonts w:ascii="Verdana" w:hAnsi="Verdana" w:cs="Verdana"/>
          <w:sz w:val="16"/>
          <w:szCs w:val="16"/>
          <w:lang w:eastAsia="ko-KR"/>
        </w:rPr>
      </w:pPr>
      <w:r>
        <w:rPr>
          <w:rFonts w:ascii="Verdana" w:hAnsi="Verdana" w:cs="Verdana"/>
          <w:sz w:val="16"/>
          <w:szCs w:val="16"/>
          <w:lang w:eastAsia="ko-KR"/>
        </w:rPr>
        <w:t>Prognozę dochodów z CIT Miasta na kolejne lata, w perspektywie określonej w WPF sporządzają samodzielnie JST.</w:t>
      </w:r>
    </w:p>
    <w:p w:rsidR="007F07DD" w:rsidRDefault="007F07DD" w:rsidP="007F07DD">
      <w:pPr>
        <w:spacing w:before="60" w:after="60"/>
        <w:jc w:val="both"/>
        <w:rPr>
          <w:rFonts w:ascii="Verdana" w:hAnsi="Verdana"/>
          <w:sz w:val="16"/>
          <w:szCs w:val="16"/>
        </w:rPr>
      </w:pPr>
      <w:r w:rsidRPr="000A6485">
        <w:rPr>
          <w:rFonts w:ascii="Verdana" w:hAnsi="Verdana"/>
          <w:sz w:val="16"/>
          <w:szCs w:val="16"/>
        </w:rPr>
        <w:t xml:space="preserve">Dochody z CIT są drugim obok wpływów z PIT źródłem dochodów pochodzących z udziałów w podatkach stanowiących dochód budżetu państwa. W wyniku pogorszenia się koniunktury gospodarczej nastąpił znaczący spadek wpływów z CIT z poziomu </w:t>
      </w:r>
      <w:r w:rsidRPr="000A6485">
        <w:rPr>
          <w:rFonts w:ascii="Verdana" w:hAnsi="Verdana"/>
          <w:b/>
          <w:sz w:val="16"/>
          <w:szCs w:val="16"/>
        </w:rPr>
        <w:t>811 mln zł</w:t>
      </w:r>
      <w:r w:rsidRPr="000A6485">
        <w:rPr>
          <w:rFonts w:ascii="Verdana" w:hAnsi="Verdana"/>
          <w:sz w:val="16"/>
          <w:szCs w:val="16"/>
        </w:rPr>
        <w:t xml:space="preserve"> w 2008 r. do </w:t>
      </w:r>
      <w:r w:rsidRPr="000A6485">
        <w:rPr>
          <w:rFonts w:ascii="Verdana" w:hAnsi="Verdana"/>
          <w:b/>
          <w:sz w:val="16"/>
          <w:szCs w:val="16"/>
        </w:rPr>
        <w:t>535 mln zł</w:t>
      </w:r>
      <w:r w:rsidRPr="000A6485">
        <w:rPr>
          <w:rFonts w:ascii="Verdana" w:hAnsi="Verdana"/>
          <w:sz w:val="16"/>
          <w:szCs w:val="16"/>
        </w:rPr>
        <w:t xml:space="preserve"> w 2010 r. Po odnotowaniu wzrostu </w:t>
      </w:r>
      <w:r w:rsidRPr="000A6485">
        <w:rPr>
          <w:rFonts w:ascii="Verdana" w:hAnsi="Verdana"/>
          <w:sz w:val="16"/>
          <w:szCs w:val="16"/>
        </w:rPr>
        <w:br/>
        <w:t>w 2011 r. (</w:t>
      </w:r>
      <w:r w:rsidRPr="000A6485">
        <w:rPr>
          <w:rFonts w:ascii="Verdana" w:hAnsi="Verdana"/>
          <w:b/>
          <w:sz w:val="16"/>
          <w:szCs w:val="16"/>
        </w:rPr>
        <w:t>585 mln zł</w:t>
      </w:r>
      <w:r w:rsidRPr="000A6485">
        <w:rPr>
          <w:rFonts w:ascii="Verdana" w:hAnsi="Verdana"/>
          <w:sz w:val="16"/>
          <w:szCs w:val="16"/>
        </w:rPr>
        <w:t xml:space="preserve">) w następnych trzech latach, tj. 2012-2014, obserwowano spadek wpływów </w:t>
      </w:r>
      <w:r w:rsidRPr="000A6485">
        <w:rPr>
          <w:rFonts w:ascii="Verdana" w:hAnsi="Verdana"/>
          <w:sz w:val="16"/>
          <w:szCs w:val="16"/>
        </w:rPr>
        <w:br/>
        <w:t xml:space="preserve">(do poziomu odpowiednio </w:t>
      </w:r>
      <w:r w:rsidRPr="000A6485">
        <w:rPr>
          <w:rFonts w:ascii="Verdana" w:hAnsi="Verdana"/>
          <w:b/>
          <w:sz w:val="16"/>
          <w:szCs w:val="16"/>
        </w:rPr>
        <w:t>537</w:t>
      </w:r>
      <w:r w:rsidRPr="000A6485">
        <w:rPr>
          <w:rFonts w:ascii="Verdana" w:hAnsi="Verdana"/>
          <w:sz w:val="16"/>
          <w:szCs w:val="16"/>
        </w:rPr>
        <w:t xml:space="preserve">, </w:t>
      </w:r>
      <w:r w:rsidRPr="000A6485">
        <w:rPr>
          <w:rFonts w:ascii="Verdana" w:hAnsi="Verdana"/>
          <w:b/>
          <w:sz w:val="16"/>
          <w:szCs w:val="16"/>
        </w:rPr>
        <w:t>468</w:t>
      </w:r>
      <w:r w:rsidRPr="000A6485">
        <w:rPr>
          <w:rFonts w:ascii="Verdana" w:hAnsi="Verdana"/>
          <w:sz w:val="16"/>
          <w:szCs w:val="16"/>
        </w:rPr>
        <w:t xml:space="preserve"> i </w:t>
      </w:r>
      <w:r w:rsidRPr="000A6485">
        <w:rPr>
          <w:rFonts w:ascii="Verdana" w:hAnsi="Verdana"/>
          <w:b/>
          <w:sz w:val="16"/>
          <w:szCs w:val="16"/>
        </w:rPr>
        <w:t>524 mln zł</w:t>
      </w:r>
      <w:r w:rsidRPr="000A6485">
        <w:rPr>
          <w:rFonts w:ascii="Verdana" w:hAnsi="Verdana"/>
          <w:sz w:val="16"/>
          <w:szCs w:val="16"/>
        </w:rPr>
        <w:t>). Wzrost dochodów w latach 2015-20</w:t>
      </w:r>
      <w:r>
        <w:rPr>
          <w:rFonts w:ascii="Verdana" w:hAnsi="Verdana"/>
          <w:sz w:val="16"/>
          <w:szCs w:val="16"/>
        </w:rPr>
        <w:t>20</w:t>
      </w:r>
      <w:r w:rsidRPr="000A6485">
        <w:rPr>
          <w:rFonts w:ascii="Verdana" w:hAnsi="Verdana"/>
          <w:sz w:val="16"/>
          <w:szCs w:val="16"/>
        </w:rPr>
        <w:t xml:space="preserve"> kolejno do poziomu </w:t>
      </w:r>
      <w:r w:rsidRPr="000A6485">
        <w:rPr>
          <w:rFonts w:ascii="Verdana" w:hAnsi="Verdana"/>
          <w:b/>
          <w:sz w:val="16"/>
          <w:szCs w:val="16"/>
        </w:rPr>
        <w:t>587 mln zł</w:t>
      </w:r>
      <w:r w:rsidRPr="000A6485">
        <w:rPr>
          <w:rFonts w:ascii="Verdana" w:hAnsi="Verdana"/>
          <w:sz w:val="16"/>
          <w:szCs w:val="16"/>
        </w:rPr>
        <w:t xml:space="preserve">, </w:t>
      </w:r>
      <w:r w:rsidRPr="000A6485">
        <w:rPr>
          <w:rFonts w:ascii="Verdana" w:hAnsi="Verdana"/>
          <w:b/>
          <w:sz w:val="16"/>
          <w:szCs w:val="16"/>
        </w:rPr>
        <w:t>617 mln zł</w:t>
      </w:r>
      <w:r w:rsidRPr="000A6485">
        <w:rPr>
          <w:rFonts w:ascii="Verdana" w:hAnsi="Verdana"/>
          <w:sz w:val="16"/>
          <w:szCs w:val="16"/>
        </w:rPr>
        <w:t xml:space="preserve">, </w:t>
      </w:r>
      <w:r w:rsidRPr="000A6485">
        <w:rPr>
          <w:rFonts w:ascii="Verdana" w:hAnsi="Verdana"/>
          <w:b/>
          <w:sz w:val="16"/>
          <w:szCs w:val="16"/>
        </w:rPr>
        <w:t>724 mln zł</w:t>
      </w:r>
      <w:r>
        <w:rPr>
          <w:rFonts w:ascii="Verdana" w:hAnsi="Verdana"/>
          <w:sz w:val="16"/>
          <w:szCs w:val="16"/>
        </w:rPr>
        <w:t xml:space="preserve">, </w:t>
      </w:r>
      <w:r w:rsidRPr="000A6485">
        <w:rPr>
          <w:rFonts w:ascii="Verdana" w:hAnsi="Verdana"/>
          <w:b/>
          <w:sz w:val="16"/>
          <w:szCs w:val="16"/>
        </w:rPr>
        <w:t>906 mln zł</w:t>
      </w:r>
      <w:r>
        <w:rPr>
          <w:rFonts w:ascii="Verdana" w:hAnsi="Verdana"/>
          <w:b/>
          <w:sz w:val="16"/>
          <w:szCs w:val="16"/>
        </w:rPr>
        <w:t xml:space="preserve">, 975 </w:t>
      </w:r>
      <w:r w:rsidRPr="000A6485">
        <w:rPr>
          <w:rFonts w:ascii="Verdana" w:hAnsi="Verdana"/>
          <w:b/>
          <w:sz w:val="16"/>
          <w:szCs w:val="16"/>
        </w:rPr>
        <w:t>mln zł</w:t>
      </w:r>
      <w:r>
        <w:rPr>
          <w:rFonts w:ascii="Verdana" w:hAnsi="Verdana"/>
          <w:b/>
          <w:sz w:val="16"/>
          <w:szCs w:val="16"/>
        </w:rPr>
        <w:t xml:space="preserve"> i 1.016 mln zł</w:t>
      </w:r>
      <w:r w:rsidRPr="000A6485">
        <w:rPr>
          <w:rFonts w:ascii="Verdana" w:hAnsi="Verdana"/>
          <w:b/>
          <w:sz w:val="16"/>
          <w:szCs w:val="16"/>
        </w:rPr>
        <w:t xml:space="preserve"> </w:t>
      </w:r>
      <w:r w:rsidRPr="000A6485">
        <w:rPr>
          <w:rFonts w:ascii="Verdana" w:hAnsi="Verdana"/>
          <w:sz w:val="16"/>
          <w:szCs w:val="16"/>
        </w:rPr>
        <w:t xml:space="preserve">oznaczał powrót na ścieżkę wzrostu dochodów z tego tytułu. </w:t>
      </w:r>
      <w:r>
        <w:rPr>
          <w:rFonts w:ascii="Verdana" w:hAnsi="Verdana"/>
          <w:sz w:val="16"/>
          <w:szCs w:val="16"/>
        </w:rPr>
        <w:t>Przewidywane wykonanie dochodów z tego źródła w</w:t>
      </w:r>
      <w:r w:rsidRPr="000A6485">
        <w:rPr>
          <w:rFonts w:ascii="Verdana" w:hAnsi="Verdana"/>
          <w:sz w:val="16"/>
          <w:szCs w:val="16"/>
        </w:rPr>
        <w:t xml:space="preserve"> 20</w:t>
      </w:r>
      <w:r>
        <w:rPr>
          <w:rFonts w:ascii="Verdana" w:hAnsi="Verdana"/>
          <w:sz w:val="16"/>
          <w:szCs w:val="16"/>
        </w:rPr>
        <w:t>21</w:t>
      </w:r>
      <w:r w:rsidRPr="000A6485">
        <w:rPr>
          <w:rFonts w:ascii="Verdana" w:hAnsi="Verdana"/>
          <w:sz w:val="16"/>
          <w:szCs w:val="16"/>
        </w:rPr>
        <w:t xml:space="preserve"> r. przewiduje</w:t>
      </w:r>
      <w:r>
        <w:rPr>
          <w:rFonts w:ascii="Verdana" w:hAnsi="Verdana"/>
          <w:sz w:val="16"/>
          <w:szCs w:val="16"/>
        </w:rPr>
        <w:t xml:space="preserve"> zatrzymanie trendu wzrostowego i uzyskanie dochodów na poziomie nieznacznie wyższym niż w 2020 r, tj. w wys. </w:t>
      </w:r>
      <w:r>
        <w:rPr>
          <w:rFonts w:ascii="Verdana" w:hAnsi="Verdana"/>
          <w:b/>
          <w:sz w:val="16"/>
          <w:szCs w:val="16"/>
        </w:rPr>
        <w:t>1.020 </w:t>
      </w:r>
      <w:r w:rsidRPr="000A6485">
        <w:rPr>
          <w:rFonts w:ascii="Verdana" w:hAnsi="Verdana"/>
          <w:b/>
          <w:sz w:val="16"/>
          <w:szCs w:val="16"/>
        </w:rPr>
        <w:t>mln zł</w:t>
      </w:r>
      <w:r>
        <w:rPr>
          <w:rFonts w:ascii="Verdana" w:hAnsi="Verdana"/>
          <w:sz w:val="16"/>
          <w:szCs w:val="16"/>
        </w:rPr>
        <w:t xml:space="preserve"> przy planie dochodów ustalonym na poziomie </w:t>
      </w:r>
      <w:r w:rsidRPr="00AA2CA7">
        <w:rPr>
          <w:rFonts w:ascii="Verdana" w:hAnsi="Verdana"/>
          <w:b/>
          <w:sz w:val="16"/>
          <w:szCs w:val="16"/>
        </w:rPr>
        <w:t>905 mln zł</w:t>
      </w:r>
      <w:r>
        <w:rPr>
          <w:rFonts w:ascii="Verdana" w:hAnsi="Verdana"/>
          <w:sz w:val="16"/>
          <w:szCs w:val="16"/>
        </w:rPr>
        <w:t xml:space="preserve">. </w:t>
      </w:r>
    </w:p>
    <w:p w:rsidR="007F07DD" w:rsidRPr="0064397A" w:rsidRDefault="007F07DD" w:rsidP="007F07DD">
      <w:pPr>
        <w:spacing w:before="60" w:after="60"/>
        <w:jc w:val="both"/>
        <w:rPr>
          <w:rFonts w:ascii="Verdana" w:hAnsi="Verdana" w:cs="Verdana"/>
          <w:sz w:val="16"/>
          <w:szCs w:val="16"/>
          <w:lang w:eastAsia="ko-KR"/>
        </w:rPr>
      </w:pPr>
      <w:r>
        <w:rPr>
          <w:rFonts w:ascii="Verdana" w:hAnsi="Verdana" w:cs="Verdana"/>
          <w:sz w:val="16"/>
          <w:szCs w:val="16"/>
          <w:lang w:eastAsia="ko-KR"/>
        </w:rPr>
        <w:t>Zgodnie z nowelizacją</w:t>
      </w:r>
      <w:r w:rsidRPr="005B7485">
        <w:rPr>
          <w:rFonts w:ascii="Verdana" w:hAnsi="Verdana" w:cs="Verdana"/>
          <w:sz w:val="16"/>
          <w:szCs w:val="16"/>
          <w:lang w:eastAsia="ko-KR"/>
        </w:rPr>
        <w:t xml:space="preserve"> z 14 października 2021 r.</w:t>
      </w:r>
      <w:r>
        <w:rPr>
          <w:rFonts w:ascii="Verdana" w:hAnsi="Verdana" w:cs="Verdana"/>
          <w:sz w:val="16"/>
          <w:szCs w:val="16"/>
          <w:lang w:eastAsia="ko-KR"/>
        </w:rPr>
        <w:t xml:space="preserve"> </w:t>
      </w:r>
      <w:r w:rsidRPr="005B7485">
        <w:rPr>
          <w:rFonts w:ascii="Verdana" w:hAnsi="Verdana" w:cs="Verdana"/>
          <w:sz w:val="16"/>
          <w:szCs w:val="16"/>
          <w:lang w:eastAsia="ko-KR"/>
        </w:rPr>
        <w:t>ustawy o dochodach jednostek samorządu terytorialnego</w:t>
      </w:r>
      <w:r>
        <w:rPr>
          <w:rFonts w:ascii="Verdana" w:hAnsi="Verdana" w:cs="Verdana"/>
          <w:sz w:val="16"/>
          <w:szCs w:val="16"/>
          <w:lang w:eastAsia="ko-KR"/>
        </w:rPr>
        <w:t>, począwszy od roku budżetowego 2022 r. ustalanie prognozy dochodów z CIT Miasta na rok budżetowy 2022 leży w kompetencjach Ministra Finansów. Ustalona przez MF roczna kwota dochodów będzie przekazywana do budżetu miasta w 2022 r. w równych 12 miesięcznych ratach.</w:t>
      </w:r>
    </w:p>
    <w:p w:rsidR="007F07DD" w:rsidRPr="000A6485" w:rsidRDefault="007F07DD" w:rsidP="007F07DD">
      <w:pPr>
        <w:spacing w:before="60" w:after="60"/>
        <w:jc w:val="both"/>
        <w:rPr>
          <w:rFonts w:ascii="Verdana" w:hAnsi="Verdana"/>
          <w:sz w:val="16"/>
          <w:szCs w:val="16"/>
        </w:rPr>
      </w:pPr>
      <w:r>
        <w:rPr>
          <w:rFonts w:ascii="Verdana" w:hAnsi="Verdana"/>
          <w:sz w:val="16"/>
          <w:szCs w:val="16"/>
        </w:rPr>
        <w:t xml:space="preserve">Ministerstwo Finansów prognozuje, </w:t>
      </w:r>
      <w:r w:rsidRPr="000A6485">
        <w:rPr>
          <w:rFonts w:ascii="Verdana" w:hAnsi="Verdana"/>
          <w:sz w:val="16"/>
          <w:szCs w:val="16"/>
        </w:rPr>
        <w:t>że w 202</w:t>
      </w:r>
      <w:r>
        <w:rPr>
          <w:rFonts w:ascii="Verdana" w:hAnsi="Verdana"/>
          <w:sz w:val="16"/>
          <w:szCs w:val="16"/>
        </w:rPr>
        <w:t>2</w:t>
      </w:r>
      <w:r w:rsidRPr="000A6485">
        <w:rPr>
          <w:rFonts w:ascii="Verdana" w:hAnsi="Verdana"/>
          <w:sz w:val="16"/>
          <w:szCs w:val="16"/>
        </w:rPr>
        <w:t xml:space="preserve"> r. dochody z CIT</w:t>
      </w:r>
      <w:r>
        <w:rPr>
          <w:rFonts w:ascii="Verdana" w:hAnsi="Verdana"/>
          <w:sz w:val="16"/>
          <w:szCs w:val="16"/>
        </w:rPr>
        <w:t xml:space="preserve"> odnotują silny wzrost i wyniosą</w:t>
      </w:r>
      <w:r w:rsidRPr="000A6485">
        <w:rPr>
          <w:rFonts w:ascii="Verdana" w:hAnsi="Verdana"/>
          <w:sz w:val="16"/>
          <w:szCs w:val="16"/>
        </w:rPr>
        <w:t xml:space="preserve"> </w:t>
      </w:r>
      <w:r>
        <w:rPr>
          <w:rFonts w:ascii="Verdana" w:hAnsi="Verdana"/>
          <w:b/>
          <w:sz w:val="16"/>
          <w:szCs w:val="16"/>
        </w:rPr>
        <w:t>1.365 mln</w:t>
      </w:r>
      <w:r w:rsidRPr="000A6485">
        <w:rPr>
          <w:rFonts w:ascii="Verdana" w:hAnsi="Verdana"/>
          <w:b/>
          <w:sz w:val="16"/>
          <w:szCs w:val="16"/>
        </w:rPr>
        <w:t xml:space="preserve"> zł</w:t>
      </w:r>
      <w:r w:rsidRPr="000A6485">
        <w:rPr>
          <w:rFonts w:ascii="Verdana" w:hAnsi="Verdana"/>
          <w:sz w:val="16"/>
          <w:szCs w:val="16"/>
        </w:rPr>
        <w:t>.</w:t>
      </w:r>
    </w:p>
    <w:p w:rsidR="007F07DD" w:rsidRDefault="007F07DD" w:rsidP="007F07DD">
      <w:pPr>
        <w:spacing w:before="60" w:after="60"/>
        <w:jc w:val="both"/>
        <w:rPr>
          <w:rFonts w:ascii="Verdana" w:hAnsi="Verdana" w:cs="Verdana"/>
          <w:sz w:val="16"/>
          <w:szCs w:val="16"/>
          <w:lang w:eastAsia="ko-KR"/>
        </w:rPr>
      </w:pPr>
      <w:r>
        <w:rPr>
          <w:rFonts w:ascii="Verdana" w:hAnsi="Verdana" w:cs="Verdana"/>
          <w:sz w:val="16"/>
          <w:szCs w:val="16"/>
          <w:lang w:eastAsia="ko-KR"/>
        </w:rPr>
        <w:t>Prognozę dochodów z CIT Miasta na kolejne lata, w perspektywie określonej w WPF sporządzają samodzielnie JST.</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W metodologii prognozowania dochodów Warszawy z podatku dochodowego od osób prawnych wyróżnia się dwa czynniki oddziaływujące na wysokość uzyskiwanych środków:</w:t>
      </w:r>
    </w:p>
    <w:p w:rsidR="007F07DD" w:rsidRPr="000A6485" w:rsidRDefault="007F07DD" w:rsidP="007F07DD">
      <w:pPr>
        <w:numPr>
          <w:ilvl w:val="0"/>
          <w:numId w:val="8"/>
        </w:numPr>
        <w:tabs>
          <w:tab w:val="clear" w:pos="1080"/>
          <w:tab w:val="num" w:pos="360"/>
        </w:tabs>
        <w:spacing w:before="60" w:after="60"/>
        <w:ind w:left="360" w:hanging="180"/>
        <w:jc w:val="both"/>
        <w:rPr>
          <w:rFonts w:ascii="Verdana" w:hAnsi="Verdana"/>
          <w:sz w:val="16"/>
          <w:szCs w:val="16"/>
        </w:rPr>
      </w:pPr>
      <w:r w:rsidRPr="000A6485">
        <w:rPr>
          <w:rFonts w:ascii="Verdana" w:hAnsi="Verdana"/>
          <w:sz w:val="16"/>
          <w:szCs w:val="16"/>
        </w:rPr>
        <w:t>wpływy z CIT do budżetu państwa,</w:t>
      </w:r>
    </w:p>
    <w:p w:rsidR="007F07DD" w:rsidRDefault="007F07DD" w:rsidP="007F07DD">
      <w:pPr>
        <w:numPr>
          <w:ilvl w:val="0"/>
          <w:numId w:val="8"/>
        </w:numPr>
        <w:tabs>
          <w:tab w:val="clear" w:pos="1080"/>
          <w:tab w:val="num" w:pos="360"/>
        </w:tabs>
        <w:spacing w:before="60" w:after="60"/>
        <w:ind w:left="360" w:hanging="180"/>
        <w:jc w:val="both"/>
        <w:rPr>
          <w:rFonts w:ascii="Verdana" w:hAnsi="Verdana"/>
          <w:sz w:val="16"/>
          <w:szCs w:val="16"/>
        </w:rPr>
      </w:pPr>
      <w:r w:rsidRPr="000A6485">
        <w:rPr>
          <w:rFonts w:ascii="Verdana" w:hAnsi="Verdana"/>
          <w:sz w:val="16"/>
          <w:szCs w:val="16"/>
        </w:rPr>
        <w:t>udział m.st. Warszawy we wpływach z CIT do budżetu państwa.</w:t>
      </w:r>
    </w:p>
    <w:p w:rsidR="007F07DD" w:rsidRPr="00A4416D" w:rsidRDefault="007F07DD" w:rsidP="007F07DD">
      <w:pPr>
        <w:spacing w:before="60" w:after="60"/>
        <w:jc w:val="both"/>
        <w:rPr>
          <w:rFonts w:ascii="Verdana" w:hAnsi="Verdana" w:cs="Verdana"/>
          <w:sz w:val="16"/>
          <w:szCs w:val="16"/>
        </w:rPr>
      </w:pPr>
      <w:r w:rsidRPr="00A4416D">
        <w:rPr>
          <w:rFonts w:ascii="Verdana" w:hAnsi="Verdana" w:cs="Verdana"/>
          <w:sz w:val="16"/>
          <w:szCs w:val="16"/>
        </w:rPr>
        <w:t xml:space="preserve">Wysokość udziału we wpływach z CIT jest stała i wynosi w części gminnej – </w:t>
      </w:r>
      <w:r w:rsidRPr="00A4416D">
        <w:rPr>
          <w:rFonts w:ascii="Verdana" w:hAnsi="Verdana" w:cs="Verdana"/>
          <w:b/>
          <w:sz w:val="16"/>
          <w:szCs w:val="16"/>
        </w:rPr>
        <w:t>6,71%,</w:t>
      </w:r>
      <w:r w:rsidRPr="00A4416D">
        <w:rPr>
          <w:rFonts w:ascii="Verdana" w:hAnsi="Verdana" w:cs="Verdana"/>
          <w:sz w:val="16"/>
          <w:szCs w:val="16"/>
        </w:rPr>
        <w:t xml:space="preserve"> a w części powiatowej </w:t>
      </w:r>
      <w:r w:rsidRPr="00A4416D">
        <w:rPr>
          <w:rFonts w:ascii="Verdana" w:hAnsi="Verdana" w:cs="Verdana"/>
          <w:sz w:val="16"/>
          <w:szCs w:val="16"/>
        </w:rPr>
        <w:br/>
        <w:t xml:space="preserve">– </w:t>
      </w:r>
      <w:r w:rsidRPr="00A4416D">
        <w:rPr>
          <w:rFonts w:ascii="Verdana" w:hAnsi="Verdana" w:cs="Verdana"/>
          <w:b/>
          <w:sz w:val="16"/>
          <w:szCs w:val="16"/>
        </w:rPr>
        <w:t>1,40%</w:t>
      </w:r>
      <w:r w:rsidRPr="00A4416D">
        <w:rPr>
          <w:rFonts w:ascii="Verdana" w:hAnsi="Verdana" w:cs="Verdana"/>
          <w:sz w:val="16"/>
          <w:szCs w:val="16"/>
        </w:rPr>
        <w:t xml:space="preserve">, tj. łącznie udział dla m.st. Warszawy </w:t>
      </w:r>
      <w:r>
        <w:rPr>
          <w:rFonts w:ascii="Verdana" w:hAnsi="Verdana" w:cs="Verdana"/>
          <w:sz w:val="16"/>
          <w:szCs w:val="16"/>
        </w:rPr>
        <w:t xml:space="preserve">jako miasta na prawach powiatu </w:t>
      </w:r>
      <w:r w:rsidRPr="00A4416D">
        <w:rPr>
          <w:rFonts w:ascii="Verdana" w:hAnsi="Verdana" w:cs="Verdana"/>
          <w:sz w:val="16"/>
          <w:szCs w:val="16"/>
        </w:rPr>
        <w:t xml:space="preserve">wynosi </w:t>
      </w:r>
      <w:r w:rsidRPr="00A4416D">
        <w:rPr>
          <w:rFonts w:ascii="Verdana" w:hAnsi="Verdana" w:cs="Verdana"/>
          <w:b/>
          <w:sz w:val="16"/>
          <w:szCs w:val="16"/>
        </w:rPr>
        <w:t>8,11%.</w:t>
      </w:r>
    </w:p>
    <w:p w:rsidR="007F07DD" w:rsidRPr="00A4416D" w:rsidRDefault="007F07DD" w:rsidP="007F07DD">
      <w:pPr>
        <w:spacing w:before="60" w:after="60"/>
        <w:jc w:val="both"/>
        <w:rPr>
          <w:rFonts w:ascii="Verdana" w:hAnsi="Verdana"/>
          <w:sz w:val="16"/>
          <w:szCs w:val="16"/>
        </w:rPr>
      </w:pPr>
      <w:r>
        <w:rPr>
          <w:rFonts w:ascii="Verdana" w:hAnsi="Verdana" w:cs="Verdana"/>
          <w:sz w:val="16"/>
          <w:szCs w:val="16"/>
        </w:rPr>
        <w:t>Indywidualny u</w:t>
      </w:r>
      <w:r w:rsidRPr="00A4416D">
        <w:rPr>
          <w:rFonts w:ascii="Verdana" w:hAnsi="Verdana" w:cs="Verdana"/>
          <w:sz w:val="16"/>
          <w:szCs w:val="16"/>
        </w:rPr>
        <w:t>dział</w:t>
      </w:r>
      <w:r>
        <w:rPr>
          <w:rFonts w:ascii="Verdana" w:hAnsi="Verdana" w:cs="Verdana"/>
          <w:sz w:val="16"/>
          <w:szCs w:val="16"/>
        </w:rPr>
        <w:t xml:space="preserve"> m.st. Warszawy wynoszący </w:t>
      </w:r>
      <w:r w:rsidRPr="00A4416D">
        <w:rPr>
          <w:rFonts w:ascii="Verdana" w:hAnsi="Verdana" w:cs="Verdana"/>
          <w:b/>
          <w:sz w:val="16"/>
          <w:szCs w:val="16"/>
        </w:rPr>
        <w:t>25,37%</w:t>
      </w:r>
      <w:r>
        <w:rPr>
          <w:rFonts w:ascii="Verdana" w:hAnsi="Verdana" w:cs="Verdana"/>
          <w:sz w:val="16"/>
          <w:szCs w:val="16"/>
        </w:rPr>
        <w:t xml:space="preserve"> </w:t>
      </w:r>
      <w:r w:rsidRPr="00A4416D">
        <w:rPr>
          <w:rFonts w:ascii="Verdana" w:hAnsi="Verdana" w:cs="Verdana"/>
          <w:sz w:val="16"/>
          <w:szCs w:val="16"/>
        </w:rPr>
        <w:t>został wyliczony</w:t>
      </w:r>
      <w:r>
        <w:rPr>
          <w:rFonts w:ascii="Verdana" w:hAnsi="Verdana" w:cs="Verdana"/>
          <w:sz w:val="16"/>
          <w:szCs w:val="16"/>
        </w:rPr>
        <w:t xml:space="preserve"> przez Ministra Finansów</w:t>
      </w:r>
      <w:r w:rsidRPr="00A4416D">
        <w:rPr>
          <w:rFonts w:ascii="Verdana" w:hAnsi="Verdana" w:cs="Verdana"/>
          <w:sz w:val="16"/>
          <w:szCs w:val="16"/>
        </w:rPr>
        <w:t xml:space="preserve"> wg nowych zasad zgodnie z nowelizacją</w:t>
      </w:r>
      <w:r>
        <w:rPr>
          <w:rFonts w:ascii="Verdana" w:hAnsi="Verdana" w:cs="Verdana"/>
          <w:sz w:val="16"/>
          <w:szCs w:val="16"/>
        </w:rPr>
        <w:t xml:space="preserve"> z dnia 14 </w:t>
      </w:r>
      <w:r w:rsidRPr="00A4416D">
        <w:rPr>
          <w:rFonts w:ascii="Verdana" w:hAnsi="Verdana" w:cs="Verdana"/>
          <w:sz w:val="16"/>
          <w:szCs w:val="16"/>
        </w:rPr>
        <w:t>października 2021 r. ustawy o dochodach jednostek samorządu terytorialnego, zwanej ustawą o wsparciu jednostek samorządu terytorialnego w związku z Programem Polski Ład. Udział na 2022 r. został ustalony jako średnia ważona arytmetyczna z 3 lat obliczeniowych obejmujących: rok 2020, rok 2019 i rok 2018, odpowiednio z wagami 0,5, 0,33 i 0,17.</w:t>
      </w:r>
    </w:p>
    <w:p w:rsidR="007F07DD" w:rsidRPr="00A4416D" w:rsidRDefault="007F07DD" w:rsidP="007F07DD">
      <w:pPr>
        <w:spacing w:before="60" w:after="60"/>
        <w:jc w:val="both"/>
        <w:rPr>
          <w:rFonts w:ascii="Verdana" w:hAnsi="Verdana"/>
          <w:sz w:val="18"/>
          <w:szCs w:val="18"/>
        </w:rPr>
      </w:pPr>
      <w:r>
        <w:rPr>
          <w:rFonts w:ascii="Verdana" w:hAnsi="Verdana"/>
          <w:sz w:val="16"/>
          <w:szCs w:val="16"/>
        </w:rPr>
        <w:t>W prognozie sporządzonej na kolejne lata w</w:t>
      </w:r>
      <w:r w:rsidRPr="00A4416D">
        <w:rPr>
          <w:rFonts w:ascii="Verdana" w:hAnsi="Verdana"/>
          <w:sz w:val="16"/>
          <w:szCs w:val="16"/>
        </w:rPr>
        <w:t xml:space="preserve">skaźniki partycypacji sektora samorządowego i </w:t>
      </w:r>
      <w:r>
        <w:rPr>
          <w:rFonts w:ascii="Verdana" w:hAnsi="Verdana"/>
          <w:sz w:val="16"/>
          <w:szCs w:val="16"/>
        </w:rPr>
        <w:t>m.st. Warszawy w dochodach z C</w:t>
      </w:r>
      <w:r w:rsidRPr="00A4416D">
        <w:rPr>
          <w:rFonts w:ascii="Verdana" w:hAnsi="Verdana"/>
          <w:sz w:val="16"/>
          <w:szCs w:val="16"/>
        </w:rPr>
        <w:t>IT zostały przyjęte na poziomie oszacowanym przez Ministerstwo Finansów dla 2022 r.</w:t>
      </w:r>
      <w:r w:rsidRPr="00A4416D">
        <w:rPr>
          <w:rFonts w:ascii="Verdana" w:hAnsi="Verdana"/>
          <w:sz w:val="18"/>
          <w:szCs w:val="18"/>
        </w:rPr>
        <w:t xml:space="preserve"> </w:t>
      </w:r>
    </w:p>
    <w:p w:rsidR="007F07DD" w:rsidRDefault="007F07DD" w:rsidP="007F07DD">
      <w:pPr>
        <w:spacing w:before="60" w:after="60"/>
        <w:jc w:val="both"/>
        <w:rPr>
          <w:rFonts w:ascii="Verdana" w:hAnsi="Verdana" w:cs="Verdana"/>
          <w:sz w:val="16"/>
          <w:szCs w:val="16"/>
        </w:rPr>
      </w:pPr>
      <w:r w:rsidRPr="00433BE0">
        <w:rPr>
          <w:rFonts w:ascii="Verdana" w:hAnsi="Verdana" w:cs="Verdana"/>
          <w:sz w:val="16"/>
          <w:szCs w:val="16"/>
        </w:rPr>
        <w:t>Zakładane przez Ministerstwo Finansów utrzymanie dynamiki realnego wzrostu gospodarczego w najbliższych latach z lekką tendencją spadkową powinno przełożyć się na utrzymanie w latach następnych wpływów na stałym poziomie z 2021 r.</w:t>
      </w:r>
    </w:p>
    <w:p w:rsidR="007F07DD" w:rsidRDefault="007F07DD" w:rsidP="007F07DD">
      <w:pPr>
        <w:spacing w:before="60" w:after="60"/>
        <w:jc w:val="both"/>
        <w:rPr>
          <w:rFonts w:ascii="Verdana" w:hAnsi="Verdana" w:cs="Verdana"/>
          <w:sz w:val="16"/>
          <w:szCs w:val="16"/>
        </w:rPr>
      </w:pPr>
      <w:r>
        <w:rPr>
          <w:rFonts w:ascii="Verdana" w:hAnsi="Verdana" w:cs="Verdana"/>
          <w:sz w:val="16"/>
          <w:szCs w:val="16"/>
        </w:rPr>
        <w:t>Nowelizacja</w:t>
      </w:r>
      <w:r w:rsidRPr="009232EB">
        <w:rPr>
          <w:rFonts w:ascii="Verdana" w:hAnsi="Verdana" w:cs="Verdana"/>
          <w:sz w:val="16"/>
          <w:szCs w:val="16"/>
        </w:rPr>
        <w:t xml:space="preserve"> z 14 października 2021 r. ustawy o dochodach jednostek samorządu terytorialnego, zwanej ustawą o wsparciu jednostek samor</w:t>
      </w:r>
      <w:r>
        <w:rPr>
          <w:rFonts w:ascii="Verdana" w:hAnsi="Verdana" w:cs="Verdana"/>
          <w:sz w:val="16"/>
          <w:szCs w:val="16"/>
        </w:rPr>
        <w:t>ządu terytorialnego w związku z </w:t>
      </w:r>
      <w:r w:rsidRPr="009232EB">
        <w:rPr>
          <w:rFonts w:ascii="Verdana" w:hAnsi="Verdana" w:cs="Verdana"/>
          <w:sz w:val="16"/>
          <w:szCs w:val="16"/>
        </w:rPr>
        <w:t>Programem Polski Ład</w:t>
      </w:r>
      <w:r>
        <w:rPr>
          <w:rFonts w:ascii="Verdana" w:hAnsi="Verdana" w:cs="Verdana"/>
          <w:sz w:val="16"/>
          <w:szCs w:val="16"/>
        </w:rPr>
        <w:t xml:space="preserve">, w przypadku gdyby, </w:t>
      </w:r>
      <w:r w:rsidRPr="00A14FD5">
        <w:rPr>
          <w:rFonts w:ascii="Verdana" w:hAnsi="Verdana" w:cs="Verdana"/>
          <w:sz w:val="16"/>
          <w:szCs w:val="16"/>
        </w:rPr>
        <w:t xml:space="preserve">wykonana ogólna kwota wpływów z </w:t>
      </w:r>
      <w:r>
        <w:rPr>
          <w:rFonts w:ascii="Verdana" w:hAnsi="Verdana" w:cs="Verdana"/>
          <w:sz w:val="16"/>
          <w:szCs w:val="16"/>
        </w:rPr>
        <w:t>C</w:t>
      </w:r>
      <w:r w:rsidRPr="00A14FD5">
        <w:rPr>
          <w:rFonts w:ascii="Verdana" w:hAnsi="Verdana" w:cs="Verdana"/>
          <w:sz w:val="16"/>
          <w:szCs w:val="16"/>
        </w:rPr>
        <w:t xml:space="preserve">IT była inna od prognozowanej, </w:t>
      </w:r>
      <w:r>
        <w:rPr>
          <w:rFonts w:ascii="Verdana" w:hAnsi="Verdana" w:cs="Verdana"/>
          <w:sz w:val="16"/>
          <w:szCs w:val="16"/>
        </w:rPr>
        <w:t xml:space="preserve">przewiduje korektę prognozy dochodów </w:t>
      </w:r>
      <w:r w:rsidRPr="00A14FD5">
        <w:rPr>
          <w:rFonts w:ascii="Verdana" w:hAnsi="Verdana" w:cs="Verdana"/>
          <w:sz w:val="16"/>
          <w:szCs w:val="16"/>
        </w:rPr>
        <w:t>po dwóch latach od roku w którym różnica wystąpiła przez zwiększenie albo zmni</w:t>
      </w:r>
      <w:r>
        <w:rPr>
          <w:rFonts w:ascii="Verdana" w:hAnsi="Verdana" w:cs="Verdana"/>
          <w:sz w:val="16"/>
          <w:szCs w:val="16"/>
        </w:rPr>
        <w:t>ejszenie planowanych dochodów z </w:t>
      </w:r>
      <w:r w:rsidRPr="00A14FD5">
        <w:rPr>
          <w:rFonts w:ascii="Verdana" w:hAnsi="Verdana" w:cs="Verdana"/>
          <w:sz w:val="16"/>
          <w:szCs w:val="16"/>
        </w:rPr>
        <w:t>tego tytułu o równowartość różnicy między kwotą prognozowaną a wykonaną.</w:t>
      </w:r>
    </w:p>
    <w:p w:rsidR="007F07DD" w:rsidRDefault="007F07DD" w:rsidP="007F07DD">
      <w:pPr>
        <w:autoSpaceDE w:val="0"/>
        <w:autoSpaceDN w:val="0"/>
        <w:adjustRightInd w:val="0"/>
        <w:spacing w:before="60" w:after="60"/>
        <w:jc w:val="both"/>
        <w:rPr>
          <w:rFonts w:ascii="Verdana" w:hAnsi="Verdana" w:cs="Verdana"/>
          <w:sz w:val="16"/>
          <w:szCs w:val="16"/>
        </w:rPr>
      </w:pPr>
      <w:r>
        <w:rPr>
          <w:rFonts w:ascii="Verdana" w:hAnsi="Verdana" w:cs="Verdana"/>
          <w:sz w:val="16"/>
          <w:szCs w:val="16"/>
        </w:rPr>
        <w:t>Wieloletnia Prognoza Finansowa m.st. Warszawy nie przewiduje ustawowej korekty prognozy z tytułu różnic pomiędzy prognozą i jej realizacją.</w:t>
      </w:r>
      <w:r>
        <w:rPr>
          <w:rFonts w:ascii="Verdana" w:hAnsi="Verdana" w:cs="Verdana"/>
          <w:sz w:val="16"/>
          <w:szCs w:val="16"/>
        </w:rPr>
        <w:br w:type="page"/>
      </w:r>
    </w:p>
    <w:p w:rsidR="007F07DD" w:rsidRPr="000A6485" w:rsidRDefault="007F07DD" w:rsidP="007F07DD">
      <w:pPr>
        <w:spacing w:before="240" w:after="240"/>
        <w:ind w:left="1077" w:hanging="1077"/>
        <w:rPr>
          <w:rFonts w:ascii="Verdana" w:hAnsi="Verdana"/>
          <w:b/>
          <w:bCs/>
          <w:sz w:val="18"/>
          <w:szCs w:val="18"/>
        </w:rPr>
      </w:pPr>
      <w:r w:rsidRPr="000A6485">
        <w:rPr>
          <w:rFonts w:ascii="Verdana" w:hAnsi="Verdana"/>
          <w:b/>
          <w:bCs/>
          <w:sz w:val="18"/>
          <w:szCs w:val="18"/>
        </w:rPr>
        <w:lastRenderedPageBreak/>
        <w:t>7.2.3.3 Prognoza dochodów z subwencji ogólnej</w:t>
      </w:r>
    </w:p>
    <w:p w:rsidR="007F07DD" w:rsidRPr="000A6485" w:rsidRDefault="007F07DD" w:rsidP="007F07DD">
      <w:pPr>
        <w:tabs>
          <w:tab w:val="left" w:pos="0"/>
        </w:tabs>
        <w:spacing w:before="240" w:after="12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22</w:t>
      </w:r>
      <w:r w:rsidRPr="000A6485">
        <w:rPr>
          <w:rFonts w:ascii="Verdana" w:hAnsi="Verdana"/>
          <w:sz w:val="16"/>
          <w:szCs w:val="16"/>
        </w:rPr>
        <w:t xml:space="preserve"> prezentuje prognozowane dochody z subwencji ogólnej w poszczególnych latach objętych Prognozą.</w:t>
      </w:r>
    </w:p>
    <w:p w:rsidR="007F07DD" w:rsidRPr="000A6485" w:rsidRDefault="007F07DD" w:rsidP="007F07DD">
      <w:pPr>
        <w:tabs>
          <w:tab w:val="left" w:pos="720"/>
        </w:tabs>
        <w:spacing w:before="240" w:after="60" w:line="240" w:lineRule="auto"/>
        <w:ind w:left="720" w:hanging="720"/>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22</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 SUBWENCJI OGÓ</w:t>
      </w:r>
      <w:r>
        <w:rPr>
          <w:rFonts w:ascii="Verdana" w:hAnsi="Verdana" w:cs="Arial"/>
          <w:b/>
          <w:bCs/>
          <w:sz w:val="14"/>
          <w:szCs w:val="14"/>
        </w:rPr>
        <w:t xml:space="preserve">LNEJ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0"/>
          <w:szCs w:val="20"/>
        </w:rPr>
      </w:pPr>
      <w:r>
        <w:rPr>
          <w:rFonts w:ascii="Verdana" w:hAnsi="Verdana"/>
          <w:b/>
          <w:bCs/>
          <w:noProof/>
          <w:sz w:val="20"/>
          <w:szCs w:val="20"/>
        </w:rPr>
        <w:pict>
          <v:shape id="_x0000_i1041" type="#_x0000_t75" style="width:441.1pt;height:208.2pt">
            <v:imagedata r:id="rId35" o:title=""/>
          </v:shape>
        </w:pict>
      </w:r>
    </w:p>
    <w:p w:rsidR="007F07DD" w:rsidRDefault="007F07DD" w:rsidP="007F07DD">
      <w:pPr>
        <w:spacing w:before="240" w:after="60"/>
        <w:ind w:firstLine="539"/>
        <w:jc w:val="both"/>
        <w:rPr>
          <w:rFonts w:ascii="Verdana" w:hAnsi="Verdana"/>
          <w:sz w:val="16"/>
          <w:szCs w:val="16"/>
        </w:rPr>
      </w:pPr>
      <w:r w:rsidRPr="000A6485">
        <w:rPr>
          <w:rFonts w:ascii="Verdana" w:hAnsi="Verdana"/>
          <w:sz w:val="16"/>
          <w:szCs w:val="16"/>
        </w:rPr>
        <w:t>Prognozuje się, że wpływy m.st. Warszawy z subwencji ogólnej w okresie pierwszych</w:t>
      </w:r>
      <w:r>
        <w:rPr>
          <w:rFonts w:ascii="Verdana" w:hAnsi="Verdana"/>
          <w:sz w:val="16"/>
          <w:szCs w:val="16"/>
        </w:rPr>
        <w:t xml:space="preserve"> pięciu lat prognozy tj. od 2022 do 2026</w:t>
      </w:r>
      <w:r w:rsidRPr="000A6485">
        <w:rPr>
          <w:rFonts w:ascii="Verdana" w:hAnsi="Verdana"/>
          <w:sz w:val="16"/>
          <w:szCs w:val="16"/>
        </w:rPr>
        <w:t xml:space="preserve"> r. wyniosą łącznie </w:t>
      </w:r>
      <w:r>
        <w:rPr>
          <w:rFonts w:ascii="Verdana" w:hAnsi="Verdana"/>
          <w:b/>
          <w:sz w:val="16"/>
          <w:szCs w:val="16"/>
        </w:rPr>
        <w:t>14</w:t>
      </w:r>
      <w:r w:rsidRPr="000A6485">
        <w:rPr>
          <w:rFonts w:ascii="Verdana" w:hAnsi="Verdana"/>
          <w:b/>
          <w:sz w:val="16"/>
          <w:szCs w:val="16"/>
        </w:rPr>
        <w:t>,</w:t>
      </w:r>
      <w:r>
        <w:rPr>
          <w:rFonts w:ascii="Verdana" w:hAnsi="Verdana"/>
          <w:b/>
          <w:sz w:val="16"/>
          <w:szCs w:val="16"/>
        </w:rPr>
        <w:t>0</w:t>
      </w:r>
      <w:r w:rsidRPr="000A6485">
        <w:rPr>
          <w:rFonts w:ascii="Verdana" w:hAnsi="Verdana"/>
          <w:b/>
          <w:sz w:val="16"/>
          <w:szCs w:val="16"/>
        </w:rPr>
        <w:t xml:space="preserve"> mld zł</w:t>
      </w:r>
      <w:r w:rsidRPr="000A6485">
        <w:rPr>
          <w:rFonts w:ascii="Verdana" w:hAnsi="Verdana"/>
          <w:sz w:val="16"/>
          <w:szCs w:val="16"/>
        </w:rPr>
        <w:t xml:space="preserve">, co będzie stanowiło </w:t>
      </w:r>
      <w:r w:rsidRPr="000A6485">
        <w:rPr>
          <w:rFonts w:ascii="Verdana" w:hAnsi="Verdana"/>
          <w:b/>
          <w:sz w:val="16"/>
          <w:szCs w:val="16"/>
        </w:rPr>
        <w:t>1</w:t>
      </w:r>
      <w:r>
        <w:rPr>
          <w:rFonts w:ascii="Verdana" w:hAnsi="Verdana"/>
          <w:b/>
          <w:sz w:val="16"/>
          <w:szCs w:val="16"/>
        </w:rPr>
        <w:t>4,8</w:t>
      </w:r>
      <w:r w:rsidRPr="000A6485">
        <w:rPr>
          <w:rFonts w:ascii="Verdana" w:hAnsi="Verdana"/>
          <w:b/>
          <w:sz w:val="16"/>
          <w:szCs w:val="16"/>
        </w:rPr>
        <w:t>%</w:t>
      </w:r>
      <w:r w:rsidRPr="000A6485">
        <w:rPr>
          <w:rFonts w:ascii="Verdana" w:hAnsi="Verdana"/>
          <w:sz w:val="16"/>
          <w:szCs w:val="16"/>
        </w:rPr>
        <w:t xml:space="preserve"> planowanych do realizacji </w:t>
      </w:r>
      <w:r w:rsidRPr="000A6485">
        <w:rPr>
          <w:rFonts w:ascii="Verdana" w:hAnsi="Verdana"/>
          <w:sz w:val="16"/>
          <w:szCs w:val="16"/>
        </w:rPr>
        <w:br/>
        <w:t>w tym okresie dochodów ogółem.</w:t>
      </w:r>
    </w:p>
    <w:p w:rsidR="007F07DD" w:rsidRDefault="007F07DD" w:rsidP="007F07DD">
      <w:pPr>
        <w:spacing w:before="60" w:after="60"/>
        <w:ind w:firstLine="539"/>
        <w:jc w:val="both"/>
        <w:rPr>
          <w:rFonts w:ascii="Verdana" w:hAnsi="Verdana"/>
          <w:iCs/>
          <w:sz w:val="16"/>
          <w:szCs w:val="16"/>
        </w:rPr>
      </w:pPr>
      <w:r w:rsidRPr="00E700B8">
        <w:rPr>
          <w:rFonts w:ascii="Verdana" w:hAnsi="Verdana"/>
          <w:iCs/>
          <w:sz w:val="16"/>
          <w:szCs w:val="16"/>
        </w:rPr>
        <w:t xml:space="preserve">Kwota subwencji ogólnej w 2021 r. obejmuje </w:t>
      </w:r>
      <w:r w:rsidRPr="00377242">
        <w:rPr>
          <w:rFonts w:ascii="Verdana" w:hAnsi="Verdana"/>
          <w:b/>
          <w:iCs/>
          <w:sz w:val="16"/>
          <w:szCs w:val="16"/>
        </w:rPr>
        <w:t>jednorazową subwencję dodatkową</w:t>
      </w:r>
      <w:r>
        <w:rPr>
          <w:rFonts w:ascii="Verdana" w:hAnsi="Verdana"/>
          <w:iCs/>
          <w:sz w:val="16"/>
          <w:szCs w:val="16"/>
        </w:rPr>
        <w:t xml:space="preserve"> w kwocie </w:t>
      </w:r>
      <w:r>
        <w:rPr>
          <w:rFonts w:ascii="Verdana" w:hAnsi="Verdana"/>
          <w:iCs/>
          <w:sz w:val="16"/>
          <w:szCs w:val="16"/>
        </w:rPr>
        <w:br/>
      </w:r>
      <w:r w:rsidRPr="00377242">
        <w:rPr>
          <w:rFonts w:ascii="Verdana" w:hAnsi="Verdana"/>
          <w:b/>
          <w:iCs/>
          <w:sz w:val="16"/>
          <w:szCs w:val="16"/>
        </w:rPr>
        <w:t>468 mln zł</w:t>
      </w:r>
      <w:r>
        <w:rPr>
          <w:rFonts w:ascii="Verdana" w:hAnsi="Verdana"/>
          <w:iCs/>
          <w:sz w:val="16"/>
          <w:szCs w:val="16"/>
        </w:rPr>
        <w:t xml:space="preserve"> przekazaną w 2021 r.</w:t>
      </w:r>
      <w:r w:rsidRPr="00E700B8">
        <w:rPr>
          <w:rFonts w:ascii="Verdana" w:hAnsi="Verdana"/>
          <w:iCs/>
          <w:sz w:val="16"/>
          <w:szCs w:val="16"/>
        </w:rPr>
        <w:t xml:space="preserve"> </w:t>
      </w:r>
      <w:r>
        <w:rPr>
          <w:rFonts w:ascii="Verdana" w:hAnsi="Verdana"/>
          <w:iCs/>
          <w:sz w:val="16"/>
          <w:szCs w:val="16"/>
        </w:rPr>
        <w:t>w ramach podziału ogólnej kwoty</w:t>
      </w:r>
      <w:r w:rsidRPr="00E700B8">
        <w:rPr>
          <w:rFonts w:ascii="Verdana" w:hAnsi="Verdana"/>
          <w:iCs/>
          <w:sz w:val="16"/>
          <w:szCs w:val="16"/>
        </w:rPr>
        <w:t xml:space="preserve"> </w:t>
      </w:r>
      <w:r w:rsidRPr="00377242">
        <w:rPr>
          <w:rFonts w:ascii="Verdana" w:hAnsi="Verdana"/>
          <w:b/>
          <w:iCs/>
          <w:sz w:val="16"/>
          <w:szCs w:val="16"/>
        </w:rPr>
        <w:t>8 mld zł</w:t>
      </w:r>
      <w:r>
        <w:rPr>
          <w:rFonts w:ascii="Verdana" w:hAnsi="Verdana"/>
          <w:iCs/>
          <w:sz w:val="16"/>
          <w:szCs w:val="16"/>
        </w:rPr>
        <w:t xml:space="preserve"> między wszystkie jednostki samorządu terytorialnego</w:t>
      </w:r>
      <w:r w:rsidRPr="00E700B8">
        <w:rPr>
          <w:rFonts w:ascii="Verdana" w:hAnsi="Verdana"/>
          <w:iCs/>
          <w:sz w:val="16"/>
          <w:szCs w:val="16"/>
        </w:rPr>
        <w:t>,</w:t>
      </w:r>
      <w:r>
        <w:rPr>
          <w:rFonts w:ascii="Verdana" w:hAnsi="Verdana"/>
          <w:iCs/>
          <w:sz w:val="16"/>
          <w:szCs w:val="16"/>
        </w:rPr>
        <w:t xml:space="preserve"> związaną z negatywnymi dla dochodów samorządów skutkami rządowego Programu Polski Ład.</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23</w:t>
      </w:r>
      <w:r w:rsidRPr="000A6485">
        <w:rPr>
          <w:rFonts w:ascii="Verdana" w:hAnsi="Verdana"/>
          <w:sz w:val="16"/>
          <w:szCs w:val="16"/>
        </w:rPr>
        <w:t xml:space="preserve"> prezentuje procentową zmianę rok do roku wysokości dochodów z subwencji ogólnej </w:t>
      </w:r>
      <w:r w:rsidRPr="000A6485">
        <w:rPr>
          <w:rFonts w:ascii="Verdana" w:hAnsi="Verdana"/>
          <w:sz w:val="16"/>
          <w:szCs w:val="16"/>
        </w:rPr>
        <w:br/>
        <w:t>w poszczególnych latach objętych Prognozą.</w:t>
      </w:r>
    </w:p>
    <w:p w:rsidR="007F07DD" w:rsidRPr="000A6485" w:rsidRDefault="007F07DD" w:rsidP="007F07DD">
      <w:pPr>
        <w:spacing w:before="24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23</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Z SUBWENCJI OGÓLNEJ </w:t>
      </w:r>
      <w:r w:rsidRPr="000A6485">
        <w:rPr>
          <w:rFonts w:ascii="Verdana" w:hAnsi="Verdana" w:cs="Arial"/>
          <w:b/>
          <w:bCs/>
          <w:sz w:val="14"/>
          <w:szCs w:val="14"/>
        </w:rPr>
        <w:br/>
        <w:t xml:space="preserve">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42" type="#_x0000_t75" style="width:444.3pt;height:208.2pt">
            <v:imagedata r:id="rId36" o:title=""/>
          </v:shape>
        </w:pict>
      </w:r>
    </w:p>
    <w:p w:rsidR="007F07DD" w:rsidRPr="000A6485" w:rsidRDefault="007F07DD" w:rsidP="007F07DD">
      <w:pPr>
        <w:spacing w:before="120" w:after="120"/>
        <w:ind w:firstLine="540"/>
        <w:jc w:val="both"/>
        <w:rPr>
          <w:rFonts w:ascii="Verdana" w:hAnsi="Verdana"/>
          <w:sz w:val="16"/>
          <w:szCs w:val="16"/>
        </w:rPr>
      </w:pPr>
      <w:r w:rsidRPr="000A6485">
        <w:rPr>
          <w:rFonts w:ascii="Verdana" w:hAnsi="Verdana"/>
          <w:sz w:val="16"/>
          <w:szCs w:val="16"/>
        </w:rPr>
        <w:lastRenderedPageBreak/>
        <w:t xml:space="preserve">M.st. Warszawa w ramach subwencji ogólnej otrzymuje środki z tytułu części oświatowej i części równoważącej naliczanej zgodnie z przepisami ustawy z dnia 13 listopada 2003 r. </w:t>
      </w:r>
      <w:r w:rsidRPr="003A7E7C">
        <w:rPr>
          <w:rFonts w:ascii="Verdana" w:hAnsi="Verdana"/>
          <w:i/>
          <w:sz w:val="16"/>
          <w:szCs w:val="16"/>
        </w:rPr>
        <w:t>o dochodach jednostek samorządu terytorialnego</w:t>
      </w:r>
      <w:r w:rsidRPr="000A6485">
        <w:rPr>
          <w:rFonts w:ascii="Verdana" w:hAnsi="Verdana"/>
          <w:sz w:val="16"/>
          <w:szCs w:val="16"/>
        </w:rPr>
        <w:t xml:space="preserve"> </w:t>
      </w:r>
      <w:r>
        <w:rPr>
          <w:rFonts w:ascii="Verdana" w:hAnsi="Verdana" w:cs="Arial"/>
          <w:iCs/>
          <w:sz w:val="16"/>
          <w:szCs w:val="16"/>
        </w:rPr>
        <w:t>(Dz.</w:t>
      </w:r>
      <w:r w:rsidRPr="000A6485">
        <w:rPr>
          <w:rFonts w:ascii="Verdana" w:hAnsi="Verdana" w:cs="Arial"/>
          <w:iCs/>
          <w:sz w:val="16"/>
          <w:szCs w:val="16"/>
        </w:rPr>
        <w:t xml:space="preserve">U. z </w:t>
      </w:r>
      <w:r>
        <w:rPr>
          <w:rFonts w:ascii="Verdana" w:hAnsi="Verdana" w:cs="Arial"/>
          <w:iCs/>
          <w:sz w:val="16"/>
          <w:szCs w:val="16"/>
        </w:rPr>
        <w:t>2021 r. poz. 1672, 1901 i 1927</w:t>
      </w:r>
      <w:r w:rsidRPr="000A6485">
        <w:rPr>
          <w:rFonts w:ascii="Verdana" w:hAnsi="Verdana" w:cs="Arial"/>
          <w:iCs/>
          <w:sz w:val="16"/>
          <w:szCs w:val="16"/>
        </w:rPr>
        <w:t>)</w:t>
      </w:r>
      <w:r w:rsidRPr="000A6485">
        <w:rPr>
          <w:rFonts w:ascii="Verdana" w:hAnsi="Verdana"/>
          <w:sz w:val="16"/>
          <w:szCs w:val="16"/>
        </w:rPr>
        <w:t>.</w:t>
      </w:r>
    </w:p>
    <w:p w:rsidR="007F07DD" w:rsidRPr="000A6485" w:rsidRDefault="007F07DD" w:rsidP="007F07DD">
      <w:pPr>
        <w:spacing w:before="120" w:after="120"/>
        <w:ind w:firstLine="540"/>
        <w:jc w:val="both"/>
        <w:rPr>
          <w:rFonts w:ascii="Verdana" w:hAnsi="Verdana"/>
          <w:sz w:val="16"/>
          <w:szCs w:val="16"/>
        </w:rPr>
      </w:pPr>
      <w:r w:rsidRPr="000A6485">
        <w:rPr>
          <w:rFonts w:ascii="Verdana" w:hAnsi="Verdana"/>
          <w:sz w:val="16"/>
          <w:szCs w:val="16"/>
        </w:rPr>
        <w:t xml:space="preserve">Część oświatowa subwencji ogólnej w budżecie m.st. Warszawy jest drugim pod względem wartości źródłem dochodów. Zakłada się, że środki pozyskiwane z tego tytułu będą stanowiły </w:t>
      </w:r>
      <w:r>
        <w:rPr>
          <w:rFonts w:ascii="Verdana" w:hAnsi="Verdana"/>
          <w:sz w:val="16"/>
          <w:szCs w:val="16"/>
        </w:rPr>
        <w:t xml:space="preserve">ok. </w:t>
      </w:r>
      <w:r>
        <w:rPr>
          <w:rFonts w:ascii="Verdana" w:hAnsi="Verdana"/>
          <w:b/>
          <w:sz w:val="16"/>
          <w:szCs w:val="16"/>
        </w:rPr>
        <w:t>14,2</w:t>
      </w:r>
      <w:r w:rsidRPr="000A6485">
        <w:rPr>
          <w:rFonts w:ascii="Verdana" w:hAnsi="Verdana"/>
          <w:b/>
          <w:sz w:val="16"/>
          <w:szCs w:val="16"/>
        </w:rPr>
        <w:t xml:space="preserve">% </w:t>
      </w:r>
      <w:r w:rsidRPr="000A6485">
        <w:rPr>
          <w:rFonts w:ascii="Verdana" w:hAnsi="Verdana"/>
          <w:sz w:val="16"/>
          <w:szCs w:val="16"/>
        </w:rPr>
        <w:t>całkowitych wpływów Miasta</w:t>
      </w:r>
      <w:r>
        <w:rPr>
          <w:rFonts w:ascii="Verdana" w:hAnsi="Verdana"/>
          <w:sz w:val="16"/>
          <w:szCs w:val="16"/>
        </w:rPr>
        <w:t xml:space="preserve"> w latach 2022-2026</w:t>
      </w:r>
      <w:r w:rsidRPr="000A6485">
        <w:rPr>
          <w:rFonts w:ascii="Verdana" w:hAnsi="Verdana"/>
          <w:sz w:val="16"/>
          <w:szCs w:val="16"/>
        </w:rPr>
        <w:t xml:space="preserve">. </w:t>
      </w:r>
    </w:p>
    <w:p w:rsidR="007F07DD" w:rsidRPr="000A6485" w:rsidRDefault="007F07DD" w:rsidP="007F07DD">
      <w:pPr>
        <w:spacing w:before="120" w:after="120"/>
        <w:ind w:firstLine="540"/>
        <w:jc w:val="both"/>
        <w:rPr>
          <w:rFonts w:ascii="Verdana" w:hAnsi="Verdana"/>
          <w:sz w:val="16"/>
          <w:szCs w:val="16"/>
        </w:rPr>
      </w:pPr>
      <w:r w:rsidRPr="000A6485">
        <w:rPr>
          <w:rFonts w:ascii="Verdana" w:hAnsi="Verdana"/>
          <w:sz w:val="16"/>
          <w:szCs w:val="16"/>
        </w:rPr>
        <w:t>Wielkość części oświatowej subwencji ogólnej dla wszystkich jednostek samorządu terytorialnego ustalana jest corocznie w ustawie budżetowej. Minister właściwy do spraw oświaty i wychowania dzieli część oświatową subwencji ogólnej między poszczególne j.s.t. biorąc pod uwagę zakres realizowanych przez te jednostki zadań oświatowych. W sposobie podziału części oświatowej subwencji ogólnej między poszczególne j.s.t. uwzględnia się w szczególności:</w:t>
      </w:r>
    </w:p>
    <w:p w:rsidR="007F07DD" w:rsidRPr="000A6485" w:rsidRDefault="007F07DD" w:rsidP="007F07DD">
      <w:pPr>
        <w:numPr>
          <w:ilvl w:val="0"/>
          <w:numId w:val="9"/>
        </w:numPr>
        <w:tabs>
          <w:tab w:val="clear" w:pos="1080"/>
          <w:tab w:val="num" w:pos="540"/>
        </w:tabs>
        <w:spacing w:before="60" w:after="60"/>
        <w:ind w:left="538" w:hanging="181"/>
        <w:jc w:val="both"/>
        <w:rPr>
          <w:rFonts w:ascii="Verdana" w:hAnsi="Verdana"/>
          <w:sz w:val="16"/>
          <w:szCs w:val="16"/>
        </w:rPr>
      </w:pPr>
      <w:r w:rsidRPr="000A6485">
        <w:rPr>
          <w:rFonts w:ascii="Verdana" w:hAnsi="Verdana"/>
          <w:sz w:val="16"/>
          <w:szCs w:val="16"/>
        </w:rPr>
        <w:t>stopnie awansu zawodowego nauczycieli,</w:t>
      </w:r>
    </w:p>
    <w:p w:rsidR="007F07DD" w:rsidRPr="000A6485" w:rsidRDefault="007F07DD" w:rsidP="007F07DD">
      <w:pPr>
        <w:numPr>
          <w:ilvl w:val="0"/>
          <w:numId w:val="9"/>
        </w:numPr>
        <w:tabs>
          <w:tab w:val="clear" w:pos="1080"/>
          <w:tab w:val="num" w:pos="540"/>
        </w:tabs>
        <w:spacing w:before="60" w:after="60"/>
        <w:ind w:left="538" w:hanging="181"/>
        <w:jc w:val="both"/>
        <w:rPr>
          <w:rFonts w:ascii="Verdana" w:hAnsi="Verdana"/>
          <w:sz w:val="16"/>
          <w:szCs w:val="16"/>
        </w:rPr>
      </w:pPr>
      <w:r w:rsidRPr="000A6485">
        <w:rPr>
          <w:rFonts w:ascii="Verdana" w:hAnsi="Verdana"/>
          <w:sz w:val="16"/>
          <w:szCs w:val="16"/>
        </w:rPr>
        <w:t xml:space="preserve">typy i rodzaje szkół i placówek, </w:t>
      </w:r>
    </w:p>
    <w:p w:rsidR="007F07DD" w:rsidRPr="000A6485" w:rsidRDefault="007F07DD" w:rsidP="007F07DD">
      <w:pPr>
        <w:numPr>
          <w:ilvl w:val="0"/>
          <w:numId w:val="9"/>
        </w:numPr>
        <w:tabs>
          <w:tab w:val="clear" w:pos="1080"/>
          <w:tab w:val="num" w:pos="540"/>
        </w:tabs>
        <w:spacing w:before="60" w:after="60"/>
        <w:ind w:left="538" w:hanging="181"/>
        <w:jc w:val="both"/>
        <w:rPr>
          <w:rFonts w:ascii="Verdana" w:hAnsi="Verdana"/>
          <w:sz w:val="16"/>
          <w:szCs w:val="16"/>
        </w:rPr>
      </w:pPr>
      <w:r w:rsidRPr="000A6485">
        <w:rPr>
          <w:rFonts w:ascii="Verdana" w:hAnsi="Verdana"/>
          <w:sz w:val="16"/>
          <w:szCs w:val="16"/>
        </w:rPr>
        <w:t>liczbę uczniów w tych szkołach i placówkach, prowadzonych przez poszczególne j.s.t.</w:t>
      </w:r>
    </w:p>
    <w:p w:rsidR="007F07DD" w:rsidRPr="000A6485" w:rsidRDefault="007F07DD" w:rsidP="007F07DD">
      <w:pPr>
        <w:spacing w:before="120" w:after="120"/>
        <w:ind w:firstLine="567"/>
        <w:jc w:val="both"/>
        <w:rPr>
          <w:rFonts w:ascii="Verdana" w:hAnsi="Verdana"/>
          <w:sz w:val="16"/>
          <w:szCs w:val="16"/>
        </w:rPr>
      </w:pPr>
      <w:r w:rsidRPr="000A6485">
        <w:rPr>
          <w:rFonts w:ascii="Verdana" w:hAnsi="Verdana"/>
          <w:sz w:val="16"/>
          <w:szCs w:val="16"/>
        </w:rPr>
        <w:t xml:space="preserve">Zakłada się, że dokonujący się w Warszawie awans zawodowy nauczycieli, rosnąca ilość oraz duża różnorodność typów szkół i zwiększająca się liczba uczniów spowoduje, że obowiązujący sposób podziału części oświatowej subwencji ogólnej będzie korzystnie oddziaływał na wysokość należnej Warszawie subwencji. </w:t>
      </w:r>
    </w:p>
    <w:p w:rsidR="007F07DD" w:rsidRDefault="007F07DD" w:rsidP="007F07DD">
      <w:pPr>
        <w:tabs>
          <w:tab w:val="left" w:pos="2962"/>
        </w:tabs>
        <w:spacing w:before="60" w:after="60"/>
        <w:jc w:val="both"/>
        <w:rPr>
          <w:rFonts w:ascii="Verdana" w:hAnsi="Verdana"/>
          <w:sz w:val="16"/>
          <w:szCs w:val="16"/>
        </w:rPr>
      </w:pPr>
      <w:r>
        <w:rPr>
          <w:rFonts w:ascii="Verdana" w:hAnsi="Verdana"/>
          <w:sz w:val="16"/>
          <w:szCs w:val="16"/>
        </w:rPr>
        <w:t>Z</w:t>
      </w:r>
      <w:r w:rsidRPr="000A6485">
        <w:rPr>
          <w:rFonts w:ascii="Verdana" w:hAnsi="Verdana"/>
          <w:sz w:val="16"/>
          <w:szCs w:val="16"/>
        </w:rPr>
        <w:t>ałożono</w:t>
      </w:r>
      <w:r>
        <w:rPr>
          <w:rFonts w:ascii="Verdana" w:hAnsi="Verdana"/>
          <w:sz w:val="16"/>
          <w:szCs w:val="16"/>
        </w:rPr>
        <w:t>, że dochody</w:t>
      </w:r>
      <w:r w:rsidRPr="000A6485">
        <w:rPr>
          <w:rFonts w:ascii="Verdana" w:hAnsi="Verdana"/>
          <w:sz w:val="16"/>
          <w:szCs w:val="16"/>
        </w:rPr>
        <w:t xml:space="preserve"> z tytułu subwencji og</w:t>
      </w:r>
      <w:r>
        <w:rPr>
          <w:rFonts w:ascii="Verdana" w:hAnsi="Verdana"/>
          <w:sz w:val="16"/>
          <w:szCs w:val="16"/>
        </w:rPr>
        <w:t xml:space="preserve">ólnej w części równoważącej m.st. Warszawa będzie otrzymywać </w:t>
      </w:r>
      <w:r>
        <w:rPr>
          <w:rFonts w:ascii="Verdana" w:hAnsi="Verdana"/>
          <w:sz w:val="16"/>
          <w:szCs w:val="16"/>
        </w:rPr>
        <w:br/>
        <w:t xml:space="preserve">w perspektywie najbliższych trzech lat w wysokości </w:t>
      </w:r>
      <w:r>
        <w:rPr>
          <w:rFonts w:ascii="Verdana" w:hAnsi="Verdana"/>
          <w:b/>
          <w:sz w:val="16"/>
          <w:szCs w:val="16"/>
        </w:rPr>
        <w:t>393</w:t>
      </w:r>
      <w:r w:rsidRPr="001603D3">
        <w:rPr>
          <w:rFonts w:ascii="Verdana" w:hAnsi="Verdana"/>
          <w:b/>
          <w:sz w:val="16"/>
          <w:szCs w:val="16"/>
        </w:rPr>
        <w:t xml:space="preserve"> mln zł</w:t>
      </w:r>
      <w:r>
        <w:rPr>
          <w:rFonts w:ascii="Verdana" w:hAnsi="Verdana"/>
          <w:b/>
          <w:sz w:val="16"/>
          <w:szCs w:val="16"/>
        </w:rPr>
        <w:t xml:space="preserve">, </w:t>
      </w:r>
      <w:r w:rsidRPr="00004AD8">
        <w:rPr>
          <w:rFonts w:ascii="Verdana" w:hAnsi="Verdana"/>
          <w:sz w:val="16"/>
          <w:szCs w:val="16"/>
        </w:rPr>
        <w:t xml:space="preserve">z tego </w:t>
      </w:r>
      <w:r w:rsidRPr="00004AD8">
        <w:rPr>
          <w:rFonts w:ascii="Verdana" w:hAnsi="Verdana"/>
          <w:b/>
          <w:sz w:val="16"/>
          <w:szCs w:val="16"/>
        </w:rPr>
        <w:t>163 mln zł</w:t>
      </w:r>
      <w:r>
        <w:rPr>
          <w:rFonts w:ascii="Verdana" w:hAnsi="Verdana"/>
          <w:sz w:val="16"/>
          <w:szCs w:val="16"/>
        </w:rPr>
        <w:t xml:space="preserve">  w 2022 r. zgodnie z informacją Ministra Finansów oraz </w:t>
      </w:r>
      <w:r w:rsidRPr="001603D3">
        <w:rPr>
          <w:rFonts w:ascii="Verdana" w:hAnsi="Verdana"/>
          <w:b/>
          <w:sz w:val="16"/>
          <w:szCs w:val="16"/>
        </w:rPr>
        <w:t>1</w:t>
      </w:r>
      <w:r>
        <w:rPr>
          <w:rFonts w:ascii="Verdana" w:hAnsi="Verdana"/>
          <w:b/>
          <w:sz w:val="16"/>
          <w:szCs w:val="16"/>
        </w:rPr>
        <w:t>30</w:t>
      </w:r>
      <w:r w:rsidRPr="001603D3">
        <w:rPr>
          <w:rFonts w:ascii="Verdana" w:hAnsi="Verdana"/>
          <w:b/>
          <w:sz w:val="16"/>
          <w:szCs w:val="16"/>
        </w:rPr>
        <w:t xml:space="preserve"> mln zł</w:t>
      </w:r>
      <w:r>
        <w:rPr>
          <w:rFonts w:ascii="Verdana" w:hAnsi="Verdana"/>
          <w:sz w:val="16"/>
          <w:szCs w:val="16"/>
        </w:rPr>
        <w:t xml:space="preserve"> w 2023 r. i </w:t>
      </w:r>
      <w:r w:rsidRPr="00004AD8">
        <w:rPr>
          <w:rFonts w:ascii="Verdana" w:hAnsi="Verdana"/>
          <w:b/>
          <w:sz w:val="16"/>
          <w:szCs w:val="16"/>
        </w:rPr>
        <w:t>100 mln zł</w:t>
      </w:r>
      <w:r>
        <w:rPr>
          <w:rFonts w:ascii="Verdana" w:hAnsi="Verdana"/>
          <w:sz w:val="16"/>
          <w:szCs w:val="16"/>
        </w:rPr>
        <w:t xml:space="preserve"> w 2024 r. w Od 2025 r. nie zaplanowano dochodów z tego tytułu w związku z trwającymi w Ministerstwie Finansów pracami nad zmianą systemu wyrównawczego między jednostkami samorządu terytorialnego.</w:t>
      </w:r>
    </w:p>
    <w:p w:rsidR="007F07DD" w:rsidRPr="000A6485" w:rsidRDefault="007F07DD" w:rsidP="007F07DD">
      <w:pPr>
        <w:spacing w:before="240" w:after="240"/>
        <w:ind w:left="1077" w:hanging="1077"/>
        <w:rPr>
          <w:rFonts w:ascii="Verdana" w:hAnsi="Verdana"/>
          <w:b/>
          <w:bCs/>
          <w:sz w:val="18"/>
          <w:szCs w:val="18"/>
        </w:rPr>
      </w:pPr>
      <w:r w:rsidRPr="000A6485">
        <w:rPr>
          <w:rFonts w:ascii="Verdana" w:hAnsi="Verdana"/>
          <w:b/>
          <w:bCs/>
          <w:sz w:val="18"/>
          <w:szCs w:val="18"/>
        </w:rPr>
        <w:t>7.2.3.4 Prognoza dochodów z dotacji i środków przeznaczonych na cele bieżące</w:t>
      </w:r>
    </w:p>
    <w:p w:rsidR="007F07DD" w:rsidRPr="000A6485" w:rsidRDefault="007F07DD" w:rsidP="007F07DD">
      <w:pPr>
        <w:tabs>
          <w:tab w:val="left" w:pos="0"/>
        </w:tabs>
        <w:spacing w:before="120" w:after="120"/>
        <w:ind w:firstLine="567"/>
        <w:jc w:val="both"/>
        <w:rPr>
          <w:rFonts w:ascii="Verdana" w:hAnsi="Verdana" w:cs="Arial"/>
          <w:b/>
          <w:bCs/>
          <w:sz w:val="16"/>
          <w:szCs w:val="16"/>
        </w:rPr>
      </w:pPr>
      <w:r w:rsidRPr="000A6485">
        <w:rPr>
          <w:rFonts w:ascii="Verdana" w:hAnsi="Verdana"/>
          <w:sz w:val="16"/>
          <w:szCs w:val="16"/>
        </w:rPr>
        <w:t>Wykres nr 2</w:t>
      </w:r>
      <w:r>
        <w:rPr>
          <w:rFonts w:ascii="Verdana" w:hAnsi="Verdana"/>
          <w:sz w:val="16"/>
          <w:szCs w:val="16"/>
        </w:rPr>
        <w:t>4</w:t>
      </w:r>
      <w:r w:rsidRPr="000A6485">
        <w:rPr>
          <w:rFonts w:ascii="Verdana" w:hAnsi="Verdana"/>
          <w:sz w:val="16"/>
          <w:szCs w:val="16"/>
        </w:rPr>
        <w:t xml:space="preserve"> prezentuje prognozowane dochody z dotacji i środków przeznaczonych na cele bieżące </w:t>
      </w:r>
      <w:r w:rsidRPr="000A6485">
        <w:rPr>
          <w:rFonts w:ascii="Verdana" w:hAnsi="Verdana"/>
          <w:sz w:val="16"/>
          <w:szCs w:val="16"/>
        </w:rPr>
        <w:br/>
        <w:t>w poszczególnych latach objętych Prognozą.</w:t>
      </w:r>
    </w:p>
    <w:p w:rsidR="007F07DD" w:rsidRPr="000A6485" w:rsidRDefault="007F07DD" w:rsidP="007F07DD">
      <w:pPr>
        <w:tabs>
          <w:tab w:val="left" w:pos="567"/>
        </w:tabs>
        <w:spacing w:before="240" w:after="60" w:line="240" w:lineRule="auto"/>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24</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 DOTACJI I ŚRODKÓW PRZEZNACZONYCH NA CELE BIEŻĄCE </w:t>
      </w:r>
      <w:r>
        <w:rPr>
          <w:rFonts w:ascii="Verdana" w:hAnsi="Verdana" w:cs="Arial"/>
          <w:b/>
          <w:bCs/>
          <w:sz w:val="14"/>
          <w:szCs w:val="14"/>
        </w:rPr>
        <w:br/>
        <w:t xml:space="preserve">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0"/>
          <w:szCs w:val="20"/>
        </w:rPr>
      </w:pPr>
      <w:r>
        <w:rPr>
          <w:rFonts w:ascii="Verdana" w:hAnsi="Verdana"/>
          <w:b/>
          <w:bCs/>
          <w:noProof/>
          <w:sz w:val="20"/>
          <w:szCs w:val="20"/>
        </w:rPr>
        <w:pict>
          <v:shape id="_x0000_i1043" type="#_x0000_t75" style="width:455.35pt;height:222.5pt">
            <v:imagedata r:id="rId37" o:title=""/>
          </v:shape>
        </w:pict>
      </w:r>
    </w:p>
    <w:p w:rsidR="007F07DD" w:rsidRPr="000A6485" w:rsidRDefault="007F07DD" w:rsidP="007F07DD">
      <w:pPr>
        <w:spacing w:before="40" w:after="40"/>
        <w:ind w:firstLine="539"/>
        <w:jc w:val="both"/>
        <w:rPr>
          <w:rFonts w:ascii="Verdana" w:hAnsi="Verdana"/>
          <w:sz w:val="16"/>
          <w:szCs w:val="16"/>
        </w:rPr>
      </w:pPr>
      <w:r w:rsidRPr="000A6485">
        <w:rPr>
          <w:rFonts w:ascii="Verdana" w:hAnsi="Verdana"/>
          <w:sz w:val="16"/>
          <w:szCs w:val="16"/>
        </w:rPr>
        <w:lastRenderedPageBreak/>
        <w:t>Prognozuje się, że wpływy m.st. Warszawy z dotacji i środków przeznaczonych na cele bieżące w okresie pierwszych pięciu lat prognozy tj. od 202</w:t>
      </w:r>
      <w:r>
        <w:rPr>
          <w:rFonts w:ascii="Verdana" w:hAnsi="Verdana"/>
          <w:sz w:val="16"/>
          <w:szCs w:val="16"/>
        </w:rPr>
        <w:t>2</w:t>
      </w:r>
      <w:r w:rsidRPr="000A6485">
        <w:rPr>
          <w:rFonts w:ascii="Verdana" w:hAnsi="Verdana"/>
          <w:sz w:val="16"/>
          <w:szCs w:val="16"/>
        </w:rPr>
        <w:t xml:space="preserve"> do 202</w:t>
      </w:r>
      <w:r>
        <w:rPr>
          <w:rFonts w:ascii="Verdana" w:hAnsi="Verdana"/>
          <w:sz w:val="16"/>
          <w:szCs w:val="16"/>
        </w:rPr>
        <w:t>6</w:t>
      </w:r>
      <w:r w:rsidRPr="000A6485">
        <w:rPr>
          <w:rFonts w:ascii="Verdana" w:hAnsi="Verdana"/>
          <w:sz w:val="16"/>
          <w:szCs w:val="16"/>
        </w:rPr>
        <w:t xml:space="preserve"> r. wyniosą łącznie </w:t>
      </w:r>
      <w:r>
        <w:rPr>
          <w:rFonts w:ascii="Verdana" w:hAnsi="Verdana"/>
          <w:b/>
          <w:sz w:val="16"/>
          <w:szCs w:val="16"/>
        </w:rPr>
        <w:t>4,3</w:t>
      </w:r>
      <w:r w:rsidRPr="000A6485">
        <w:rPr>
          <w:rFonts w:ascii="Verdana" w:hAnsi="Verdana"/>
          <w:b/>
          <w:sz w:val="16"/>
          <w:szCs w:val="16"/>
        </w:rPr>
        <w:t xml:space="preserve"> mld zł</w:t>
      </w:r>
      <w:r w:rsidRPr="000A6485">
        <w:rPr>
          <w:rFonts w:ascii="Verdana" w:hAnsi="Verdana"/>
          <w:sz w:val="16"/>
          <w:szCs w:val="16"/>
        </w:rPr>
        <w:t xml:space="preserve">, co będzie stanowiło </w:t>
      </w:r>
      <w:r w:rsidRPr="00004AD8">
        <w:rPr>
          <w:rFonts w:ascii="Verdana" w:hAnsi="Verdana"/>
          <w:b/>
          <w:sz w:val="16"/>
          <w:szCs w:val="16"/>
        </w:rPr>
        <w:t>4</w:t>
      </w:r>
      <w:r>
        <w:rPr>
          <w:rFonts w:ascii="Verdana" w:hAnsi="Verdana"/>
          <w:b/>
          <w:sz w:val="16"/>
          <w:szCs w:val="16"/>
        </w:rPr>
        <w:t>,6</w:t>
      </w:r>
      <w:r w:rsidRPr="000A6485">
        <w:rPr>
          <w:rFonts w:ascii="Verdana" w:hAnsi="Verdana"/>
          <w:b/>
          <w:sz w:val="16"/>
          <w:szCs w:val="16"/>
        </w:rPr>
        <w:t>%</w:t>
      </w:r>
      <w:r w:rsidRPr="000A6485">
        <w:rPr>
          <w:rFonts w:ascii="Verdana" w:hAnsi="Verdana"/>
          <w:sz w:val="16"/>
          <w:szCs w:val="16"/>
        </w:rPr>
        <w:t xml:space="preserve"> planowanych do realizacji w tym okresie dochodów ogółem.</w:t>
      </w:r>
    </w:p>
    <w:p w:rsidR="007F07DD" w:rsidRPr="000A6485" w:rsidRDefault="007F07DD" w:rsidP="007F07DD">
      <w:pPr>
        <w:spacing w:before="40" w:after="40"/>
        <w:ind w:firstLine="567"/>
        <w:jc w:val="both"/>
        <w:rPr>
          <w:rFonts w:ascii="Verdana" w:hAnsi="Verdana"/>
          <w:sz w:val="16"/>
          <w:szCs w:val="16"/>
        </w:rPr>
      </w:pPr>
      <w:r>
        <w:rPr>
          <w:rFonts w:ascii="Verdana" w:hAnsi="Verdana"/>
          <w:sz w:val="16"/>
          <w:szCs w:val="16"/>
        </w:rPr>
        <w:t>Istotną zmianą w planie dotacji z budżetu państwa jest zmniejszenie środków</w:t>
      </w:r>
      <w:r w:rsidRPr="00621F36">
        <w:rPr>
          <w:rFonts w:ascii="Verdana" w:hAnsi="Verdana"/>
          <w:sz w:val="16"/>
          <w:szCs w:val="16"/>
        </w:rPr>
        <w:t xml:space="preserve"> na realiza</w:t>
      </w:r>
      <w:r>
        <w:rPr>
          <w:rFonts w:ascii="Verdana" w:hAnsi="Verdana"/>
          <w:sz w:val="16"/>
          <w:szCs w:val="16"/>
        </w:rPr>
        <w:t xml:space="preserve">cję programu „Rodzina 500 Plus” w związku </w:t>
      </w:r>
      <w:r w:rsidRPr="00004AD8">
        <w:rPr>
          <w:rFonts w:ascii="Verdana" w:hAnsi="Verdana"/>
          <w:sz w:val="16"/>
          <w:szCs w:val="16"/>
        </w:rPr>
        <w:t>przeniesi</w:t>
      </w:r>
      <w:r>
        <w:rPr>
          <w:rFonts w:ascii="Verdana" w:hAnsi="Verdana"/>
          <w:sz w:val="16"/>
          <w:szCs w:val="16"/>
        </w:rPr>
        <w:t>e</w:t>
      </w:r>
      <w:r w:rsidRPr="00004AD8">
        <w:rPr>
          <w:rFonts w:ascii="Verdana" w:hAnsi="Verdana"/>
          <w:sz w:val="16"/>
          <w:szCs w:val="16"/>
        </w:rPr>
        <w:t>n</w:t>
      </w:r>
      <w:r>
        <w:rPr>
          <w:rFonts w:ascii="Verdana" w:hAnsi="Verdana"/>
          <w:sz w:val="16"/>
          <w:szCs w:val="16"/>
        </w:rPr>
        <w:t>iem</w:t>
      </w:r>
      <w:r w:rsidRPr="00004AD8">
        <w:rPr>
          <w:rFonts w:ascii="Verdana" w:hAnsi="Verdana"/>
          <w:sz w:val="16"/>
          <w:szCs w:val="16"/>
        </w:rPr>
        <w:t xml:space="preserve"> </w:t>
      </w:r>
      <w:r>
        <w:rPr>
          <w:rFonts w:ascii="Verdana" w:hAnsi="Verdana"/>
          <w:sz w:val="16"/>
          <w:szCs w:val="16"/>
        </w:rPr>
        <w:t>od 1 czerwca</w:t>
      </w:r>
      <w:r w:rsidRPr="00004AD8">
        <w:rPr>
          <w:rFonts w:ascii="Verdana" w:hAnsi="Verdana"/>
          <w:sz w:val="16"/>
          <w:szCs w:val="16"/>
        </w:rPr>
        <w:t xml:space="preserve"> 2022 r. z JST do Zakładu Ubezpieczeń Społecznych</w:t>
      </w:r>
      <w:r>
        <w:rPr>
          <w:rFonts w:ascii="Verdana" w:hAnsi="Verdana"/>
          <w:sz w:val="16"/>
          <w:szCs w:val="16"/>
        </w:rPr>
        <w:t xml:space="preserve"> zadania</w:t>
      </w:r>
      <w:r w:rsidRPr="00004AD8">
        <w:rPr>
          <w:rFonts w:ascii="Verdana" w:hAnsi="Verdana"/>
          <w:sz w:val="16"/>
          <w:szCs w:val="16"/>
        </w:rPr>
        <w:t xml:space="preserve"> polegające</w:t>
      </w:r>
      <w:r>
        <w:rPr>
          <w:rFonts w:ascii="Verdana" w:hAnsi="Verdana"/>
          <w:sz w:val="16"/>
          <w:szCs w:val="16"/>
        </w:rPr>
        <w:t>go</w:t>
      </w:r>
      <w:r w:rsidRPr="00004AD8">
        <w:rPr>
          <w:rFonts w:ascii="Verdana" w:hAnsi="Verdana"/>
          <w:sz w:val="16"/>
          <w:szCs w:val="16"/>
        </w:rPr>
        <w:t xml:space="preserve"> na</w:t>
      </w:r>
      <w:r>
        <w:rPr>
          <w:rFonts w:ascii="Verdana" w:hAnsi="Verdana"/>
          <w:sz w:val="16"/>
          <w:szCs w:val="16"/>
        </w:rPr>
        <w:t xml:space="preserve"> </w:t>
      </w:r>
      <w:r w:rsidRPr="00004AD8">
        <w:rPr>
          <w:rFonts w:ascii="Verdana" w:hAnsi="Verdana"/>
          <w:sz w:val="16"/>
          <w:szCs w:val="16"/>
        </w:rPr>
        <w:t>obsłudze</w:t>
      </w:r>
      <w:r>
        <w:rPr>
          <w:rFonts w:ascii="Verdana" w:hAnsi="Verdana"/>
          <w:sz w:val="16"/>
          <w:szCs w:val="16"/>
        </w:rPr>
        <w:t xml:space="preserve"> tego programu n</w:t>
      </w:r>
      <w:r w:rsidRPr="00004AD8">
        <w:rPr>
          <w:rFonts w:ascii="Verdana" w:hAnsi="Verdana"/>
          <w:sz w:val="16"/>
          <w:szCs w:val="16"/>
        </w:rPr>
        <w:t xml:space="preserve">a mocy nowelizacji z </w:t>
      </w:r>
      <w:r>
        <w:rPr>
          <w:rFonts w:ascii="Verdana" w:hAnsi="Verdana"/>
          <w:sz w:val="16"/>
          <w:szCs w:val="16"/>
        </w:rPr>
        <w:t>1</w:t>
      </w:r>
      <w:r w:rsidRPr="00004AD8">
        <w:rPr>
          <w:rFonts w:ascii="Verdana" w:hAnsi="Verdana"/>
          <w:sz w:val="16"/>
          <w:szCs w:val="16"/>
        </w:rPr>
        <w:t xml:space="preserve">7 września 2021 roku ustawy </w:t>
      </w:r>
      <w:r>
        <w:rPr>
          <w:rFonts w:ascii="Verdana" w:hAnsi="Verdana"/>
          <w:i/>
          <w:sz w:val="16"/>
          <w:szCs w:val="16"/>
        </w:rPr>
        <w:t>o </w:t>
      </w:r>
      <w:r w:rsidRPr="00D1589B">
        <w:rPr>
          <w:rFonts w:ascii="Verdana" w:hAnsi="Verdana"/>
          <w:i/>
          <w:sz w:val="16"/>
          <w:szCs w:val="16"/>
        </w:rPr>
        <w:t>pomocy państwa w wychowaniu dzieci oraz niektórych innych ustaw</w:t>
      </w:r>
      <w:r>
        <w:rPr>
          <w:rFonts w:ascii="Verdana" w:hAnsi="Verdana"/>
          <w:sz w:val="16"/>
          <w:szCs w:val="16"/>
        </w:rPr>
        <w:t xml:space="preserve"> (Dz.U. poz. 1981). </w:t>
      </w:r>
      <w:r w:rsidRPr="00004AD8">
        <w:rPr>
          <w:rFonts w:ascii="Verdana" w:hAnsi="Verdana"/>
          <w:sz w:val="16"/>
          <w:szCs w:val="16"/>
        </w:rPr>
        <w:t xml:space="preserve">W </w:t>
      </w:r>
      <w:r>
        <w:rPr>
          <w:rFonts w:ascii="Verdana" w:hAnsi="Verdana"/>
          <w:sz w:val="16"/>
          <w:szCs w:val="16"/>
        </w:rPr>
        <w:t>planie dotacji</w:t>
      </w:r>
      <w:r w:rsidRPr="00004AD8">
        <w:rPr>
          <w:rFonts w:ascii="Verdana" w:hAnsi="Verdana"/>
          <w:sz w:val="16"/>
          <w:szCs w:val="16"/>
        </w:rPr>
        <w:t xml:space="preserve"> na 2022 r. </w:t>
      </w:r>
      <w:r>
        <w:rPr>
          <w:rFonts w:ascii="Verdana" w:hAnsi="Verdana"/>
          <w:sz w:val="16"/>
          <w:szCs w:val="16"/>
        </w:rPr>
        <w:br/>
      </w:r>
      <w:r w:rsidRPr="00004AD8">
        <w:rPr>
          <w:rFonts w:ascii="Verdana" w:hAnsi="Verdana"/>
          <w:sz w:val="16"/>
          <w:szCs w:val="16"/>
        </w:rPr>
        <w:t>w dochodach i wydatkach ujęto środki na realizację</w:t>
      </w:r>
      <w:r>
        <w:rPr>
          <w:rFonts w:ascii="Verdana" w:hAnsi="Verdana"/>
          <w:sz w:val="16"/>
          <w:szCs w:val="16"/>
        </w:rPr>
        <w:t xml:space="preserve"> programu przez Miasto jedynie do końca maja 2022 r.</w:t>
      </w:r>
      <w:r w:rsidRPr="00004AD8">
        <w:rPr>
          <w:rFonts w:ascii="Verdana" w:hAnsi="Verdana"/>
          <w:sz w:val="16"/>
          <w:szCs w:val="16"/>
        </w:rPr>
        <w:t xml:space="preserve"> w wys. </w:t>
      </w:r>
      <w:r w:rsidRPr="00D1589B">
        <w:rPr>
          <w:rFonts w:ascii="Verdana" w:hAnsi="Verdana"/>
          <w:b/>
          <w:sz w:val="16"/>
          <w:szCs w:val="16"/>
        </w:rPr>
        <w:t>8</w:t>
      </w:r>
      <w:r>
        <w:rPr>
          <w:rFonts w:ascii="Verdana" w:hAnsi="Verdana"/>
          <w:b/>
          <w:sz w:val="16"/>
          <w:szCs w:val="16"/>
        </w:rPr>
        <w:t>35</w:t>
      </w:r>
      <w:r w:rsidRPr="00D1589B">
        <w:rPr>
          <w:rFonts w:ascii="Verdana" w:hAnsi="Verdana"/>
          <w:b/>
          <w:sz w:val="16"/>
          <w:szCs w:val="16"/>
        </w:rPr>
        <w:t xml:space="preserve"> mln zł</w:t>
      </w:r>
      <w:r w:rsidRPr="00004AD8">
        <w:rPr>
          <w:rFonts w:ascii="Verdana" w:hAnsi="Verdana"/>
          <w:sz w:val="16"/>
          <w:szCs w:val="16"/>
        </w:rPr>
        <w:t xml:space="preserve">, tj. w kwocie o </w:t>
      </w:r>
      <w:r>
        <w:rPr>
          <w:rFonts w:ascii="Verdana" w:hAnsi="Verdana"/>
          <w:b/>
          <w:sz w:val="16"/>
          <w:szCs w:val="16"/>
        </w:rPr>
        <w:t>1.187</w:t>
      </w:r>
      <w:r w:rsidRPr="00D1589B">
        <w:rPr>
          <w:rFonts w:ascii="Verdana" w:hAnsi="Verdana"/>
          <w:b/>
          <w:sz w:val="16"/>
          <w:szCs w:val="16"/>
        </w:rPr>
        <w:t xml:space="preserve"> mln zł</w:t>
      </w:r>
      <w:r>
        <w:rPr>
          <w:rFonts w:ascii="Verdana" w:hAnsi="Verdana"/>
          <w:sz w:val="16"/>
          <w:szCs w:val="16"/>
        </w:rPr>
        <w:t xml:space="preserve"> niższej niż w 2021 </w:t>
      </w:r>
      <w:r w:rsidRPr="00004AD8">
        <w:rPr>
          <w:rFonts w:ascii="Verdana" w:hAnsi="Verdana"/>
          <w:sz w:val="16"/>
          <w:szCs w:val="16"/>
        </w:rPr>
        <w:t xml:space="preserve">r. </w:t>
      </w:r>
      <w:r>
        <w:rPr>
          <w:rFonts w:ascii="Verdana" w:hAnsi="Verdana"/>
          <w:sz w:val="16"/>
          <w:szCs w:val="16"/>
        </w:rPr>
        <w:t>Począwszy od 2023 r.  nie zaplanowano dochodów z tego tytułu.</w:t>
      </w:r>
    </w:p>
    <w:p w:rsidR="007F07DD" w:rsidRPr="000A6485" w:rsidRDefault="007F07DD" w:rsidP="007F07DD">
      <w:pPr>
        <w:spacing w:before="24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25</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Z DOTACJI I ŚRODKÓW </w:t>
      </w:r>
      <w:r w:rsidRPr="000A6485">
        <w:rPr>
          <w:rFonts w:ascii="Verdana" w:hAnsi="Verdana" w:cs="Arial"/>
          <w:b/>
          <w:bCs/>
          <w:sz w:val="14"/>
          <w:szCs w:val="14"/>
        </w:rPr>
        <w:br/>
        <w:t xml:space="preserve">                PRZEZNACZONYCH NA CELE BIE</w:t>
      </w:r>
      <w:r>
        <w:rPr>
          <w:rFonts w:ascii="Verdana" w:hAnsi="Verdana" w:cs="Arial"/>
          <w:b/>
          <w:bCs/>
          <w:sz w:val="14"/>
          <w:szCs w:val="14"/>
        </w:rPr>
        <w:t xml:space="preserve">ŻĄCE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44" type="#_x0000_t75" style="width:455.35pt;height:207.55pt">
            <v:imagedata r:id="rId38" o:title=""/>
          </v:shape>
        </w:pict>
      </w:r>
    </w:p>
    <w:p w:rsidR="007F07DD" w:rsidRPr="000A6485" w:rsidRDefault="007F07DD" w:rsidP="007F07DD">
      <w:pPr>
        <w:spacing w:before="120" w:after="120"/>
        <w:jc w:val="both"/>
        <w:rPr>
          <w:rFonts w:ascii="Verdana" w:hAnsi="Verdana"/>
          <w:sz w:val="16"/>
          <w:szCs w:val="16"/>
        </w:rPr>
      </w:pPr>
      <w:r w:rsidRPr="000A6485">
        <w:rPr>
          <w:rFonts w:ascii="Verdana" w:hAnsi="Verdana"/>
          <w:sz w:val="16"/>
          <w:szCs w:val="16"/>
        </w:rPr>
        <w:t>W m.st. Warszawa dochody z dotacji i środków przeznaczonych na cele bieżące stanowią głównie:</w:t>
      </w:r>
    </w:p>
    <w:p w:rsidR="007F07DD" w:rsidRPr="000A6485" w:rsidRDefault="007F07DD" w:rsidP="007F07DD">
      <w:pPr>
        <w:pStyle w:val="Akapitzlist"/>
        <w:numPr>
          <w:ilvl w:val="0"/>
          <w:numId w:val="12"/>
        </w:numPr>
        <w:spacing w:before="120" w:after="120"/>
        <w:ind w:left="567" w:hanging="283"/>
        <w:jc w:val="both"/>
        <w:rPr>
          <w:rFonts w:ascii="Verdana" w:hAnsi="Verdana"/>
          <w:sz w:val="16"/>
          <w:szCs w:val="16"/>
        </w:rPr>
      </w:pPr>
      <w:r w:rsidRPr="000A6485">
        <w:rPr>
          <w:rFonts w:ascii="Verdana" w:hAnsi="Verdana"/>
          <w:sz w:val="16"/>
          <w:szCs w:val="16"/>
        </w:rPr>
        <w:t>dotacje celowe z budżetu państwa na cele bieżące, w tym na realizację Programu „Rodzina 500 Plus”</w:t>
      </w:r>
      <w:r>
        <w:rPr>
          <w:rFonts w:ascii="Verdana" w:hAnsi="Verdana"/>
          <w:sz w:val="16"/>
          <w:szCs w:val="16"/>
        </w:rPr>
        <w:t xml:space="preserve"> </w:t>
      </w:r>
      <w:r>
        <w:rPr>
          <w:rFonts w:ascii="Verdana" w:hAnsi="Verdana"/>
          <w:sz w:val="16"/>
          <w:szCs w:val="16"/>
        </w:rPr>
        <w:br/>
        <w:t>(do 2022 r.)</w:t>
      </w:r>
      <w:r w:rsidRPr="000A6485">
        <w:rPr>
          <w:rFonts w:ascii="Verdana" w:hAnsi="Verdana"/>
          <w:sz w:val="16"/>
          <w:szCs w:val="16"/>
        </w:rPr>
        <w:t>,</w:t>
      </w:r>
    </w:p>
    <w:p w:rsidR="007F07DD" w:rsidRPr="000A6485" w:rsidRDefault="007F07DD" w:rsidP="007F07DD">
      <w:pPr>
        <w:pStyle w:val="Akapitzlist"/>
        <w:numPr>
          <w:ilvl w:val="0"/>
          <w:numId w:val="12"/>
        </w:numPr>
        <w:spacing w:before="120" w:after="120"/>
        <w:ind w:left="567" w:hanging="283"/>
        <w:jc w:val="both"/>
        <w:rPr>
          <w:rFonts w:ascii="Verdana" w:hAnsi="Verdana"/>
          <w:sz w:val="16"/>
          <w:szCs w:val="16"/>
        </w:rPr>
      </w:pPr>
      <w:r w:rsidRPr="000A6485">
        <w:rPr>
          <w:rFonts w:ascii="Verdana" w:hAnsi="Verdana"/>
          <w:sz w:val="16"/>
          <w:szCs w:val="16"/>
        </w:rPr>
        <w:t>dotacje z budżetów innych jednostek samorządu terytorialnego na funkcjonowanie komunikacji podmiejskiej,</w:t>
      </w:r>
    </w:p>
    <w:p w:rsidR="007F07DD" w:rsidRPr="000A6485" w:rsidRDefault="007F07DD" w:rsidP="007F07DD">
      <w:pPr>
        <w:pStyle w:val="Akapitzlist"/>
        <w:numPr>
          <w:ilvl w:val="0"/>
          <w:numId w:val="12"/>
        </w:numPr>
        <w:spacing w:before="120" w:after="120"/>
        <w:ind w:left="567" w:hanging="283"/>
        <w:jc w:val="both"/>
        <w:rPr>
          <w:rFonts w:ascii="Verdana" w:hAnsi="Verdana"/>
          <w:sz w:val="16"/>
          <w:szCs w:val="16"/>
        </w:rPr>
      </w:pPr>
      <w:r w:rsidRPr="000A6485">
        <w:rPr>
          <w:rFonts w:ascii="Verdana" w:hAnsi="Verdana"/>
          <w:sz w:val="16"/>
          <w:szCs w:val="16"/>
        </w:rPr>
        <w:t>środki na dofinansowanie projektów realizowanych w rama</w:t>
      </w:r>
      <w:r>
        <w:rPr>
          <w:rFonts w:ascii="Verdana" w:hAnsi="Verdana"/>
          <w:sz w:val="16"/>
          <w:szCs w:val="16"/>
        </w:rPr>
        <w:t>ch programów Unii Europejskiej</w:t>
      </w:r>
      <w:r w:rsidRPr="000A6485">
        <w:rPr>
          <w:rFonts w:ascii="Verdana" w:hAnsi="Verdana"/>
          <w:sz w:val="16"/>
          <w:szCs w:val="16"/>
        </w:rPr>
        <w:t>.</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 xml:space="preserve">Środki otrzymane z tytułu </w:t>
      </w:r>
      <w:r w:rsidRPr="000A6485">
        <w:rPr>
          <w:rFonts w:ascii="Verdana" w:hAnsi="Verdana"/>
          <w:b/>
          <w:sz w:val="16"/>
          <w:szCs w:val="16"/>
        </w:rPr>
        <w:t>dotacji z budżetu państwa</w:t>
      </w:r>
      <w:r w:rsidRPr="000A6485">
        <w:rPr>
          <w:rFonts w:ascii="Verdana" w:hAnsi="Verdana"/>
          <w:sz w:val="16"/>
          <w:szCs w:val="16"/>
        </w:rPr>
        <w:t xml:space="preserve"> są przeznaczone na finansowanie:</w:t>
      </w:r>
    </w:p>
    <w:p w:rsidR="007F07DD" w:rsidRPr="000A6485" w:rsidRDefault="007F07DD" w:rsidP="007F07DD">
      <w:pPr>
        <w:pStyle w:val="Akapitzlist"/>
        <w:numPr>
          <w:ilvl w:val="0"/>
          <w:numId w:val="13"/>
        </w:numPr>
        <w:spacing w:before="60" w:after="60"/>
        <w:ind w:left="567" w:hanging="283"/>
        <w:jc w:val="both"/>
        <w:rPr>
          <w:rFonts w:ascii="Verdana" w:hAnsi="Verdana"/>
          <w:sz w:val="16"/>
          <w:szCs w:val="16"/>
        </w:rPr>
      </w:pPr>
      <w:r w:rsidRPr="000A6485">
        <w:rPr>
          <w:rFonts w:ascii="Verdana" w:hAnsi="Verdana"/>
          <w:sz w:val="16"/>
          <w:szCs w:val="16"/>
        </w:rPr>
        <w:t>zadań własnych, w tym:</w:t>
      </w:r>
    </w:p>
    <w:p w:rsidR="007F07DD" w:rsidRPr="000A6485" w:rsidRDefault="007F07DD" w:rsidP="007F07DD">
      <w:pPr>
        <w:pStyle w:val="Akapitzlist"/>
        <w:numPr>
          <w:ilvl w:val="0"/>
          <w:numId w:val="14"/>
        </w:numPr>
        <w:ind w:left="1134" w:hanging="283"/>
        <w:jc w:val="both"/>
        <w:rPr>
          <w:rFonts w:ascii="Verdana" w:hAnsi="Verdana"/>
          <w:i/>
          <w:sz w:val="16"/>
          <w:szCs w:val="16"/>
        </w:rPr>
      </w:pPr>
      <w:r w:rsidRPr="000A6485">
        <w:rPr>
          <w:rFonts w:ascii="Verdana" w:hAnsi="Verdana"/>
          <w:sz w:val="16"/>
          <w:szCs w:val="16"/>
        </w:rPr>
        <w:t>wychowania przedszkolnego,</w:t>
      </w:r>
    </w:p>
    <w:p w:rsidR="007F07DD" w:rsidRPr="000A6485" w:rsidRDefault="007F07DD" w:rsidP="007F07DD">
      <w:pPr>
        <w:pStyle w:val="Akapitzlist"/>
        <w:numPr>
          <w:ilvl w:val="0"/>
          <w:numId w:val="14"/>
        </w:numPr>
        <w:ind w:left="1134" w:hanging="283"/>
        <w:jc w:val="both"/>
        <w:rPr>
          <w:rFonts w:ascii="Verdana" w:hAnsi="Verdana"/>
          <w:i/>
          <w:sz w:val="16"/>
          <w:szCs w:val="16"/>
        </w:rPr>
      </w:pPr>
      <w:r w:rsidRPr="000A6485">
        <w:rPr>
          <w:rFonts w:ascii="Verdana" w:hAnsi="Verdana"/>
          <w:sz w:val="16"/>
          <w:szCs w:val="16"/>
        </w:rPr>
        <w:t>wypłat</w:t>
      </w:r>
      <w:r w:rsidRPr="000A6485">
        <w:rPr>
          <w:rFonts w:ascii="Verdana" w:hAnsi="Verdana"/>
          <w:i/>
          <w:sz w:val="16"/>
          <w:szCs w:val="16"/>
        </w:rPr>
        <w:t xml:space="preserve"> </w:t>
      </w:r>
      <w:r w:rsidRPr="000A6485">
        <w:rPr>
          <w:rFonts w:ascii="Verdana" w:hAnsi="Verdana"/>
          <w:sz w:val="16"/>
          <w:szCs w:val="16"/>
        </w:rPr>
        <w:t>zasiłków stałych,</w:t>
      </w:r>
    </w:p>
    <w:p w:rsidR="007F07DD" w:rsidRPr="000A6485"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funkcjonowania ośrodków pomocy społecznej,</w:t>
      </w:r>
    </w:p>
    <w:p w:rsidR="007F07DD" w:rsidRPr="000A6485"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funkcjonowania domów pomocy społecznej,</w:t>
      </w:r>
    </w:p>
    <w:p w:rsidR="007F07DD" w:rsidRPr="000A6485"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dożywiania dla potrzebujących,</w:t>
      </w:r>
    </w:p>
    <w:p w:rsidR="007F07DD" w:rsidRPr="000A6485"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realizacji wieloletniego programu w zakresie dożywiania „Posiłek w szkole i w domu”,</w:t>
      </w:r>
    </w:p>
    <w:p w:rsidR="007F07DD" w:rsidRPr="000A6485"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opłacenia składek na ubezpieczenie zdrowotne płaconych za osoby pobierające niektóre świadczenia z pomocy społecznej,</w:t>
      </w:r>
    </w:p>
    <w:p w:rsidR="007F07DD" w:rsidRDefault="007F07DD" w:rsidP="007F07DD">
      <w:pPr>
        <w:pStyle w:val="Akapitzlist"/>
        <w:numPr>
          <w:ilvl w:val="0"/>
          <w:numId w:val="14"/>
        </w:numPr>
        <w:ind w:left="1134" w:hanging="283"/>
        <w:jc w:val="both"/>
        <w:rPr>
          <w:rFonts w:ascii="Verdana" w:hAnsi="Verdana"/>
          <w:sz w:val="16"/>
          <w:szCs w:val="16"/>
        </w:rPr>
      </w:pPr>
      <w:r w:rsidRPr="000A6485">
        <w:rPr>
          <w:rFonts w:ascii="Verdana" w:hAnsi="Verdana"/>
          <w:sz w:val="16"/>
          <w:szCs w:val="16"/>
        </w:rPr>
        <w:t>wypłat zasiłków i pomocy w naturze oraz składek na ubezpieczenie emerytalne i rentowe,</w:t>
      </w:r>
    </w:p>
    <w:p w:rsidR="007F07DD" w:rsidRPr="000A6485" w:rsidRDefault="007F07DD" w:rsidP="007F07DD">
      <w:pPr>
        <w:pStyle w:val="Akapitzlist"/>
        <w:numPr>
          <w:ilvl w:val="0"/>
          <w:numId w:val="13"/>
        </w:numPr>
        <w:spacing w:before="60" w:after="60"/>
        <w:ind w:left="567" w:hanging="283"/>
        <w:jc w:val="both"/>
        <w:rPr>
          <w:rFonts w:ascii="Verdana" w:hAnsi="Verdana"/>
          <w:sz w:val="16"/>
          <w:szCs w:val="16"/>
        </w:rPr>
      </w:pPr>
      <w:r w:rsidRPr="000A6485">
        <w:rPr>
          <w:rFonts w:ascii="Verdana" w:hAnsi="Verdana"/>
          <w:sz w:val="16"/>
          <w:szCs w:val="16"/>
        </w:rPr>
        <w:t>zadań zleconych, w tym głównie:</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wypłat świadczeń rodzinnych,</w:t>
      </w:r>
    </w:p>
    <w:p w:rsidR="007F07DD"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lastRenderedPageBreak/>
        <w:t>wypłat świadczeń w ramach Programu „Rodzina 500 Plus”,</w:t>
      </w:r>
    </w:p>
    <w:p w:rsidR="007F07DD" w:rsidRDefault="007F07DD" w:rsidP="007F07DD">
      <w:pPr>
        <w:pStyle w:val="Akapitzlist"/>
        <w:numPr>
          <w:ilvl w:val="0"/>
          <w:numId w:val="24"/>
        </w:numPr>
        <w:ind w:left="1134" w:hanging="283"/>
        <w:jc w:val="both"/>
        <w:rPr>
          <w:rFonts w:ascii="Verdana" w:hAnsi="Verdana"/>
          <w:sz w:val="16"/>
          <w:szCs w:val="16"/>
        </w:rPr>
      </w:pPr>
      <w:r>
        <w:rPr>
          <w:rFonts w:ascii="Verdana" w:hAnsi="Verdana"/>
          <w:sz w:val="16"/>
          <w:szCs w:val="16"/>
        </w:rPr>
        <w:t>wypłat świadczeń</w:t>
      </w:r>
      <w:r w:rsidRPr="00DC25D4">
        <w:rPr>
          <w:rFonts w:ascii="Verdana" w:hAnsi="Verdana"/>
          <w:sz w:val="16"/>
          <w:szCs w:val="16"/>
        </w:rPr>
        <w:t xml:space="preserve"> w ramach </w:t>
      </w:r>
      <w:r>
        <w:rPr>
          <w:rFonts w:ascii="Verdana" w:hAnsi="Verdana"/>
          <w:sz w:val="16"/>
          <w:szCs w:val="16"/>
        </w:rPr>
        <w:t>P</w:t>
      </w:r>
      <w:r w:rsidRPr="00DC25D4">
        <w:rPr>
          <w:rFonts w:ascii="Verdana" w:hAnsi="Verdana"/>
          <w:sz w:val="16"/>
          <w:szCs w:val="16"/>
        </w:rPr>
        <w:t>rogramu "Dobry start"</w:t>
      </w:r>
      <w:r>
        <w:rPr>
          <w:rFonts w:ascii="Verdana" w:hAnsi="Verdana"/>
          <w:sz w:val="16"/>
          <w:szCs w:val="16"/>
        </w:rPr>
        <w:t>,</w:t>
      </w:r>
    </w:p>
    <w:p w:rsidR="007F07DD" w:rsidRPr="000A6485" w:rsidRDefault="007F07DD" w:rsidP="007F07DD">
      <w:pPr>
        <w:pStyle w:val="Akapitzlist"/>
        <w:numPr>
          <w:ilvl w:val="0"/>
          <w:numId w:val="24"/>
        </w:numPr>
        <w:ind w:left="1134" w:hanging="283"/>
        <w:jc w:val="both"/>
        <w:rPr>
          <w:rFonts w:ascii="Verdana" w:hAnsi="Verdana"/>
          <w:sz w:val="16"/>
          <w:szCs w:val="16"/>
        </w:rPr>
      </w:pPr>
      <w:r w:rsidRPr="00DC25D4">
        <w:rPr>
          <w:rFonts w:ascii="Verdana" w:hAnsi="Verdana"/>
          <w:sz w:val="16"/>
          <w:szCs w:val="16"/>
        </w:rPr>
        <w:t>dofinansowanie zadań wynikających z programu kompleksowego wsparcia dla rodzin "Za życiem</w:t>
      </w:r>
      <w:r>
        <w:rPr>
          <w:rFonts w:ascii="Verdana" w:hAnsi="Verdana"/>
          <w:sz w:val="16"/>
          <w:szCs w:val="16"/>
        </w:rPr>
        <w:t>”,</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utrzymania Komendy Powiatowej Państwowej Straży Pożarnej,</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opłacenia składek na ubezpieczenie zdrowotne oraz świadczeń dla osób nieobjętych obowią</w:t>
      </w:r>
      <w:r>
        <w:rPr>
          <w:rFonts w:ascii="Verdana" w:hAnsi="Verdana"/>
          <w:sz w:val="16"/>
          <w:szCs w:val="16"/>
        </w:rPr>
        <w:t xml:space="preserve">zkiem ubezpieczenia zdrowotnego, za </w:t>
      </w:r>
      <w:r w:rsidRPr="00D1589B">
        <w:rPr>
          <w:rFonts w:ascii="Verdana" w:hAnsi="Verdana"/>
          <w:sz w:val="16"/>
          <w:szCs w:val="16"/>
        </w:rPr>
        <w:t>osoby pobierające niektóre świadczenia rodzinne</w:t>
      </w:r>
      <w:r>
        <w:rPr>
          <w:rFonts w:ascii="Verdana" w:hAnsi="Verdana"/>
          <w:sz w:val="16"/>
          <w:szCs w:val="16"/>
        </w:rPr>
        <w:t xml:space="preserve">, </w:t>
      </w:r>
      <w:r w:rsidRPr="00D1589B">
        <w:rPr>
          <w:rFonts w:ascii="Verdana" w:hAnsi="Verdana"/>
          <w:sz w:val="16"/>
          <w:szCs w:val="16"/>
        </w:rPr>
        <w:t>za osoby pobierające zasiłki dla opiekunów</w:t>
      </w:r>
      <w:r w:rsidRPr="00B2446D">
        <w:rPr>
          <w:rFonts w:ascii="Verdana" w:hAnsi="Verdana"/>
          <w:sz w:val="16"/>
          <w:szCs w:val="16"/>
        </w:rPr>
        <w:t xml:space="preserve"> </w:t>
      </w:r>
      <w:r w:rsidRPr="00D1589B">
        <w:rPr>
          <w:rFonts w:ascii="Verdana" w:hAnsi="Verdana"/>
          <w:sz w:val="16"/>
          <w:szCs w:val="16"/>
        </w:rPr>
        <w:t>oraz za osoby uczestniczące w zajęciach w centrum integracji społecznej</w:t>
      </w:r>
      <w:r>
        <w:rPr>
          <w:rFonts w:ascii="Verdana" w:hAnsi="Verdana"/>
          <w:sz w:val="16"/>
          <w:szCs w:val="16"/>
        </w:rPr>
        <w:t>,</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realizacji zadań z zakresu administracji rządowej,</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opracowa</w:t>
      </w:r>
      <w:r>
        <w:rPr>
          <w:rFonts w:ascii="Verdana" w:hAnsi="Verdana"/>
          <w:sz w:val="16"/>
          <w:szCs w:val="16"/>
        </w:rPr>
        <w:t>ń</w:t>
      </w:r>
      <w:r w:rsidRPr="000A6485">
        <w:rPr>
          <w:rFonts w:ascii="Verdana" w:hAnsi="Verdana"/>
          <w:sz w:val="16"/>
          <w:szCs w:val="16"/>
        </w:rPr>
        <w:t xml:space="preserve"> i</w:t>
      </w:r>
      <w:r>
        <w:rPr>
          <w:rFonts w:ascii="Verdana" w:hAnsi="Verdana"/>
          <w:sz w:val="16"/>
          <w:szCs w:val="16"/>
        </w:rPr>
        <w:t xml:space="preserve"> prac geodezyjnych</w:t>
      </w:r>
      <w:r w:rsidRPr="000A6485">
        <w:rPr>
          <w:rFonts w:ascii="Verdana" w:hAnsi="Verdana"/>
          <w:sz w:val="16"/>
          <w:szCs w:val="16"/>
        </w:rPr>
        <w:t xml:space="preserve"> i kartograficzn</w:t>
      </w:r>
      <w:r>
        <w:rPr>
          <w:rFonts w:ascii="Verdana" w:hAnsi="Verdana"/>
          <w:sz w:val="16"/>
          <w:szCs w:val="16"/>
        </w:rPr>
        <w:t>ych</w:t>
      </w:r>
      <w:r w:rsidRPr="000A6485">
        <w:rPr>
          <w:rFonts w:ascii="Verdana" w:hAnsi="Verdana"/>
          <w:sz w:val="16"/>
          <w:szCs w:val="16"/>
        </w:rPr>
        <w:t>,</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świadcze</w:t>
      </w:r>
      <w:r>
        <w:rPr>
          <w:rFonts w:ascii="Verdana" w:hAnsi="Verdana"/>
          <w:sz w:val="16"/>
          <w:szCs w:val="16"/>
        </w:rPr>
        <w:t>ń</w:t>
      </w:r>
      <w:r w:rsidRPr="000A6485">
        <w:rPr>
          <w:rFonts w:ascii="Verdana" w:hAnsi="Verdana"/>
          <w:sz w:val="16"/>
          <w:szCs w:val="16"/>
        </w:rPr>
        <w:t xml:space="preserve"> opieki zdrowotnej,</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funkcjonowania ośrodków wsparcia,</w:t>
      </w:r>
    </w:p>
    <w:p w:rsidR="007F07DD"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funkcjonowania placówek opiekuńczo-wychowawczych,</w:t>
      </w:r>
    </w:p>
    <w:p w:rsidR="007F07DD"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funkcjonowania</w:t>
      </w:r>
      <w:r w:rsidRPr="00B2446D">
        <w:rPr>
          <w:rFonts w:ascii="Verdana" w:hAnsi="Verdana"/>
          <w:sz w:val="16"/>
          <w:szCs w:val="16"/>
        </w:rPr>
        <w:t xml:space="preserve"> </w:t>
      </w:r>
      <w:r>
        <w:rPr>
          <w:rFonts w:ascii="Verdana" w:hAnsi="Verdana"/>
          <w:sz w:val="16"/>
          <w:szCs w:val="16"/>
        </w:rPr>
        <w:t>ośrodków</w:t>
      </w:r>
      <w:r w:rsidRPr="00D1589B">
        <w:rPr>
          <w:rFonts w:ascii="Verdana" w:hAnsi="Verdana"/>
          <w:sz w:val="16"/>
          <w:szCs w:val="16"/>
        </w:rPr>
        <w:t xml:space="preserve"> pomocy społecznej</w:t>
      </w:r>
      <w:r>
        <w:rPr>
          <w:rFonts w:ascii="Verdana" w:hAnsi="Verdana"/>
          <w:sz w:val="16"/>
          <w:szCs w:val="16"/>
        </w:rPr>
        <w:t>,</w:t>
      </w:r>
    </w:p>
    <w:p w:rsidR="007F07DD" w:rsidRPr="00B2446D" w:rsidRDefault="007F07DD" w:rsidP="007F07DD">
      <w:pPr>
        <w:pStyle w:val="Akapitzlist"/>
        <w:numPr>
          <w:ilvl w:val="0"/>
          <w:numId w:val="24"/>
        </w:numPr>
        <w:ind w:left="1134" w:hanging="283"/>
        <w:jc w:val="both"/>
        <w:rPr>
          <w:rFonts w:ascii="Verdana" w:hAnsi="Verdana"/>
          <w:sz w:val="16"/>
          <w:szCs w:val="16"/>
        </w:rPr>
      </w:pPr>
      <w:r w:rsidRPr="00B2446D">
        <w:rPr>
          <w:rFonts w:ascii="Verdana" w:hAnsi="Verdana"/>
          <w:sz w:val="16"/>
          <w:szCs w:val="16"/>
        </w:rPr>
        <w:t>przec</w:t>
      </w:r>
      <w:r>
        <w:rPr>
          <w:rFonts w:ascii="Verdana" w:hAnsi="Verdana"/>
          <w:sz w:val="16"/>
          <w:szCs w:val="16"/>
        </w:rPr>
        <w:t>iwdziałania przemocy w rodzinie,</w:t>
      </w:r>
    </w:p>
    <w:p w:rsidR="007F07DD" w:rsidRPr="00D1589B" w:rsidRDefault="007F07DD" w:rsidP="007F07DD">
      <w:pPr>
        <w:pStyle w:val="Akapitzlist"/>
        <w:numPr>
          <w:ilvl w:val="0"/>
          <w:numId w:val="24"/>
        </w:numPr>
        <w:ind w:left="1134" w:hanging="283"/>
        <w:jc w:val="both"/>
        <w:rPr>
          <w:rFonts w:ascii="Verdana" w:hAnsi="Verdana"/>
          <w:sz w:val="16"/>
          <w:szCs w:val="16"/>
        </w:rPr>
      </w:pPr>
      <w:r>
        <w:rPr>
          <w:rFonts w:ascii="Verdana" w:hAnsi="Verdana"/>
          <w:sz w:val="16"/>
          <w:szCs w:val="16"/>
        </w:rPr>
        <w:t>funkcjonowania zespołów</w:t>
      </w:r>
      <w:r w:rsidRPr="00D1589B">
        <w:rPr>
          <w:rFonts w:ascii="Verdana" w:hAnsi="Verdana"/>
          <w:sz w:val="16"/>
          <w:szCs w:val="16"/>
        </w:rPr>
        <w:t xml:space="preserve"> do spraw</w:t>
      </w:r>
      <w:r>
        <w:rPr>
          <w:rFonts w:ascii="Verdana" w:hAnsi="Verdana"/>
          <w:sz w:val="16"/>
          <w:szCs w:val="16"/>
        </w:rPr>
        <w:t xml:space="preserve"> orzekania o niepełnosprawności,</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funkcjonowania nadzoru budowlanego,</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gospodarki gruntami i nieruchomościami,</w:t>
      </w:r>
    </w:p>
    <w:p w:rsidR="007F07DD"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pomocy dla cudzoziemców i repatriantów,</w:t>
      </w:r>
    </w:p>
    <w:p w:rsidR="007F07DD" w:rsidRDefault="007F07DD" w:rsidP="007F07DD">
      <w:pPr>
        <w:pStyle w:val="Akapitzlist"/>
        <w:numPr>
          <w:ilvl w:val="0"/>
          <w:numId w:val="24"/>
        </w:numPr>
        <w:ind w:left="1134" w:hanging="283"/>
        <w:jc w:val="both"/>
        <w:rPr>
          <w:rFonts w:ascii="Verdana" w:hAnsi="Verdana"/>
          <w:sz w:val="16"/>
          <w:szCs w:val="16"/>
        </w:rPr>
      </w:pPr>
      <w:r>
        <w:rPr>
          <w:rFonts w:ascii="Verdana" w:hAnsi="Verdana"/>
          <w:sz w:val="16"/>
          <w:szCs w:val="16"/>
        </w:rPr>
        <w:t>ewidencji</w:t>
      </w:r>
      <w:r w:rsidRPr="00D1589B">
        <w:rPr>
          <w:rFonts w:ascii="Verdana" w:hAnsi="Verdana"/>
          <w:sz w:val="16"/>
          <w:szCs w:val="16"/>
        </w:rPr>
        <w:t xml:space="preserve"> ludności</w:t>
      </w:r>
      <w:r>
        <w:rPr>
          <w:rFonts w:ascii="Verdana" w:hAnsi="Verdana"/>
          <w:sz w:val="16"/>
          <w:szCs w:val="16"/>
        </w:rPr>
        <w:t>,</w:t>
      </w:r>
    </w:p>
    <w:p w:rsidR="007F07DD" w:rsidRDefault="007F07DD" w:rsidP="007F07DD">
      <w:pPr>
        <w:pStyle w:val="Akapitzlist"/>
        <w:numPr>
          <w:ilvl w:val="0"/>
          <w:numId w:val="24"/>
        </w:numPr>
        <w:ind w:left="1134" w:hanging="283"/>
        <w:jc w:val="both"/>
        <w:rPr>
          <w:rFonts w:ascii="Verdana" w:hAnsi="Verdana"/>
          <w:sz w:val="16"/>
          <w:szCs w:val="16"/>
        </w:rPr>
      </w:pPr>
      <w:r>
        <w:rPr>
          <w:rFonts w:ascii="Verdana" w:hAnsi="Verdana"/>
          <w:sz w:val="16"/>
          <w:szCs w:val="16"/>
        </w:rPr>
        <w:t xml:space="preserve">udzielania </w:t>
      </w:r>
      <w:r w:rsidRPr="00D1589B">
        <w:rPr>
          <w:rFonts w:ascii="Verdana" w:hAnsi="Verdana"/>
          <w:sz w:val="16"/>
          <w:szCs w:val="16"/>
        </w:rPr>
        <w:t>nieodpłatn</w:t>
      </w:r>
      <w:r>
        <w:rPr>
          <w:rFonts w:ascii="Verdana" w:hAnsi="Verdana"/>
          <w:sz w:val="16"/>
          <w:szCs w:val="16"/>
        </w:rPr>
        <w:t>ej</w:t>
      </w:r>
      <w:r w:rsidRPr="00D1589B">
        <w:rPr>
          <w:rFonts w:ascii="Verdana" w:hAnsi="Verdana"/>
          <w:sz w:val="16"/>
          <w:szCs w:val="16"/>
        </w:rPr>
        <w:t xml:space="preserve"> pomoc</w:t>
      </w:r>
      <w:r>
        <w:rPr>
          <w:rFonts w:ascii="Verdana" w:hAnsi="Verdana"/>
          <w:sz w:val="16"/>
          <w:szCs w:val="16"/>
        </w:rPr>
        <w:t>y</w:t>
      </w:r>
      <w:r w:rsidRPr="00D1589B">
        <w:rPr>
          <w:rFonts w:ascii="Verdana" w:hAnsi="Verdana"/>
          <w:sz w:val="16"/>
          <w:szCs w:val="16"/>
        </w:rPr>
        <w:t xml:space="preserve"> prawn</w:t>
      </w:r>
      <w:r>
        <w:rPr>
          <w:rFonts w:ascii="Verdana" w:hAnsi="Verdana"/>
          <w:sz w:val="16"/>
          <w:szCs w:val="16"/>
        </w:rPr>
        <w:t>ej,</w:t>
      </w:r>
    </w:p>
    <w:p w:rsidR="007F07DD" w:rsidRPr="00D1589B" w:rsidRDefault="007F07DD" w:rsidP="007F07DD">
      <w:pPr>
        <w:pStyle w:val="Akapitzlist"/>
        <w:numPr>
          <w:ilvl w:val="0"/>
          <w:numId w:val="24"/>
        </w:numPr>
        <w:ind w:left="1134" w:hanging="283"/>
        <w:jc w:val="both"/>
        <w:rPr>
          <w:rFonts w:ascii="Verdana" w:hAnsi="Verdana"/>
          <w:sz w:val="16"/>
          <w:szCs w:val="16"/>
        </w:rPr>
      </w:pPr>
      <w:r>
        <w:rPr>
          <w:rFonts w:ascii="Verdana" w:hAnsi="Verdana"/>
          <w:sz w:val="16"/>
          <w:szCs w:val="16"/>
        </w:rPr>
        <w:t xml:space="preserve">przeprowadzania </w:t>
      </w:r>
      <w:r w:rsidRPr="00D1589B">
        <w:rPr>
          <w:rFonts w:ascii="Verdana" w:hAnsi="Verdana"/>
          <w:sz w:val="16"/>
          <w:szCs w:val="16"/>
        </w:rPr>
        <w:t>kwalifikacj</w:t>
      </w:r>
      <w:r>
        <w:rPr>
          <w:rFonts w:ascii="Verdana" w:hAnsi="Verdana"/>
          <w:sz w:val="16"/>
          <w:szCs w:val="16"/>
        </w:rPr>
        <w:t xml:space="preserve">i </w:t>
      </w:r>
      <w:r w:rsidRPr="00D1589B">
        <w:rPr>
          <w:rFonts w:ascii="Verdana" w:hAnsi="Verdana"/>
          <w:sz w:val="16"/>
          <w:szCs w:val="16"/>
        </w:rPr>
        <w:t>wojskow</w:t>
      </w:r>
      <w:r>
        <w:rPr>
          <w:rFonts w:ascii="Verdana" w:hAnsi="Verdana"/>
          <w:sz w:val="16"/>
          <w:szCs w:val="16"/>
        </w:rPr>
        <w:t>ej,</w:t>
      </w:r>
    </w:p>
    <w:p w:rsidR="007F07DD" w:rsidRPr="000A6485" w:rsidRDefault="007F07DD" w:rsidP="007F07DD">
      <w:pPr>
        <w:pStyle w:val="Akapitzlist"/>
        <w:numPr>
          <w:ilvl w:val="0"/>
          <w:numId w:val="13"/>
        </w:numPr>
        <w:spacing w:before="60" w:after="60"/>
        <w:ind w:left="567" w:hanging="283"/>
        <w:jc w:val="both"/>
        <w:rPr>
          <w:rFonts w:ascii="Verdana" w:hAnsi="Verdana"/>
          <w:sz w:val="16"/>
          <w:szCs w:val="16"/>
        </w:rPr>
      </w:pPr>
      <w:r w:rsidRPr="000A6485">
        <w:rPr>
          <w:rFonts w:ascii="Verdana" w:hAnsi="Verdana"/>
          <w:sz w:val="16"/>
          <w:szCs w:val="16"/>
        </w:rPr>
        <w:t>zadań realizowanych na podstawie porozumień z organami administracji rządowej, w tym głównie:</w:t>
      </w:r>
    </w:p>
    <w:p w:rsidR="007F07DD" w:rsidRPr="000A6485" w:rsidRDefault="007F07DD" w:rsidP="007F07DD">
      <w:pPr>
        <w:pStyle w:val="Akapitzlist"/>
        <w:numPr>
          <w:ilvl w:val="0"/>
          <w:numId w:val="24"/>
        </w:numPr>
        <w:ind w:left="1134" w:hanging="283"/>
        <w:jc w:val="both"/>
        <w:rPr>
          <w:rFonts w:ascii="Verdana" w:hAnsi="Verdana"/>
          <w:sz w:val="16"/>
          <w:szCs w:val="16"/>
        </w:rPr>
      </w:pPr>
      <w:proofErr w:type="spellStart"/>
      <w:r w:rsidRPr="000A6485">
        <w:rPr>
          <w:rFonts w:ascii="Verdana" w:hAnsi="Verdana"/>
          <w:sz w:val="16"/>
          <w:szCs w:val="16"/>
        </w:rPr>
        <w:t>grobownictwo</w:t>
      </w:r>
      <w:proofErr w:type="spellEnd"/>
      <w:r w:rsidRPr="000A6485">
        <w:rPr>
          <w:rFonts w:ascii="Verdana" w:hAnsi="Verdana"/>
          <w:sz w:val="16"/>
          <w:szCs w:val="16"/>
        </w:rPr>
        <w:t xml:space="preserve"> wojenne,</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utrzymanie i funkcjonowanie systemu powiadamiania ratunkowego na terenie kraju,</w:t>
      </w:r>
    </w:p>
    <w:p w:rsidR="007F07DD" w:rsidRPr="000A6485" w:rsidRDefault="007F07DD" w:rsidP="007F07DD">
      <w:pPr>
        <w:pStyle w:val="Akapitzlist"/>
        <w:numPr>
          <w:ilvl w:val="0"/>
          <w:numId w:val="24"/>
        </w:numPr>
        <w:ind w:left="1134" w:hanging="283"/>
        <w:jc w:val="both"/>
        <w:rPr>
          <w:rFonts w:ascii="Verdana" w:hAnsi="Verdana"/>
          <w:sz w:val="16"/>
          <w:szCs w:val="16"/>
        </w:rPr>
      </w:pPr>
      <w:r w:rsidRPr="000A6485">
        <w:rPr>
          <w:rFonts w:ascii="Verdana" w:hAnsi="Verdana"/>
          <w:sz w:val="16"/>
          <w:szCs w:val="16"/>
        </w:rPr>
        <w:t>obsługa cudzoziemców.</w:t>
      </w:r>
    </w:p>
    <w:p w:rsidR="007F07DD" w:rsidRPr="000A6485" w:rsidRDefault="007F07DD" w:rsidP="007F07DD">
      <w:pPr>
        <w:pStyle w:val="Default"/>
        <w:spacing w:before="120" w:after="120" w:line="360" w:lineRule="auto"/>
        <w:jc w:val="both"/>
        <w:rPr>
          <w:rFonts w:ascii="Verdana" w:hAnsi="Verdana"/>
          <w:sz w:val="16"/>
          <w:szCs w:val="16"/>
        </w:rPr>
      </w:pPr>
      <w:r w:rsidRPr="000A6485">
        <w:rPr>
          <w:rFonts w:ascii="Verdana" w:hAnsi="Verdana"/>
          <w:b/>
          <w:sz w:val="16"/>
          <w:szCs w:val="16"/>
        </w:rPr>
        <w:t>Dotacje z budżetów innych jednostek samorządu terytorialnego na funkcjonowanie komunikacji podmiejskiej</w:t>
      </w:r>
      <w:r w:rsidRPr="000A6485">
        <w:rPr>
          <w:rFonts w:ascii="Verdana" w:hAnsi="Verdana" w:cs="Times New Roman"/>
          <w:color w:val="auto"/>
          <w:sz w:val="16"/>
          <w:szCs w:val="16"/>
        </w:rPr>
        <w:t xml:space="preserve"> stanowią dotacje celowe z gmin podwarszawskich z tytułu funkcjonowania - w ramach lokalnego transportu zbiorowego organizowanego przez m.st. Warszawa - komunikacji na obszarze tych gmin </w:t>
      </w:r>
      <w:r w:rsidRPr="000A6485">
        <w:rPr>
          <w:rFonts w:ascii="Verdana" w:hAnsi="Verdana" w:cs="Times New Roman"/>
          <w:color w:val="auto"/>
          <w:sz w:val="16"/>
          <w:szCs w:val="16"/>
        </w:rPr>
        <w:br/>
        <w:t xml:space="preserve">na podstawie zawartych porozumień międzygminnych. Założono poziom dochodów z tego tytułu w wysokości </w:t>
      </w:r>
      <w:r>
        <w:rPr>
          <w:rFonts w:ascii="Verdana" w:hAnsi="Verdana"/>
          <w:b/>
          <w:sz w:val="16"/>
          <w:szCs w:val="16"/>
        </w:rPr>
        <w:t>84</w:t>
      </w:r>
      <w:r w:rsidRPr="000A6485">
        <w:rPr>
          <w:rFonts w:ascii="Verdana" w:hAnsi="Verdana"/>
          <w:b/>
          <w:sz w:val="16"/>
          <w:szCs w:val="16"/>
        </w:rPr>
        <w:t>,0 mln zł</w:t>
      </w:r>
      <w:r w:rsidRPr="000A6485">
        <w:rPr>
          <w:rFonts w:ascii="Verdana" w:hAnsi="Verdana"/>
          <w:sz w:val="16"/>
          <w:szCs w:val="16"/>
        </w:rPr>
        <w:t xml:space="preserve"> rocznie.</w:t>
      </w:r>
    </w:p>
    <w:p w:rsidR="007F07DD" w:rsidRPr="00B2446D" w:rsidRDefault="007F07DD" w:rsidP="007F07DD">
      <w:pPr>
        <w:spacing w:before="120" w:after="120"/>
        <w:jc w:val="both"/>
        <w:rPr>
          <w:rFonts w:ascii="Verdana" w:hAnsi="Verdana"/>
          <w:sz w:val="16"/>
          <w:szCs w:val="16"/>
        </w:rPr>
      </w:pPr>
      <w:r w:rsidRPr="00B2446D">
        <w:rPr>
          <w:rFonts w:ascii="Verdana" w:hAnsi="Verdana"/>
          <w:sz w:val="16"/>
          <w:szCs w:val="16"/>
        </w:rPr>
        <w:t xml:space="preserve">Prognoza dochodów ujmuje </w:t>
      </w:r>
      <w:r w:rsidRPr="00B2446D">
        <w:rPr>
          <w:rFonts w:ascii="Verdana" w:hAnsi="Verdana"/>
          <w:b/>
          <w:sz w:val="16"/>
          <w:szCs w:val="16"/>
        </w:rPr>
        <w:t>dochody przekazywane z budżetu Unii Europejskiej</w:t>
      </w:r>
      <w:r w:rsidRPr="00B2446D">
        <w:rPr>
          <w:rFonts w:ascii="Verdana" w:hAnsi="Verdana"/>
          <w:sz w:val="16"/>
          <w:szCs w:val="16"/>
        </w:rPr>
        <w:t xml:space="preserve"> w ramach perspektywy finansowej obejmującej lata 2014-2020.</w:t>
      </w:r>
    </w:p>
    <w:p w:rsidR="007F07DD" w:rsidRPr="00B2446D" w:rsidRDefault="007F07DD" w:rsidP="007F07DD">
      <w:pPr>
        <w:spacing w:before="120" w:after="120"/>
        <w:jc w:val="both"/>
        <w:rPr>
          <w:rFonts w:ascii="Verdana" w:hAnsi="Verdana"/>
          <w:sz w:val="16"/>
          <w:szCs w:val="16"/>
        </w:rPr>
      </w:pPr>
      <w:r w:rsidRPr="00B2446D">
        <w:rPr>
          <w:rFonts w:ascii="Verdana" w:hAnsi="Verdana"/>
          <w:sz w:val="16"/>
          <w:szCs w:val="16"/>
        </w:rPr>
        <w:t xml:space="preserve">Dochody z tytułu realizacji bieżących programów Unii Europejskiej będą realizowane w latach 2022-2025 </w:t>
      </w:r>
      <w:r w:rsidRPr="00B2446D">
        <w:rPr>
          <w:rFonts w:ascii="Verdana" w:hAnsi="Verdana"/>
          <w:sz w:val="16"/>
          <w:szCs w:val="16"/>
        </w:rPr>
        <w:br/>
        <w:t xml:space="preserve">i wyniosą łącznie </w:t>
      </w:r>
      <w:r>
        <w:rPr>
          <w:rFonts w:ascii="Verdana" w:hAnsi="Verdana"/>
          <w:b/>
          <w:sz w:val="16"/>
          <w:szCs w:val="16"/>
        </w:rPr>
        <w:t>49,3</w:t>
      </w:r>
      <w:r w:rsidRPr="00B2446D">
        <w:rPr>
          <w:rFonts w:ascii="Verdana" w:hAnsi="Verdana"/>
          <w:b/>
          <w:sz w:val="16"/>
          <w:szCs w:val="16"/>
        </w:rPr>
        <w:t xml:space="preserve"> mln zł</w:t>
      </w:r>
      <w:r w:rsidRPr="00B2446D">
        <w:rPr>
          <w:rFonts w:ascii="Verdana" w:hAnsi="Verdana"/>
          <w:sz w:val="16"/>
          <w:szCs w:val="16"/>
        </w:rPr>
        <w:t>. W poszczególnych latach będą kształtowały się następująco:</w:t>
      </w:r>
    </w:p>
    <w:p w:rsidR="007F07DD" w:rsidRPr="00B2446D" w:rsidRDefault="007F07DD" w:rsidP="007F07DD">
      <w:pPr>
        <w:numPr>
          <w:ilvl w:val="0"/>
          <w:numId w:val="10"/>
        </w:numPr>
        <w:tabs>
          <w:tab w:val="clear" w:pos="1080"/>
          <w:tab w:val="num" w:pos="540"/>
        </w:tabs>
        <w:ind w:left="539" w:hanging="255"/>
        <w:jc w:val="both"/>
        <w:rPr>
          <w:rFonts w:ascii="Verdana" w:hAnsi="Verdana"/>
          <w:sz w:val="16"/>
          <w:szCs w:val="16"/>
        </w:rPr>
      </w:pPr>
      <w:r w:rsidRPr="00B2446D">
        <w:rPr>
          <w:rFonts w:ascii="Verdana" w:hAnsi="Verdana"/>
          <w:sz w:val="16"/>
          <w:szCs w:val="16"/>
        </w:rPr>
        <w:t xml:space="preserve">2022 r.: </w:t>
      </w:r>
      <w:r>
        <w:rPr>
          <w:rFonts w:ascii="Verdana" w:hAnsi="Verdana"/>
          <w:b/>
          <w:sz w:val="16"/>
          <w:szCs w:val="16"/>
        </w:rPr>
        <w:t>39,9</w:t>
      </w:r>
      <w:r w:rsidRPr="00B2446D">
        <w:rPr>
          <w:rFonts w:ascii="Verdana" w:hAnsi="Verdana"/>
          <w:b/>
          <w:sz w:val="16"/>
          <w:szCs w:val="16"/>
        </w:rPr>
        <w:t xml:space="preserve"> mln zł</w:t>
      </w:r>
    </w:p>
    <w:p w:rsidR="007F07DD" w:rsidRPr="00B2446D" w:rsidRDefault="007F07DD" w:rsidP="007F07DD">
      <w:pPr>
        <w:numPr>
          <w:ilvl w:val="0"/>
          <w:numId w:val="10"/>
        </w:numPr>
        <w:tabs>
          <w:tab w:val="clear" w:pos="1080"/>
          <w:tab w:val="num" w:pos="540"/>
        </w:tabs>
        <w:ind w:left="539" w:hanging="255"/>
        <w:jc w:val="both"/>
        <w:rPr>
          <w:rFonts w:ascii="Verdana" w:hAnsi="Verdana"/>
          <w:sz w:val="16"/>
          <w:szCs w:val="16"/>
        </w:rPr>
      </w:pPr>
      <w:r w:rsidRPr="00B2446D">
        <w:rPr>
          <w:rFonts w:ascii="Verdana" w:hAnsi="Verdana"/>
          <w:sz w:val="16"/>
          <w:szCs w:val="16"/>
        </w:rPr>
        <w:t xml:space="preserve">2023 r.:   </w:t>
      </w:r>
      <w:r>
        <w:rPr>
          <w:rFonts w:ascii="Verdana" w:hAnsi="Verdana"/>
          <w:b/>
          <w:sz w:val="16"/>
          <w:szCs w:val="16"/>
        </w:rPr>
        <w:t>7,5</w:t>
      </w:r>
      <w:r w:rsidRPr="00B2446D">
        <w:rPr>
          <w:rFonts w:ascii="Verdana" w:hAnsi="Verdana"/>
          <w:b/>
          <w:sz w:val="16"/>
          <w:szCs w:val="16"/>
        </w:rPr>
        <w:t xml:space="preserve"> mln zł</w:t>
      </w:r>
    </w:p>
    <w:p w:rsidR="007F07DD" w:rsidRPr="00B2446D" w:rsidRDefault="007F07DD" w:rsidP="007F07DD">
      <w:pPr>
        <w:numPr>
          <w:ilvl w:val="0"/>
          <w:numId w:val="10"/>
        </w:numPr>
        <w:tabs>
          <w:tab w:val="clear" w:pos="1080"/>
          <w:tab w:val="num" w:pos="540"/>
        </w:tabs>
        <w:ind w:left="539" w:hanging="255"/>
        <w:jc w:val="both"/>
        <w:rPr>
          <w:rFonts w:ascii="Verdana" w:hAnsi="Verdana"/>
          <w:sz w:val="16"/>
          <w:szCs w:val="16"/>
        </w:rPr>
      </w:pPr>
      <w:r w:rsidRPr="00B2446D">
        <w:rPr>
          <w:rFonts w:ascii="Verdana" w:hAnsi="Verdana"/>
          <w:sz w:val="16"/>
          <w:szCs w:val="16"/>
        </w:rPr>
        <w:t xml:space="preserve">2024 r.:   </w:t>
      </w:r>
      <w:r>
        <w:rPr>
          <w:rFonts w:ascii="Verdana" w:hAnsi="Verdana"/>
          <w:b/>
          <w:sz w:val="16"/>
          <w:szCs w:val="16"/>
        </w:rPr>
        <w:t>0,8</w:t>
      </w:r>
      <w:r w:rsidRPr="00B2446D">
        <w:rPr>
          <w:rFonts w:ascii="Verdana" w:hAnsi="Verdana"/>
          <w:b/>
          <w:sz w:val="16"/>
          <w:szCs w:val="16"/>
        </w:rPr>
        <w:t xml:space="preserve"> mln zł</w:t>
      </w:r>
    </w:p>
    <w:p w:rsidR="007F07DD" w:rsidRPr="00B2446D" w:rsidRDefault="007F07DD" w:rsidP="007F07DD">
      <w:pPr>
        <w:numPr>
          <w:ilvl w:val="0"/>
          <w:numId w:val="10"/>
        </w:numPr>
        <w:tabs>
          <w:tab w:val="clear" w:pos="1080"/>
          <w:tab w:val="num" w:pos="540"/>
        </w:tabs>
        <w:ind w:left="539" w:hanging="255"/>
        <w:jc w:val="both"/>
        <w:rPr>
          <w:rFonts w:ascii="Verdana" w:hAnsi="Verdana"/>
          <w:sz w:val="16"/>
          <w:szCs w:val="16"/>
        </w:rPr>
      </w:pPr>
      <w:r w:rsidRPr="00B2446D">
        <w:rPr>
          <w:rFonts w:ascii="Verdana" w:hAnsi="Verdana"/>
          <w:sz w:val="16"/>
          <w:szCs w:val="16"/>
        </w:rPr>
        <w:t xml:space="preserve">2025 r.:   </w:t>
      </w:r>
      <w:r>
        <w:rPr>
          <w:rFonts w:ascii="Verdana" w:hAnsi="Verdana"/>
          <w:b/>
          <w:sz w:val="16"/>
          <w:szCs w:val="16"/>
        </w:rPr>
        <w:t>1,1</w:t>
      </w:r>
      <w:r w:rsidRPr="00B2446D">
        <w:rPr>
          <w:rFonts w:ascii="Verdana" w:hAnsi="Verdana"/>
          <w:b/>
          <w:sz w:val="16"/>
          <w:szCs w:val="16"/>
        </w:rPr>
        <w:t xml:space="preserve"> mln zł</w:t>
      </w:r>
    </w:p>
    <w:p w:rsidR="007F07DD" w:rsidRDefault="007F07DD" w:rsidP="007F07DD">
      <w:pPr>
        <w:spacing w:before="240" w:after="240"/>
        <w:rPr>
          <w:rFonts w:ascii="Verdana" w:hAnsi="Verdana"/>
          <w:b/>
          <w:bCs/>
          <w:sz w:val="18"/>
          <w:szCs w:val="18"/>
        </w:rPr>
      </w:pPr>
      <w:r>
        <w:rPr>
          <w:rFonts w:ascii="Verdana" w:hAnsi="Verdana"/>
          <w:b/>
          <w:bCs/>
          <w:sz w:val="18"/>
          <w:szCs w:val="18"/>
        </w:rPr>
        <w:br w:type="page"/>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lastRenderedPageBreak/>
        <w:t>7.2.3.5 Prognoza dochodów z podatku od nieruchomości</w:t>
      </w:r>
    </w:p>
    <w:p w:rsidR="007F07DD" w:rsidRPr="000A6485" w:rsidRDefault="007F07DD" w:rsidP="007F07DD">
      <w:pPr>
        <w:tabs>
          <w:tab w:val="left" w:pos="0"/>
        </w:tabs>
        <w:spacing w:before="12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26</w:t>
      </w:r>
      <w:r w:rsidRPr="000A6485">
        <w:rPr>
          <w:rFonts w:ascii="Verdana" w:hAnsi="Verdana"/>
          <w:sz w:val="16"/>
          <w:szCs w:val="16"/>
        </w:rPr>
        <w:t xml:space="preserve"> prezentuje prognozowane dochody z podatku od nieruchomości w poszczególnych latach objętych Prognozą.</w:t>
      </w:r>
    </w:p>
    <w:p w:rsidR="007F07DD" w:rsidRPr="000A6485" w:rsidRDefault="007F07DD" w:rsidP="007F07DD">
      <w:pPr>
        <w:tabs>
          <w:tab w:val="left" w:pos="567"/>
        </w:tabs>
        <w:spacing w:before="120" w:after="60" w:line="240" w:lineRule="auto"/>
        <w:ind w:left="567" w:hanging="567"/>
        <w:rPr>
          <w:rFonts w:ascii="Verdana" w:hAnsi="Verdana" w:cs="Arial"/>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26</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 PODATKU OD NIERUCHOMOŚCI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
          <w:bCs/>
          <w:sz w:val="14"/>
          <w:szCs w:val="14"/>
        </w:rPr>
        <w:br/>
      </w:r>
      <w:r w:rsidRPr="000A6485">
        <w:rPr>
          <w:rFonts w:ascii="Verdana" w:hAnsi="Verdana" w:cs="Arial"/>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sz w:val="18"/>
          <w:szCs w:val="18"/>
        </w:rPr>
      </w:pPr>
      <w:r>
        <w:rPr>
          <w:rFonts w:ascii="Verdana" w:hAnsi="Verdana"/>
          <w:b/>
          <w:bCs/>
          <w:noProof/>
          <w:sz w:val="20"/>
          <w:szCs w:val="20"/>
        </w:rPr>
        <w:pict>
          <v:shape id="_x0000_i1045" type="#_x0000_t75" style="width:453.4pt;height:230.9pt">
            <v:imagedata r:id="rId39" o:title=""/>
          </v:shape>
        </w:pict>
      </w:r>
    </w:p>
    <w:p w:rsidR="007F07DD" w:rsidRPr="00A61201" w:rsidRDefault="007F07DD" w:rsidP="007F07DD">
      <w:pPr>
        <w:spacing w:before="120" w:after="120"/>
        <w:ind w:firstLine="539"/>
        <w:jc w:val="both"/>
        <w:rPr>
          <w:rFonts w:ascii="Verdana" w:hAnsi="Verdana"/>
          <w:sz w:val="16"/>
          <w:szCs w:val="16"/>
        </w:rPr>
      </w:pPr>
      <w:r w:rsidRPr="00A61201">
        <w:rPr>
          <w:rFonts w:ascii="Verdana" w:hAnsi="Verdana"/>
          <w:sz w:val="16"/>
          <w:szCs w:val="16"/>
        </w:rPr>
        <w:t>Prognozuje się, że wpływy m.st. Warszawy z podatku od nieruchomości w okresie pierwszych pięciu lat prognozy tj. od 202</w:t>
      </w:r>
      <w:r>
        <w:rPr>
          <w:rFonts w:ascii="Verdana" w:hAnsi="Verdana"/>
          <w:sz w:val="16"/>
          <w:szCs w:val="16"/>
        </w:rPr>
        <w:t>2</w:t>
      </w:r>
      <w:r w:rsidRPr="00A61201">
        <w:rPr>
          <w:rFonts w:ascii="Verdana" w:hAnsi="Verdana"/>
          <w:sz w:val="16"/>
          <w:szCs w:val="16"/>
        </w:rPr>
        <w:t xml:space="preserve"> do 202</w:t>
      </w:r>
      <w:r>
        <w:rPr>
          <w:rFonts w:ascii="Verdana" w:hAnsi="Verdana"/>
          <w:sz w:val="16"/>
          <w:szCs w:val="16"/>
        </w:rPr>
        <w:t>6</w:t>
      </w:r>
      <w:r w:rsidRPr="00A61201">
        <w:rPr>
          <w:rFonts w:ascii="Verdana" w:hAnsi="Verdana"/>
          <w:sz w:val="16"/>
          <w:szCs w:val="16"/>
        </w:rPr>
        <w:t xml:space="preserve"> r. wyniosą łącznie </w:t>
      </w:r>
      <w:r>
        <w:rPr>
          <w:rFonts w:ascii="Verdana" w:hAnsi="Verdana"/>
          <w:b/>
          <w:sz w:val="16"/>
          <w:szCs w:val="16"/>
        </w:rPr>
        <w:t>7,4</w:t>
      </w:r>
      <w:r w:rsidRPr="00A61201">
        <w:rPr>
          <w:rFonts w:ascii="Verdana" w:hAnsi="Verdana"/>
          <w:b/>
          <w:sz w:val="16"/>
          <w:szCs w:val="16"/>
        </w:rPr>
        <w:t xml:space="preserve"> mld zł</w:t>
      </w:r>
      <w:r w:rsidRPr="00A61201">
        <w:rPr>
          <w:rFonts w:ascii="Verdana" w:hAnsi="Verdana"/>
          <w:sz w:val="16"/>
          <w:szCs w:val="16"/>
        </w:rPr>
        <w:t xml:space="preserve">, co będzie stanowiło </w:t>
      </w:r>
      <w:r>
        <w:rPr>
          <w:rFonts w:ascii="Verdana" w:hAnsi="Verdana"/>
          <w:b/>
          <w:sz w:val="16"/>
          <w:szCs w:val="16"/>
        </w:rPr>
        <w:t>7,7</w:t>
      </w:r>
      <w:r w:rsidRPr="00A61201">
        <w:rPr>
          <w:rFonts w:ascii="Verdana" w:hAnsi="Verdana"/>
          <w:b/>
          <w:sz w:val="16"/>
          <w:szCs w:val="16"/>
        </w:rPr>
        <w:t>%</w:t>
      </w:r>
      <w:r w:rsidRPr="00A61201">
        <w:rPr>
          <w:rFonts w:ascii="Verdana" w:hAnsi="Verdana"/>
          <w:sz w:val="16"/>
          <w:szCs w:val="16"/>
        </w:rPr>
        <w:t xml:space="preserve"> planowanych </w:t>
      </w:r>
      <w:r w:rsidRPr="00A61201">
        <w:rPr>
          <w:rFonts w:ascii="Verdana" w:hAnsi="Verdana"/>
          <w:sz w:val="16"/>
          <w:szCs w:val="16"/>
        </w:rPr>
        <w:br/>
        <w:t>do realizacji w tym okresie dochodów ogółem.</w:t>
      </w:r>
    </w:p>
    <w:p w:rsidR="007F07DD" w:rsidRPr="00A61201" w:rsidRDefault="007F07DD" w:rsidP="007F07DD">
      <w:pPr>
        <w:spacing w:before="60" w:after="60"/>
        <w:jc w:val="both"/>
        <w:rPr>
          <w:rFonts w:ascii="Verdana" w:hAnsi="Verdana"/>
          <w:sz w:val="16"/>
          <w:szCs w:val="16"/>
        </w:rPr>
      </w:pPr>
      <w:r w:rsidRPr="00A61201">
        <w:rPr>
          <w:rFonts w:ascii="Verdana" w:hAnsi="Verdana"/>
          <w:sz w:val="16"/>
          <w:szCs w:val="16"/>
        </w:rPr>
        <w:t>W kalkulacji planu dochodów z</w:t>
      </w:r>
      <w:r w:rsidRPr="00A61201">
        <w:rPr>
          <w:rFonts w:ascii="Verdana" w:hAnsi="Verdana"/>
          <w:b/>
          <w:bCs/>
          <w:sz w:val="16"/>
          <w:szCs w:val="16"/>
        </w:rPr>
        <w:t xml:space="preserve"> </w:t>
      </w:r>
      <w:r w:rsidRPr="00A61201">
        <w:rPr>
          <w:rFonts w:ascii="Verdana" w:hAnsi="Verdana"/>
          <w:sz w:val="16"/>
          <w:szCs w:val="16"/>
        </w:rPr>
        <w:t>podatku od nieruchomości na 202</w:t>
      </w:r>
      <w:r>
        <w:rPr>
          <w:rFonts w:ascii="Verdana" w:hAnsi="Verdana"/>
          <w:sz w:val="16"/>
          <w:szCs w:val="16"/>
        </w:rPr>
        <w:t>2</w:t>
      </w:r>
      <w:r w:rsidRPr="00A61201">
        <w:rPr>
          <w:rFonts w:ascii="Verdana" w:hAnsi="Verdana"/>
          <w:sz w:val="16"/>
          <w:szCs w:val="16"/>
        </w:rPr>
        <w:t xml:space="preserve"> r. uwzględniono bieżący stan bazy podatkowej (podstawa wymiaru podatku) oraz stopień ściągalności</w:t>
      </w:r>
      <w:r>
        <w:rPr>
          <w:rFonts w:ascii="Verdana" w:hAnsi="Verdana"/>
          <w:sz w:val="16"/>
          <w:szCs w:val="16"/>
        </w:rPr>
        <w:t>.</w:t>
      </w:r>
      <w:r w:rsidRPr="00A61201">
        <w:rPr>
          <w:rFonts w:ascii="Verdana" w:hAnsi="Verdana"/>
          <w:sz w:val="16"/>
          <w:szCs w:val="16"/>
        </w:rPr>
        <w:t xml:space="preserve"> </w:t>
      </w:r>
    </w:p>
    <w:p w:rsidR="007F07DD" w:rsidRPr="000A6485" w:rsidRDefault="007F07DD" w:rsidP="007F07DD">
      <w:pPr>
        <w:spacing w:before="120" w:after="120"/>
        <w:ind w:firstLine="567"/>
        <w:jc w:val="both"/>
        <w:rPr>
          <w:rFonts w:ascii="Verdana" w:hAnsi="Verdana"/>
          <w:sz w:val="16"/>
          <w:szCs w:val="16"/>
        </w:rPr>
      </w:pPr>
      <w:r w:rsidRPr="00A61201">
        <w:rPr>
          <w:rFonts w:ascii="Verdana" w:hAnsi="Verdana"/>
          <w:sz w:val="16"/>
          <w:szCs w:val="16"/>
        </w:rPr>
        <w:t xml:space="preserve">Dynamika wpływów z podatku od nieruchomości w dłuższej perspektywie sięgającej 2050 r. będzie zbliżona z prognozowaną </w:t>
      </w:r>
      <w:r>
        <w:rPr>
          <w:rFonts w:ascii="Verdana" w:hAnsi="Verdana"/>
          <w:sz w:val="16"/>
          <w:szCs w:val="16"/>
        </w:rPr>
        <w:t>–</w:t>
      </w:r>
      <w:r w:rsidRPr="00A61201">
        <w:rPr>
          <w:rFonts w:ascii="Verdana" w:hAnsi="Verdana"/>
          <w:sz w:val="16"/>
          <w:szCs w:val="16"/>
        </w:rPr>
        <w:t xml:space="preserve"> </w:t>
      </w:r>
      <w:r>
        <w:rPr>
          <w:rFonts w:ascii="Verdana" w:hAnsi="Verdana"/>
          <w:sz w:val="16"/>
          <w:szCs w:val="16"/>
        </w:rPr>
        <w:t xml:space="preserve">w opublikowanych przez Ministerstwo Finansów 31 sierpnia 2021 r. </w:t>
      </w:r>
      <w:r>
        <w:rPr>
          <w:rFonts w:ascii="Verdana" w:hAnsi="Verdana"/>
          <w:i/>
          <w:sz w:val="16"/>
          <w:szCs w:val="16"/>
        </w:rPr>
        <w:t>Wytycznych dotyczących</w:t>
      </w:r>
      <w:r w:rsidRPr="003F7795">
        <w:rPr>
          <w:rFonts w:ascii="Verdana" w:hAnsi="Verdana"/>
          <w:i/>
          <w:sz w:val="16"/>
          <w:szCs w:val="16"/>
        </w:rPr>
        <w:t xml:space="preserve"> stosowania jednolitych wskaźników makroekonomicznych będących podstawą oszacowania skutków finansowych projektowanych ustaw – aktualizacja </w:t>
      </w:r>
      <w:r>
        <w:rPr>
          <w:rFonts w:ascii="Verdana" w:hAnsi="Verdana"/>
          <w:i/>
          <w:sz w:val="16"/>
          <w:szCs w:val="16"/>
        </w:rPr>
        <w:t>sierpień</w:t>
      </w:r>
      <w:r w:rsidRPr="003F7795">
        <w:rPr>
          <w:rFonts w:ascii="Verdana" w:hAnsi="Verdana"/>
          <w:i/>
          <w:sz w:val="16"/>
          <w:szCs w:val="16"/>
        </w:rPr>
        <w:t xml:space="preserve"> 202</w:t>
      </w:r>
      <w:r>
        <w:rPr>
          <w:rFonts w:ascii="Verdana" w:hAnsi="Verdana"/>
          <w:i/>
          <w:sz w:val="16"/>
          <w:szCs w:val="16"/>
        </w:rPr>
        <w:t>1 r.</w:t>
      </w:r>
      <w:r>
        <w:rPr>
          <w:rFonts w:ascii="Verdana" w:hAnsi="Verdana"/>
          <w:sz w:val="16"/>
          <w:szCs w:val="16"/>
        </w:rPr>
        <w:t xml:space="preserve"> – </w:t>
      </w:r>
      <w:r w:rsidRPr="00A61201">
        <w:rPr>
          <w:rFonts w:ascii="Verdana" w:hAnsi="Verdana"/>
          <w:sz w:val="16"/>
          <w:szCs w:val="16"/>
        </w:rPr>
        <w:t>dynamiką cen i towarów konsumpcyjnych.</w:t>
      </w:r>
    </w:p>
    <w:p w:rsidR="007F07DD" w:rsidRDefault="007F07DD" w:rsidP="007F07DD">
      <w:pPr>
        <w:spacing w:before="120" w:after="120"/>
        <w:ind w:firstLine="567"/>
        <w:jc w:val="both"/>
        <w:rPr>
          <w:rFonts w:ascii="Verdana" w:hAnsi="Verdana"/>
          <w:sz w:val="16"/>
          <w:szCs w:val="16"/>
        </w:rPr>
      </w:pPr>
      <w:r w:rsidRPr="000A6485">
        <w:rPr>
          <w:rFonts w:ascii="Verdana" w:hAnsi="Verdana"/>
          <w:sz w:val="16"/>
          <w:szCs w:val="16"/>
        </w:rPr>
        <w:t xml:space="preserve">W ostatnich latach dynamika dochodów z podatku od nieruchomości była wyższa od dynamiki stawek podatkowych, które zmieniały się w tempie porównywalnym z dynamiką wskaźnika cen towarów i usług konsumpcyjnych. W 2015 r. stawki podatkowe nie zmieniły się, w latach 2016-2017 część uległo obniżeniu, </w:t>
      </w:r>
      <w:r w:rsidRPr="000A6485">
        <w:rPr>
          <w:rFonts w:ascii="Verdana" w:hAnsi="Verdana"/>
          <w:sz w:val="16"/>
          <w:szCs w:val="16"/>
        </w:rPr>
        <w:br/>
        <w:t>w latach 2018-20</w:t>
      </w:r>
      <w:r>
        <w:rPr>
          <w:rFonts w:ascii="Verdana" w:hAnsi="Verdana"/>
          <w:sz w:val="16"/>
          <w:szCs w:val="16"/>
        </w:rPr>
        <w:t>21</w:t>
      </w:r>
      <w:r w:rsidRPr="000A6485">
        <w:rPr>
          <w:rFonts w:ascii="Verdana" w:hAnsi="Verdana"/>
          <w:sz w:val="16"/>
          <w:szCs w:val="16"/>
        </w:rPr>
        <w:t xml:space="preserve"> nastąpił ich wzrost.</w:t>
      </w:r>
    </w:p>
    <w:p w:rsidR="007F07DD" w:rsidRPr="000A6485" w:rsidRDefault="007F07DD" w:rsidP="007F07DD">
      <w:pPr>
        <w:spacing w:before="120" w:after="12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27</w:t>
      </w:r>
      <w:r w:rsidRPr="000A6485">
        <w:rPr>
          <w:rFonts w:ascii="Verdana" w:hAnsi="Verdana"/>
          <w:sz w:val="16"/>
          <w:szCs w:val="16"/>
        </w:rPr>
        <w:t xml:space="preserve"> prezentuje procentową zmianę rok do roku wysokości dochodów z podatku od nieruchomości </w:t>
      </w:r>
      <w:r w:rsidRPr="000A6485">
        <w:rPr>
          <w:rFonts w:ascii="Verdana" w:hAnsi="Verdana"/>
          <w:sz w:val="16"/>
          <w:szCs w:val="16"/>
        </w:rPr>
        <w:br/>
        <w:t>w poszczególnych latach objętych Prognozą.</w:t>
      </w:r>
    </w:p>
    <w:p w:rsidR="007F07DD" w:rsidRDefault="007F07DD" w:rsidP="007F07DD">
      <w:pPr>
        <w:spacing w:before="240" w:after="120" w:line="240" w:lineRule="auto"/>
        <w:rPr>
          <w:rFonts w:ascii="Verdana" w:hAnsi="Verdana" w:cs="Arial"/>
          <w:b/>
          <w:bCs/>
          <w:sz w:val="14"/>
          <w:szCs w:val="14"/>
        </w:rPr>
      </w:pPr>
      <w:r>
        <w:rPr>
          <w:rFonts w:ascii="Verdana" w:hAnsi="Verdana" w:cs="Arial"/>
          <w:b/>
          <w:bCs/>
          <w:sz w:val="14"/>
          <w:szCs w:val="14"/>
        </w:rPr>
        <w:br w:type="page"/>
      </w:r>
    </w:p>
    <w:p w:rsidR="007F07DD" w:rsidRPr="000A6485" w:rsidRDefault="007F07DD" w:rsidP="007F07DD">
      <w:pPr>
        <w:spacing w:before="240" w:after="120" w:line="240" w:lineRule="auto"/>
        <w:rPr>
          <w:rFonts w:ascii="Verdana" w:hAnsi="Verdana"/>
          <w:sz w:val="14"/>
          <w:szCs w:val="14"/>
        </w:rPr>
      </w:pPr>
      <w:r w:rsidRPr="000A6485">
        <w:rPr>
          <w:rFonts w:ascii="Verdana" w:hAnsi="Verdana" w:cs="Arial"/>
          <w:b/>
          <w:bCs/>
          <w:sz w:val="14"/>
          <w:szCs w:val="14"/>
        </w:rPr>
        <w:lastRenderedPageBreak/>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27</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DOCHODÓW Z PODATKU OD NIERUCHOMOŚCI </w:t>
      </w:r>
      <w:r w:rsidRPr="000A6485">
        <w:rPr>
          <w:rFonts w:ascii="Verdana" w:hAnsi="Verdana" w:cs="Arial"/>
          <w:b/>
          <w:bCs/>
          <w:sz w:val="14"/>
          <w:szCs w:val="14"/>
        </w:rPr>
        <w:br/>
        <w:t xml:space="preserve">                M.</w:t>
      </w:r>
      <w:r>
        <w:rPr>
          <w:rFonts w:ascii="Verdana" w:hAnsi="Verdana" w:cs="Arial"/>
          <w:b/>
          <w:bCs/>
          <w:sz w:val="14"/>
          <w:szCs w:val="14"/>
        </w:rPr>
        <w:t xml:space="preserve">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46" type="#_x0000_t75" style="width:450.8pt;height:230.9pt">
            <v:imagedata r:id="rId40" o:title=""/>
          </v:shape>
        </w:pict>
      </w:r>
    </w:p>
    <w:p w:rsidR="007F07DD" w:rsidRPr="000A6485" w:rsidRDefault="007F07DD" w:rsidP="007F07DD">
      <w:pPr>
        <w:spacing w:before="240" w:after="240"/>
        <w:ind w:left="1077" w:hanging="1077"/>
        <w:rPr>
          <w:rFonts w:ascii="Verdana" w:hAnsi="Verdana"/>
          <w:b/>
          <w:bCs/>
          <w:sz w:val="18"/>
          <w:szCs w:val="18"/>
        </w:rPr>
      </w:pPr>
      <w:r w:rsidRPr="000A6485">
        <w:rPr>
          <w:rFonts w:ascii="Verdana" w:hAnsi="Verdana"/>
          <w:b/>
          <w:bCs/>
          <w:sz w:val="18"/>
          <w:szCs w:val="18"/>
        </w:rPr>
        <w:t>7.2.3.6 Prognoza dochodów ze sprzedaży majątku</w:t>
      </w:r>
    </w:p>
    <w:p w:rsidR="007F07DD" w:rsidRPr="000A6485" w:rsidRDefault="007F07DD" w:rsidP="007F07DD">
      <w:pPr>
        <w:tabs>
          <w:tab w:val="left" w:pos="0"/>
        </w:tabs>
        <w:spacing w:before="240" w:after="120"/>
        <w:ind w:firstLine="567"/>
        <w:jc w:val="both"/>
        <w:rPr>
          <w:rFonts w:ascii="Verdana" w:hAnsi="Verdana" w:cs="Arial"/>
          <w:b/>
          <w:bCs/>
          <w:sz w:val="16"/>
          <w:szCs w:val="16"/>
        </w:rPr>
      </w:pPr>
      <w:r w:rsidRPr="000A6485">
        <w:rPr>
          <w:rFonts w:ascii="Verdana" w:hAnsi="Verdana"/>
          <w:sz w:val="16"/>
          <w:szCs w:val="16"/>
        </w:rPr>
        <w:t xml:space="preserve">Wykres </w:t>
      </w:r>
      <w:r>
        <w:rPr>
          <w:rFonts w:ascii="Verdana" w:hAnsi="Verdana"/>
          <w:sz w:val="16"/>
          <w:szCs w:val="16"/>
        </w:rPr>
        <w:t>nr 28</w:t>
      </w:r>
      <w:r w:rsidRPr="000A6485">
        <w:rPr>
          <w:rFonts w:ascii="Verdana" w:hAnsi="Verdana"/>
          <w:sz w:val="16"/>
          <w:szCs w:val="16"/>
        </w:rPr>
        <w:t xml:space="preserve"> prezentuje prognozowane dochody ze sprzedaży majątku w poszczególnych latach objętych Prognozą.</w:t>
      </w:r>
    </w:p>
    <w:p w:rsidR="007F07DD" w:rsidRPr="000A6485" w:rsidRDefault="007F07DD" w:rsidP="007F07DD">
      <w:pPr>
        <w:tabs>
          <w:tab w:val="left" w:pos="720"/>
        </w:tabs>
        <w:spacing w:before="120" w:after="60" w:line="240" w:lineRule="auto"/>
        <w:ind w:left="720" w:hanging="720"/>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28</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ZE SPRZEDAŻY MAJ</w:t>
      </w:r>
      <w:r>
        <w:rPr>
          <w:rFonts w:ascii="Verdana" w:hAnsi="Verdana" w:cs="Arial"/>
          <w:b/>
          <w:bCs/>
          <w:sz w:val="14"/>
          <w:szCs w:val="14"/>
        </w:rPr>
        <w:t xml:space="preserve">ĄTKU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0"/>
          <w:szCs w:val="20"/>
        </w:rPr>
      </w:pPr>
      <w:r>
        <w:rPr>
          <w:noProof/>
        </w:rPr>
        <w:pict>
          <v:shape id="_x0000_i1047" type="#_x0000_t75" style="width:452.1pt;height:217.95pt">
            <v:imagedata r:id="rId41" o:title=""/>
          </v:shape>
        </w:pict>
      </w:r>
    </w:p>
    <w:p w:rsidR="007F07DD" w:rsidRDefault="007F07DD" w:rsidP="007F07DD">
      <w:pPr>
        <w:spacing w:before="120" w:after="120"/>
        <w:jc w:val="both"/>
        <w:rPr>
          <w:rFonts w:ascii="Verdana" w:hAnsi="Verdana"/>
          <w:sz w:val="16"/>
          <w:szCs w:val="16"/>
        </w:rPr>
      </w:pPr>
    </w:p>
    <w:p w:rsidR="007F07DD" w:rsidRPr="000A6485" w:rsidRDefault="007F07DD" w:rsidP="007F07DD">
      <w:pPr>
        <w:spacing w:before="120" w:after="120"/>
        <w:jc w:val="both"/>
        <w:rPr>
          <w:rFonts w:ascii="Verdana" w:hAnsi="Verdana"/>
          <w:sz w:val="16"/>
          <w:szCs w:val="16"/>
        </w:rPr>
      </w:pPr>
      <w:r>
        <w:rPr>
          <w:rFonts w:ascii="Verdana" w:hAnsi="Verdana"/>
          <w:sz w:val="16"/>
          <w:szCs w:val="16"/>
        </w:rPr>
        <w:t>P</w:t>
      </w:r>
      <w:r w:rsidRPr="000A6485">
        <w:rPr>
          <w:rFonts w:ascii="Verdana" w:hAnsi="Verdana"/>
          <w:sz w:val="16"/>
          <w:szCs w:val="16"/>
        </w:rPr>
        <w:t>rognozuje się, że wpływy m.st. Warszawy ze sprzedaży majątku w okresie objętym prognozą wyniosą:</w:t>
      </w:r>
    </w:p>
    <w:p w:rsidR="007F07DD" w:rsidRPr="000A6485" w:rsidRDefault="007F07DD" w:rsidP="007F07DD">
      <w:pPr>
        <w:numPr>
          <w:ilvl w:val="0"/>
          <w:numId w:val="10"/>
        </w:numPr>
        <w:tabs>
          <w:tab w:val="clear" w:pos="1080"/>
          <w:tab w:val="num" w:pos="540"/>
        </w:tabs>
        <w:ind w:left="539" w:hanging="255"/>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w:t>
      </w:r>
      <w:r>
        <w:rPr>
          <w:rFonts w:ascii="Verdana" w:hAnsi="Verdana"/>
          <w:b/>
          <w:sz w:val="16"/>
          <w:szCs w:val="16"/>
        </w:rPr>
        <w:t>301,2</w:t>
      </w:r>
      <w:r w:rsidRPr="000A6485">
        <w:rPr>
          <w:rFonts w:ascii="Verdana" w:hAnsi="Verdana"/>
          <w:b/>
          <w:sz w:val="16"/>
          <w:szCs w:val="16"/>
        </w:rPr>
        <w:t xml:space="preserve"> mln zł </w:t>
      </w:r>
    </w:p>
    <w:p w:rsidR="007F07DD" w:rsidRPr="000A6485" w:rsidRDefault="007F07DD" w:rsidP="007F07DD">
      <w:pPr>
        <w:numPr>
          <w:ilvl w:val="0"/>
          <w:numId w:val="10"/>
        </w:numPr>
        <w:tabs>
          <w:tab w:val="clear" w:pos="1080"/>
          <w:tab w:val="num" w:pos="540"/>
        </w:tabs>
        <w:ind w:left="539" w:hanging="255"/>
        <w:jc w:val="both"/>
        <w:rPr>
          <w:rFonts w:ascii="Verdana" w:hAnsi="Verdana"/>
          <w:sz w:val="16"/>
          <w:szCs w:val="16"/>
        </w:rPr>
      </w:pPr>
      <w:r>
        <w:rPr>
          <w:rFonts w:ascii="Verdana" w:hAnsi="Verdana"/>
          <w:sz w:val="16"/>
          <w:szCs w:val="16"/>
        </w:rPr>
        <w:t>2023</w:t>
      </w:r>
      <w:r w:rsidRPr="000A6485">
        <w:rPr>
          <w:rFonts w:ascii="Verdana" w:hAnsi="Verdana"/>
          <w:sz w:val="16"/>
          <w:szCs w:val="16"/>
        </w:rPr>
        <w:t xml:space="preserve"> r.: </w:t>
      </w:r>
      <w:r>
        <w:rPr>
          <w:rFonts w:ascii="Verdana" w:hAnsi="Verdana"/>
          <w:sz w:val="16"/>
          <w:szCs w:val="16"/>
        </w:rPr>
        <w:t xml:space="preserve">  </w:t>
      </w:r>
      <w:r>
        <w:rPr>
          <w:rFonts w:ascii="Verdana" w:hAnsi="Verdana"/>
          <w:b/>
          <w:sz w:val="16"/>
          <w:szCs w:val="16"/>
        </w:rPr>
        <w:t>42,5</w:t>
      </w:r>
      <w:r w:rsidRPr="000A6485">
        <w:rPr>
          <w:rFonts w:ascii="Verdana" w:hAnsi="Verdana"/>
          <w:b/>
          <w:sz w:val="16"/>
          <w:szCs w:val="16"/>
        </w:rPr>
        <w:t xml:space="preserve"> mln zł </w:t>
      </w:r>
    </w:p>
    <w:p w:rsidR="007F07DD" w:rsidRDefault="007F07DD" w:rsidP="007F07DD">
      <w:pPr>
        <w:numPr>
          <w:ilvl w:val="0"/>
          <w:numId w:val="10"/>
        </w:numPr>
        <w:tabs>
          <w:tab w:val="clear" w:pos="1080"/>
          <w:tab w:val="num" w:pos="540"/>
        </w:tabs>
        <w:ind w:left="539" w:hanging="255"/>
        <w:jc w:val="both"/>
        <w:rPr>
          <w:rFonts w:ascii="Verdana" w:hAnsi="Verdana"/>
          <w:b/>
          <w:sz w:val="16"/>
          <w:szCs w:val="16"/>
        </w:rPr>
      </w:pPr>
      <w:r>
        <w:rPr>
          <w:rFonts w:ascii="Verdana" w:hAnsi="Verdana"/>
          <w:sz w:val="16"/>
          <w:szCs w:val="16"/>
        </w:rPr>
        <w:t>2024</w:t>
      </w:r>
      <w:r w:rsidRPr="000A6485">
        <w:rPr>
          <w:rFonts w:ascii="Verdana" w:hAnsi="Verdana"/>
          <w:sz w:val="16"/>
          <w:szCs w:val="16"/>
        </w:rPr>
        <w:t xml:space="preserve"> r.: </w:t>
      </w:r>
      <w:r>
        <w:rPr>
          <w:rFonts w:ascii="Verdana" w:hAnsi="Verdana"/>
          <w:sz w:val="16"/>
          <w:szCs w:val="16"/>
        </w:rPr>
        <w:t xml:space="preserve">  </w:t>
      </w:r>
      <w:r>
        <w:rPr>
          <w:rFonts w:ascii="Verdana" w:hAnsi="Verdana"/>
          <w:b/>
          <w:sz w:val="16"/>
          <w:szCs w:val="16"/>
        </w:rPr>
        <w:t>40,0</w:t>
      </w:r>
      <w:r w:rsidRPr="000A6485">
        <w:rPr>
          <w:rFonts w:ascii="Verdana" w:hAnsi="Verdana"/>
          <w:b/>
          <w:sz w:val="16"/>
          <w:szCs w:val="16"/>
        </w:rPr>
        <w:t xml:space="preserve"> mln zł </w:t>
      </w:r>
      <w:r>
        <w:rPr>
          <w:rFonts w:ascii="Verdana" w:hAnsi="Verdana"/>
          <w:b/>
          <w:sz w:val="16"/>
          <w:szCs w:val="16"/>
        </w:rPr>
        <w:br w:type="page"/>
      </w:r>
    </w:p>
    <w:p w:rsidR="007F07DD" w:rsidRPr="000A6485" w:rsidRDefault="007F07DD" w:rsidP="007F07DD">
      <w:pPr>
        <w:spacing w:before="120" w:after="120"/>
        <w:jc w:val="both"/>
        <w:rPr>
          <w:rFonts w:ascii="Verdana" w:hAnsi="Verdana"/>
          <w:sz w:val="16"/>
          <w:szCs w:val="16"/>
        </w:rPr>
      </w:pPr>
      <w:r w:rsidRPr="000A6485">
        <w:rPr>
          <w:rFonts w:ascii="Verdana" w:hAnsi="Verdana"/>
          <w:sz w:val="16"/>
          <w:szCs w:val="16"/>
        </w:rPr>
        <w:lastRenderedPageBreak/>
        <w:t>Na dochody ze sprzedaży majątku składają się wpływy z następujących źródeł:</w:t>
      </w:r>
    </w:p>
    <w:p w:rsidR="007F07DD" w:rsidRPr="000A6485" w:rsidRDefault="007F07DD" w:rsidP="007F07DD">
      <w:pPr>
        <w:numPr>
          <w:ilvl w:val="0"/>
          <w:numId w:val="10"/>
        </w:numPr>
        <w:tabs>
          <w:tab w:val="clear" w:pos="1080"/>
          <w:tab w:val="num" w:pos="540"/>
        </w:tabs>
        <w:ind w:left="539" w:hanging="255"/>
        <w:jc w:val="both"/>
        <w:rPr>
          <w:rFonts w:ascii="Verdana" w:hAnsi="Verdana"/>
          <w:sz w:val="16"/>
          <w:szCs w:val="16"/>
        </w:rPr>
      </w:pPr>
      <w:r w:rsidRPr="000A6485">
        <w:rPr>
          <w:rFonts w:ascii="Verdana" w:hAnsi="Verdana"/>
          <w:sz w:val="16"/>
          <w:szCs w:val="16"/>
        </w:rPr>
        <w:t>sprzedaż lokali i nieruchomości, w tym:</w:t>
      </w:r>
    </w:p>
    <w:p w:rsidR="007F07DD" w:rsidRPr="000A6485" w:rsidRDefault="007F07DD" w:rsidP="007F07DD">
      <w:pPr>
        <w:numPr>
          <w:ilvl w:val="1"/>
          <w:numId w:val="25"/>
        </w:numPr>
        <w:tabs>
          <w:tab w:val="clear" w:pos="1440"/>
          <w:tab w:val="num" w:pos="1134"/>
        </w:tabs>
        <w:ind w:left="1134" w:hanging="283"/>
        <w:jc w:val="both"/>
        <w:rPr>
          <w:rFonts w:ascii="Verdana" w:hAnsi="Verdana"/>
          <w:sz w:val="16"/>
          <w:szCs w:val="16"/>
        </w:rPr>
      </w:pPr>
      <w:r w:rsidRPr="000A6485">
        <w:rPr>
          <w:rFonts w:ascii="Verdana" w:hAnsi="Verdana"/>
          <w:sz w:val="16"/>
          <w:szCs w:val="16"/>
        </w:rPr>
        <w:t>nieruchomości gruntowych,</w:t>
      </w:r>
    </w:p>
    <w:p w:rsidR="007F07DD" w:rsidRPr="000A6485" w:rsidRDefault="007F07DD" w:rsidP="007F07DD">
      <w:pPr>
        <w:numPr>
          <w:ilvl w:val="1"/>
          <w:numId w:val="25"/>
        </w:numPr>
        <w:tabs>
          <w:tab w:val="clear" w:pos="1440"/>
          <w:tab w:val="num" w:pos="1134"/>
        </w:tabs>
        <w:ind w:left="1134" w:hanging="283"/>
        <w:jc w:val="both"/>
        <w:rPr>
          <w:rFonts w:ascii="Verdana" w:hAnsi="Verdana"/>
          <w:sz w:val="16"/>
          <w:szCs w:val="16"/>
        </w:rPr>
      </w:pPr>
      <w:r w:rsidRPr="000A6485">
        <w:rPr>
          <w:rFonts w:ascii="Verdana" w:hAnsi="Verdana"/>
          <w:sz w:val="16"/>
          <w:szCs w:val="16"/>
        </w:rPr>
        <w:t>nieruchomości pozostałych, tj. zabudowanych,</w:t>
      </w:r>
    </w:p>
    <w:p w:rsidR="007F07DD" w:rsidRPr="000A6485" w:rsidRDefault="007F07DD" w:rsidP="007F07DD">
      <w:pPr>
        <w:numPr>
          <w:ilvl w:val="1"/>
          <w:numId w:val="25"/>
        </w:numPr>
        <w:tabs>
          <w:tab w:val="clear" w:pos="1440"/>
          <w:tab w:val="num" w:pos="1134"/>
        </w:tabs>
        <w:ind w:left="1134" w:hanging="283"/>
        <w:jc w:val="both"/>
        <w:rPr>
          <w:rFonts w:ascii="Verdana" w:hAnsi="Verdana"/>
          <w:sz w:val="16"/>
          <w:szCs w:val="16"/>
        </w:rPr>
      </w:pPr>
      <w:r w:rsidRPr="000A6485">
        <w:rPr>
          <w:rFonts w:ascii="Verdana" w:hAnsi="Verdana"/>
          <w:sz w:val="16"/>
          <w:szCs w:val="16"/>
        </w:rPr>
        <w:t>lokali mieszkalnych,</w:t>
      </w:r>
    </w:p>
    <w:p w:rsidR="007F07DD" w:rsidRPr="000A6485" w:rsidRDefault="007F07DD" w:rsidP="007F07DD">
      <w:pPr>
        <w:numPr>
          <w:ilvl w:val="1"/>
          <w:numId w:val="25"/>
        </w:numPr>
        <w:tabs>
          <w:tab w:val="clear" w:pos="1440"/>
          <w:tab w:val="num" w:pos="1134"/>
        </w:tabs>
        <w:ind w:left="1134" w:hanging="283"/>
        <w:jc w:val="both"/>
        <w:rPr>
          <w:rFonts w:ascii="Verdana" w:hAnsi="Verdana"/>
          <w:sz w:val="16"/>
          <w:szCs w:val="16"/>
        </w:rPr>
      </w:pPr>
      <w:r w:rsidRPr="000A6485">
        <w:rPr>
          <w:rFonts w:ascii="Verdana" w:hAnsi="Verdana"/>
          <w:sz w:val="16"/>
          <w:szCs w:val="16"/>
        </w:rPr>
        <w:t>lokali użytkowych,</w:t>
      </w:r>
    </w:p>
    <w:p w:rsidR="007F07DD" w:rsidRPr="000A6485" w:rsidRDefault="007F07DD" w:rsidP="007F07DD">
      <w:pPr>
        <w:numPr>
          <w:ilvl w:val="1"/>
          <w:numId w:val="25"/>
        </w:numPr>
        <w:tabs>
          <w:tab w:val="clear" w:pos="1440"/>
          <w:tab w:val="num" w:pos="1134"/>
        </w:tabs>
        <w:ind w:left="1134" w:hanging="283"/>
        <w:jc w:val="both"/>
        <w:rPr>
          <w:rFonts w:ascii="Verdana" w:hAnsi="Verdana"/>
          <w:sz w:val="16"/>
          <w:szCs w:val="16"/>
        </w:rPr>
      </w:pPr>
      <w:r w:rsidRPr="000A6485">
        <w:rPr>
          <w:rFonts w:ascii="Verdana" w:hAnsi="Verdana"/>
          <w:sz w:val="16"/>
          <w:szCs w:val="16"/>
        </w:rPr>
        <w:t>odszkodowania za przejęte nieruchomości pod inwestycje celu publicznego,</w:t>
      </w:r>
    </w:p>
    <w:p w:rsidR="007F07DD" w:rsidRPr="000A6485" w:rsidRDefault="007F07DD" w:rsidP="007F07DD">
      <w:pPr>
        <w:numPr>
          <w:ilvl w:val="0"/>
          <w:numId w:val="10"/>
        </w:numPr>
        <w:tabs>
          <w:tab w:val="clear" w:pos="1080"/>
          <w:tab w:val="num" w:pos="540"/>
        </w:tabs>
        <w:ind w:left="539" w:hanging="255"/>
        <w:jc w:val="both"/>
        <w:rPr>
          <w:rFonts w:ascii="Verdana" w:hAnsi="Verdana"/>
          <w:sz w:val="16"/>
          <w:szCs w:val="16"/>
        </w:rPr>
      </w:pPr>
      <w:r w:rsidRPr="000A6485">
        <w:rPr>
          <w:rFonts w:ascii="Verdana" w:hAnsi="Verdana"/>
          <w:sz w:val="16"/>
          <w:szCs w:val="16"/>
        </w:rPr>
        <w:t xml:space="preserve">sprzedaż </w:t>
      </w:r>
      <w:r>
        <w:rPr>
          <w:rFonts w:ascii="Verdana" w:hAnsi="Verdana"/>
          <w:sz w:val="16"/>
          <w:szCs w:val="16"/>
        </w:rPr>
        <w:t xml:space="preserve">praw i </w:t>
      </w:r>
      <w:r w:rsidRPr="000A6485">
        <w:rPr>
          <w:rFonts w:ascii="Verdana" w:hAnsi="Verdana"/>
          <w:sz w:val="16"/>
          <w:szCs w:val="16"/>
        </w:rPr>
        <w:t>składników majątkowych.</w:t>
      </w:r>
    </w:p>
    <w:p w:rsidR="007F07DD" w:rsidRPr="002F668E" w:rsidRDefault="007F07DD" w:rsidP="007F07DD">
      <w:pPr>
        <w:spacing w:before="60" w:after="60"/>
        <w:jc w:val="both"/>
        <w:rPr>
          <w:rFonts w:ascii="Verdana" w:hAnsi="Verdana"/>
          <w:sz w:val="16"/>
          <w:szCs w:val="16"/>
        </w:rPr>
      </w:pPr>
      <w:r w:rsidRPr="002F668E">
        <w:rPr>
          <w:rFonts w:ascii="Verdana" w:hAnsi="Verdana"/>
          <w:sz w:val="16"/>
          <w:szCs w:val="16"/>
        </w:rPr>
        <w:t xml:space="preserve">Plan dochodów ze sprzedaży </w:t>
      </w:r>
      <w:r>
        <w:rPr>
          <w:rFonts w:ascii="Verdana" w:hAnsi="Verdana"/>
          <w:sz w:val="16"/>
          <w:szCs w:val="16"/>
        </w:rPr>
        <w:t xml:space="preserve">lokali i </w:t>
      </w:r>
      <w:r w:rsidRPr="002F668E">
        <w:rPr>
          <w:rFonts w:ascii="Verdana" w:hAnsi="Verdana"/>
          <w:sz w:val="16"/>
          <w:szCs w:val="16"/>
        </w:rPr>
        <w:t xml:space="preserve">nieruchomości na 2022 r. zakłada </w:t>
      </w:r>
      <w:r>
        <w:rPr>
          <w:rFonts w:ascii="Verdana" w:hAnsi="Verdana"/>
          <w:sz w:val="16"/>
          <w:szCs w:val="16"/>
        </w:rPr>
        <w:t xml:space="preserve">wpływy </w:t>
      </w:r>
      <w:r w:rsidRPr="002F668E">
        <w:rPr>
          <w:rFonts w:ascii="Verdana" w:hAnsi="Verdana"/>
          <w:sz w:val="16"/>
          <w:szCs w:val="16"/>
        </w:rPr>
        <w:t xml:space="preserve">za kwotę </w:t>
      </w:r>
      <w:r>
        <w:rPr>
          <w:rFonts w:ascii="Verdana" w:hAnsi="Verdana"/>
          <w:b/>
          <w:sz w:val="16"/>
          <w:szCs w:val="16"/>
        </w:rPr>
        <w:t>271</w:t>
      </w:r>
      <w:r w:rsidRPr="002F668E">
        <w:rPr>
          <w:rFonts w:ascii="Verdana" w:hAnsi="Verdana"/>
          <w:b/>
          <w:sz w:val="16"/>
          <w:szCs w:val="16"/>
        </w:rPr>
        <w:t>,2 mln zł</w:t>
      </w:r>
      <w:r>
        <w:rPr>
          <w:rFonts w:ascii="Verdana" w:hAnsi="Verdana"/>
          <w:sz w:val="16"/>
          <w:szCs w:val="16"/>
        </w:rPr>
        <w:t>,</w:t>
      </w:r>
      <w:r w:rsidRPr="002F668E">
        <w:rPr>
          <w:rFonts w:ascii="Verdana" w:hAnsi="Verdana"/>
          <w:b/>
          <w:sz w:val="16"/>
          <w:szCs w:val="16"/>
        </w:rPr>
        <w:t xml:space="preserve"> </w:t>
      </w:r>
      <w:r>
        <w:rPr>
          <w:rFonts w:ascii="Verdana" w:hAnsi="Verdana"/>
          <w:sz w:val="16"/>
          <w:szCs w:val="16"/>
        </w:rPr>
        <w:t>w tym głównie ze sprzedaży nieruchomości gruntowych na kwotę</w:t>
      </w:r>
      <w:r w:rsidRPr="002F668E">
        <w:rPr>
          <w:rFonts w:ascii="Verdana" w:hAnsi="Verdana"/>
          <w:sz w:val="16"/>
          <w:szCs w:val="16"/>
        </w:rPr>
        <w:t xml:space="preserve"> </w:t>
      </w:r>
      <w:r>
        <w:rPr>
          <w:rFonts w:ascii="Verdana" w:hAnsi="Verdana"/>
          <w:b/>
          <w:sz w:val="16"/>
          <w:szCs w:val="16"/>
        </w:rPr>
        <w:t>242,3</w:t>
      </w:r>
      <w:r w:rsidRPr="002F668E">
        <w:rPr>
          <w:rFonts w:ascii="Verdana" w:hAnsi="Verdana"/>
          <w:b/>
          <w:sz w:val="16"/>
          <w:szCs w:val="16"/>
        </w:rPr>
        <w:t xml:space="preserve"> mln zł</w:t>
      </w:r>
      <w:r>
        <w:rPr>
          <w:rFonts w:ascii="Verdana" w:hAnsi="Verdana"/>
          <w:sz w:val="16"/>
          <w:szCs w:val="16"/>
        </w:rPr>
        <w:t xml:space="preserve"> oraz pochodzące ze sprzedaży pozostałych nieruchomości na kwotę </w:t>
      </w:r>
      <w:r>
        <w:rPr>
          <w:rFonts w:ascii="Verdana" w:hAnsi="Verdana"/>
          <w:b/>
          <w:sz w:val="16"/>
          <w:szCs w:val="16"/>
        </w:rPr>
        <w:t>26,5 mln zł</w:t>
      </w:r>
      <w:r w:rsidRPr="002F668E">
        <w:rPr>
          <w:rFonts w:ascii="Verdana" w:hAnsi="Verdana"/>
          <w:sz w:val="16"/>
          <w:szCs w:val="16"/>
        </w:rPr>
        <w:t xml:space="preserve">. </w:t>
      </w:r>
    </w:p>
    <w:p w:rsidR="007F07DD" w:rsidRPr="000A6485" w:rsidRDefault="007F07DD" w:rsidP="007F07DD">
      <w:pPr>
        <w:spacing w:before="240" w:after="240"/>
        <w:ind w:left="1077" w:hanging="1077"/>
        <w:rPr>
          <w:rFonts w:ascii="Verdana" w:hAnsi="Verdana"/>
          <w:b/>
          <w:bCs/>
          <w:sz w:val="18"/>
          <w:szCs w:val="18"/>
        </w:rPr>
      </w:pPr>
      <w:r w:rsidRPr="000A6485">
        <w:rPr>
          <w:rFonts w:ascii="Verdana" w:hAnsi="Verdana"/>
          <w:b/>
          <w:bCs/>
          <w:sz w:val="18"/>
          <w:szCs w:val="18"/>
        </w:rPr>
        <w:t>7.2.3.7 Prognoza dochodów z dotacji i środków przeznaczonych na inwestycje</w:t>
      </w:r>
    </w:p>
    <w:p w:rsidR="007F07DD" w:rsidRPr="000A6485" w:rsidRDefault="007F07DD" w:rsidP="007F07DD">
      <w:pPr>
        <w:tabs>
          <w:tab w:val="left" w:pos="0"/>
        </w:tabs>
        <w:spacing w:before="120" w:after="120"/>
        <w:ind w:firstLine="567"/>
        <w:jc w:val="both"/>
        <w:rPr>
          <w:rFonts w:ascii="Verdana" w:hAnsi="Verdana" w:cs="Arial"/>
          <w:b/>
          <w:bCs/>
          <w:sz w:val="16"/>
          <w:szCs w:val="16"/>
        </w:rPr>
      </w:pPr>
      <w:r w:rsidRPr="000A6485">
        <w:rPr>
          <w:rFonts w:ascii="Verdana" w:hAnsi="Verdana"/>
          <w:sz w:val="16"/>
          <w:szCs w:val="16"/>
        </w:rPr>
        <w:t xml:space="preserve">Wykres </w:t>
      </w:r>
      <w:r>
        <w:rPr>
          <w:rFonts w:ascii="Verdana" w:hAnsi="Verdana"/>
          <w:sz w:val="16"/>
          <w:szCs w:val="16"/>
        </w:rPr>
        <w:t>nr 29</w:t>
      </w:r>
      <w:r w:rsidRPr="000A6485">
        <w:rPr>
          <w:rFonts w:ascii="Verdana" w:hAnsi="Verdana"/>
          <w:sz w:val="16"/>
          <w:szCs w:val="16"/>
        </w:rPr>
        <w:t xml:space="preserve"> prezentuje prognozowane dochody z dotacji i środków przeznaczonych na inwestycje </w:t>
      </w:r>
      <w:r w:rsidRPr="000A6485">
        <w:rPr>
          <w:rFonts w:ascii="Verdana" w:hAnsi="Verdana"/>
          <w:sz w:val="16"/>
          <w:szCs w:val="16"/>
        </w:rPr>
        <w:br/>
        <w:t>w poszczególnych latach objętych Prognozą.</w:t>
      </w:r>
    </w:p>
    <w:p w:rsidR="007F07DD" w:rsidRPr="000A6485" w:rsidRDefault="007F07DD" w:rsidP="007F07DD">
      <w:pPr>
        <w:tabs>
          <w:tab w:val="left" w:pos="720"/>
        </w:tabs>
        <w:spacing w:before="120" w:after="60" w:line="240" w:lineRule="auto"/>
        <w:ind w:left="720" w:hanging="720"/>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29</w:t>
      </w:r>
      <w:r w:rsidRPr="000A6485">
        <w:rPr>
          <w:rFonts w:ascii="Verdana" w:hAnsi="Verdana" w:cs="Arial"/>
          <w:b/>
          <w:bCs/>
          <w:sz w:val="14"/>
          <w:szCs w:val="14"/>
        </w:rPr>
        <w:fldChar w:fldCharType="end"/>
      </w:r>
      <w:r w:rsidRPr="000A6485">
        <w:rPr>
          <w:rFonts w:ascii="Verdana" w:hAnsi="Verdana" w:cs="Arial"/>
          <w:b/>
          <w:bCs/>
          <w:sz w:val="14"/>
          <w:szCs w:val="14"/>
        </w:rPr>
        <w:t xml:space="preserve">  PROGNOZA DOCHODÓW Z DOTACJI I ŚRODKÓW PRZEZNACZONYCH NA INWESTYCJE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0"/>
          <w:szCs w:val="20"/>
        </w:rPr>
      </w:pPr>
      <w:r>
        <w:rPr>
          <w:rFonts w:ascii="Verdana" w:hAnsi="Verdana"/>
          <w:b/>
          <w:bCs/>
          <w:noProof/>
          <w:sz w:val="20"/>
          <w:szCs w:val="20"/>
        </w:rPr>
        <w:pict>
          <v:shape id="_x0000_i1048" type="#_x0000_t75" style="width:457.3pt;height:224.45pt">
            <v:imagedata r:id="rId42" o:title=""/>
          </v:shape>
        </w:pict>
      </w:r>
    </w:p>
    <w:p w:rsidR="007F07DD" w:rsidRPr="000A6485" w:rsidRDefault="007F07DD" w:rsidP="007F07DD">
      <w:pPr>
        <w:spacing w:before="120" w:after="120"/>
        <w:ind w:firstLine="539"/>
        <w:jc w:val="both"/>
        <w:rPr>
          <w:rFonts w:ascii="Verdana" w:hAnsi="Verdana"/>
          <w:sz w:val="16"/>
          <w:szCs w:val="16"/>
        </w:rPr>
      </w:pPr>
      <w:r w:rsidRPr="000A6485">
        <w:rPr>
          <w:rFonts w:ascii="Verdana" w:hAnsi="Verdana"/>
          <w:sz w:val="16"/>
          <w:szCs w:val="16"/>
        </w:rPr>
        <w:t>Prognozuje się, że wpływy m.st. Warszawy z dotacji i środków przeznaczonych na inwestycje w okresie objętym prognozą wyniosą:</w:t>
      </w:r>
    </w:p>
    <w:p w:rsidR="007F07DD" w:rsidRPr="000A6485" w:rsidRDefault="007F07DD" w:rsidP="007F07DD">
      <w:pPr>
        <w:numPr>
          <w:ilvl w:val="0"/>
          <w:numId w:val="10"/>
        </w:numPr>
        <w:tabs>
          <w:tab w:val="clear" w:pos="1080"/>
          <w:tab w:val="num" w:pos="540"/>
        </w:tabs>
        <w:ind w:left="539" w:hanging="255"/>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w:t>
      </w:r>
      <w:r>
        <w:rPr>
          <w:rFonts w:ascii="Verdana" w:hAnsi="Verdana"/>
          <w:sz w:val="16"/>
          <w:szCs w:val="16"/>
        </w:rPr>
        <w:t xml:space="preserve"> </w:t>
      </w:r>
      <w:r>
        <w:rPr>
          <w:rFonts w:ascii="Verdana" w:hAnsi="Verdana"/>
          <w:b/>
          <w:sz w:val="16"/>
          <w:szCs w:val="16"/>
        </w:rPr>
        <w:t xml:space="preserve">539 </w:t>
      </w:r>
      <w:r w:rsidRPr="000A6485">
        <w:rPr>
          <w:rFonts w:ascii="Verdana" w:hAnsi="Verdana"/>
          <w:b/>
          <w:sz w:val="16"/>
          <w:szCs w:val="16"/>
        </w:rPr>
        <w:t>mln zł</w:t>
      </w:r>
      <w:r w:rsidRPr="000A6485">
        <w:rPr>
          <w:rFonts w:ascii="Verdana" w:hAnsi="Verdana"/>
          <w:sz w:val="16"/>
          <w:szCs w:val="16"/>
        </w:rPr>
        <w:t xml:space="preserve"> (w tym środki unijne </w:t>
      </w:r>
      <w:r>
        <w:rPr>
          <w:rFonts w:ascii="Verdana" w:hAnsi="Verdana"/>
          <w:b/>
          <w:sz w:val="16"/>
          <w:szCs w:val="16"/>
        </w:rPr>
        <w:t>498</w:t>
      </w:r>
      <w:r w:rsidRPr="000A6485">
        <w:rPr>
          <w:rFonts w:ascii="Verdana" w:hAnsi="Verdana"/>
          <w:b/>
          <w:sz w:val="16"/>
          <w:szCs w:val="16"/>
        </w:rPr>
        <w:t xml:space="preserve"> mln zł</w:t>
      </w:r>
      <w:r w:rsidRPr="000A6485">
        <w:rPr>
          <w:rFonts w:ascii="Verdana" w:hAnsi="Verdana"/>
          <w:sz w:val="16"/>
          <w:szCs w:val="16"/>
        </w:rPr>
        <w:t>)</w:t>
      </w:r>
      <w:r>
        <w:rPr>
          <w:rFonts w:ascii="Verdana" w:hAnsi="Verdana"/>
          <w:sz w:val="16"/>
          <w:szCs w:val="16"/>
        </w:rPr>
        <w:t>,</w:t>
      </w:r>
    </w:p>
    <w:p w:rsidR="007F07DD" w:rsidRPr="000A6485" w:rsidRDefault="007F07DD" w:rsidP="007F07DD">
      <w:pPr>
        <w:numPr>
          <w:ilvl w:val="0"/>
          <w:numId w:val="10"/>
        </w:numPr>
        <w:tabs>
          <w:tab w:val="clear" w:pos="1080"/>
          <w:tab w:val="num" w:pos="540"/>
        </w:tabs>
        <w:ind w:left="539" w:hanging="255"/>
        <w:rPr>
          <w:rFonts w:ascii="Verdana" w:hAnsi="Verdana"/>
          <w:sz w:val="16"/>
          <w:szCs w:val="16"/>
        </w:rPr>
      </w:pPr>
      <w:r>
        <w:rPr>
          <w:rFonts w:ascii="Verdana" w:hAnsi="Verdana"/>
          <w:sz w:val="16"/>
          <w:szCs w:val="16"/>
        </w:rPr>
        <w:t>2023</w:t>
      </w:r>
      <w:r w:rsidRPr="000A6485">
        <w:rPr>
          <w:rFonts w:ascii="Verdana" w:hAnsi="Verdana"/>
          <w:sz w:val="16"/>
          <w:szCs w:val="16"/>
        </w:rPr>
        <w:t xml:space="preserve"> r.: </w:t>
      </w:r>
      <w:r>
        <w:rPr>
          <w:rFonts w:ascii="Verdana" w:hAnsi="Verdana"/>
          <w:sz w:val="16"/>
          <w:szCs w:val="16"/>
        </w:rPr>
        <w:t xml:space="preserve"> </w:t>
      </w:r>
      <w:r>
        <w:rPr>
          <w:rFonts w:ascii="Verdana" w:hAnsi="Verdana"/>
          <w:b/>
          <w:sz w:val="16"/>
          <w:szCs w:val="16"/>
        </w:rPr>
        <w:t>692</w:t>
      </w:r>
      <w:r w:rsidRPr="000A6485">
        <w:rPr>
          <w:rFonts w:ascii="Verdana" w:hAnsi="Verdana"/>
          <w:b/>
          <w:sz w:val="16"/>
          <w:szCs w:val="16"/>
        </w:rPr>
        <w:t xml:space="preserve"> mln zł</w:t>
      </w:r>
      <w:r w:rsidRPr="000A6485">
        <w:rPr>
          <w:rFonts w:ascii="Verdana" w:hAnsi="Verdana"/>
          <w:sz w:val="16"/>
          <w:szCs w:val="16"/>
        </w:rPr>
        <w:t xml:space="preserve"> (w tym środki unijne </w:t>
      </w:r>
      <w:r>
        <w:rPr>
          <w:rFonts w:ascii="Verdana" w:hAnsi="Verdana"/>
          <w:b/>
          <w:sz w:val="16"/>
          <w:szCs w:val="16"/>
        </w:rPr>
        <w:t>650</w:t>
      </w:r>
      <w:r w:rsidRPr="000A6485">
        <w:rPr>
          <w:rFonts w:ascii="Verdana" w:hAnsi="Verdana"/>
          <w:b/>
          <w:sz w:val="16"/>
          <w:szCs w:val="16"/>
        </w:rPr>
        <w:t xml:space="preserve"> mln zł</w:t>
      </w:r>
      <w:r w:rsidRPr="000A6485">
        <w:rPr>
          <w:rFonts w:ascii="Verdana" w:hAnsi="Verdana"/>
          <w:sz w:val="16"/>
          <w:szCs w:val="16"/>
        </w:rPr>
        <w:t>)</w:t>
      </w:r>
      <w:r>
        <w:rPr>
          <w:rFonts w:ascii="Verdana" w:hAnsi="Verdana"/>
          <w:sz w:val="16"/>
          <w:szCs w:val="16"/>
        </w:rPr>
        <w:t>,</w:t>
      </w:r>
    </w:p>
    <w:p w:rsidR="007F07DD" w:rsidRDefault="007F07DD" w:rsidP="007F07DD">
      <w:pPr>
        <w:numPr>
          <w:ilvl w:val="0"/>
          <w:numId w:val="10"/>
        </w:numPr>
        <w:tabs>
          <w:tab w:val="clear" w:pos="1080"/>
          <w:tab w:val="num" w:pos="540"/>
        </w:tabs>
        <w:ind w:left="539" w:hanging="255"/>
        <w:rPr>
          <w:rFonts w:ascii="Verdana" w:hAnsi="Verdana"/>
          <w:sz w:val="16"/>
          <w:szCs w:val="16"/>
        </w:rPr>
      </w:pPr>
      <w:r>
        <w:rPr>
          <w:rFonts w:ascii="Verdana" w:hAnsi="Verdana"/>
          <w:sz w:val="16"/>
          <w:szCs w:val="16"/>
        </w:rPr>
        <w:t>2024</w:t>
      </w:r>
      <w:r w:rsidRPr="000A6485">
        <w:rPr>
          <w:rFonts w:ascii="Verdana" w:hAnsi="Verdana"/>
          <w:sz w:val="16"/>
          <w:szCs w:val="16"/>
        </w:rPr>
        <w:t xml:space="preserve"> r.: </w:t>
      </w:r>
      <w:r>
        <w:rPr>
          <w:rFonts w:ascii="Verdana" w:hAnsi="Verdana"/>
          <w:sz w:val="16"/>
          <w:szCs w:val="16"/>
        </w:rPr>
        <w:t xml:space="preserve"> </w:t>
      </w:r>
      <w:r>
        <w:rPr>
          <w:rFonts w:ascii="Verdana" w:hAnsi="Verdana"/>
          <w:b/>
          <w:sz w:val="16"/>
          <w:szCs w:val="16"/>
        </w:rPr>
        <w:t>383</w:t>
      </w:r>
      <w:r w:rsidRPr="000A6485">
        <w:rPr>
          <w:rFonts w:ascii="Verdana" w:hAnsi="Verdana"/>
          <w:b/>
          <w:sz w:val="16"/>
          <w:szCs w:val="16"/>
        </w:rPr>
        <w:t xml:space="preserve"> mln zł</w:t>
      </w:r>
      <w:r w:rsidRPr="000A6485">
        <w:rPr>
          <w:rFonts w:ascii="Verdana" w:hAnsi="Verdana"/>
          <w:sz w:val="16"/>
          <w:szCs w:val="16"/>
        </w:rPr>
        <w:t xml:space="preserve"> (</w:t>
      </w:r>
      <w:r>
        <w:rPr>
          <w:rFonts w:ascii="Verdana" w:hAnsi="Verdana"/>
          <w:sz w:val="16"/>
          <w:szCs w:val="16"/>
        </w:rPr>
        <w:t xml:space="preserve">w tym </w:t>
      </w:r>
      <w:r w:rsidRPr="000A6485">
        <w:rPr>
          <w:rFonts w:ascii="Verdana" w:hAnsi="Verdana"/>
          <w:sz w:val="16"/>
          <w:szCs w:val="16"/>
        </w:rPr>
        <w:t>środki unijne</w:t>
      </w:r>
      <w:r>
        <w:rPr>
          <w:rFonts w:ascii="Verdana" w:hAnsi="Verdana"/>
          <w:b/>
          <w:sz w:val="16"/>
          <w:szCs w:val="16"/>
        </w:rPr>
        <w:t xml:space="preserve"> 358 mln zł</w:t>
      </w:r>
      <w:r>
        <w:rPr>
          <w:rFonts w:ascii="Verdana" w:hAnsi="Verdana"/>
          <w:sz w:val="16"/>
          <w:szCs w:val="16"/>
        </w:rPr>
        <w:t xml:space="preserve"> i środki z Programu Inwestycji Strategicznych </w:t>
      </w:r>
      <w:r>
        <w:rPr>
          <w:rFonts w:ascii="Verdana" w:hAnsi="Verdana"/>
          <w:sz w:val="16"/>
          <w:szCs w:val="16"/>
        </w:rPr>
        <w:br/>
        <w:t xml:space="preserve">                                </w:t>
      </w:r>
      <w:r>
        <w:rPr>
          <w:rFonts w:ascii="Verdana" w:hAnsi="Verdana"/>
          <w:b/>
          <w:sz w:val="16"/>
          <w:szCs w:val="16"/>
        </w:rPr>
        <w:t>20 mln zł</w:t>
      </w:r>
      <w:r w:rsidRPr="000A6485">
        <w:rPr>
          <w:rFonts w:ascii="Verdana" w:hAnsi="Verdana"/>
          <w:sz w:val="16"/>
          <w:szCs w:val="16"/>
        </w:rPr>
        <w:t>)</w:t>
      </w:r>
      <w:r>
        <w:rPr>
          <w:rFonts w:ascii="Verdana" w:hAnsi="Verdana"/>
          <w:sz w:val="16"/>
          <w:szCs w:val="16"/>
        </w:rPr>
        <w:t>,</w:t>
      </w:r>
    </w:p>
    <w:p w:rsidR="007F07DD" w:rsidRDefault="007F07DD" w:rsidP="007F07DD">
      <w:pPr>
        <w:numPr>
          <w:ilvl w:val="0"/>
          <w:numId w:val="10"/>
        </w:numPr>
        <w:tabs>
          <w:tab w:val="clear" w:pos="1080"/>
          <w:tab w:val="num" w:pos="540"/>
        </w:tabs>
        <w:ind w:left="539" w:hanging="255"/>
        <w:rPr>
          <w:rFonts w:ascii="Verdana" w:hAnsi="Verdana"/>
          <w:sz w:val="16"/>
          <w:szCs w:val="16"/>
        </w:rPr>
      </w:pPr>
      <w:r>
        <w:rPr>
          <w:rFonts w:ascii="Verdana" w:hAnsi="Verdana"/>
          <w:sz w:val="16"/>
          <w:szCs w:val="16"/>
        </w:rPr>
        <w:t xml:space="preserve">2025 r.:  </w:t>
      </w:r>
      <w:r>
        <w:rPr>
          <w:rFonts w:ascii="Verdana" w:hAnsi="Verdana"/>
          <w:b/>
          <w:sz w:val="16"/>
          <w:szCs w:val="16"/>
        </w:rPr>
        <w:t xml:space="preserve">84 mln zł </w:t>
      </w:r>
      <w:r w:rsidRPr="000A6485">
        <w:rPr>
          <w:rFonts w:ascii="Verdana" w:hAnsi="Verdana"/>
          <w:sz w:val="16"/>
          <w:szCs w:val="16"/>
        </w:rPr>
        <w:t>(</w:t>
      </w:r>
      <w:r>
        <w:rPr>
          <w:rFonts w:ascii="Verdana" w:hAnsi="Verdana"/>
          <w:sz w:val="16"/>
          <w:szCs w:val="16"/>
        </w:rPr>
        <w:t xml:space="preserve">w tym środki z Programu Inwestycji Strategicznych </w:t>
      </w:r>
      <w:r>
        <w:rPr>
          <w:rFonts w:ascii="Verdana" w:hAnsi="Verdana"/>
          <w:b/>
          <w:sz w:val="16"/>
          <w:szCs w:val="16"/>
        </w:rPr>
        <w:t>72 mln zł</w:t>
      </w:r>
      <w:r w:rsidRPr="000A6485">
        <w:rPr>
          <w:rFonts w:ascii="Verdana" w:hAnsi="Verdana"/>
          <w:sz w:val="16"/>
          <w:szCs w:val="16"/>
        </w:rPr>
        <w:t>)</w:t>
      </w:r>
      <w:r>
        <w:rPr>
          <w:rFonts w:ascii="Verdana" w:hAnsi="Verdana"/>
          <w:sz w:val="16"/>
          <w:szCs w:val="16"/>
        </w:rPr>
        <w:t>,</w:t>
      </w:r>
    </w:p>
    <w:p w:rsidR="007F07DD" w:rsidRPr="000A6485" w:rsidRDefault="007F07DD" w:rsidP="007F07DD">
      <w:pPr>
        <w:numPr>
          <w:ilvl w:val="0"/>
          <w:numId w:val="10"/>
        </w:numPr>
        <w:tabs>
          <w:tab w:val="clear" w:pos="1080"/>
          <w:tab w:val="num" w:pos="540"/>
        </w:tabs>
        <w:ind w:left="539" w:hanging="255"/>
        <w:rPr>
          <w:rFonts w:ascii="Verdana" w:hAnsi="Verdana"/>
          <w:sz w:val="16"/>
          <w:szCs w:val="16"/>
        </w:rPr>
      </w:pPr>
      <w:r>
        <w:rPr>
          <w:rFonts w:ascii="Verdana" w:hAnsi="Verdana"/>
          <w:sz w:val="16"/>
          <w:szCs w:val="16"/>
        </w:rPr>
        <w:t xml:space="preserve">2026 r.:  </w:t>
      </w:r>
      <w:r>
        <w:rPr>
          <w:rFonts w:ascii="Verdana" w:hAnsi="Verdana"/>
          <w:b/>
          <w:sz w:val="16"/>
          <w:szCs w:val="16"/>
        </w:rPr>
        <w:t>57 mln zł</w:t>
      </w:r>
      <w:r>
        <w:rPr>
          <w:rFonts w:ascii="Verdana" w:hAnsi="Verdana"/>
          <w:sz w:val="16"/>
          <w:szCs w:val="16"/>
        </w:rPr>
        <w:t xml:space="preserve"> </w:t>
      </w:r>
      <w:r w:rsidRPr="000A6485">
        <w:rPr>
          <w:rFonts w:ascii="Verdana" w:hAnsi="Verdana"/>
          <w:sz w:val="16"/>
          <w:szCs w:val="16"/>
        </w:rPr>
        <w:t>(</w:t>
      </w:r>
      <w:r>
        <w:rPr>
          <w:rFonts w:ascii="Verdana" w:hAnsi="Verdana"/>
          <w:sz w:val="16"/>
          <w:szCs w:val="16"/>
        </w:rPr>
        <w:t>środki z Programu Inwestycji Strategicznych</w:t>
      </w:r>
      <w:r w:rsidRPr="000A6485">
        <w:rPr>
          <w:rFonts w:ascii="Verdana" w:hAnsi="Verdana"/>
          <w:sz w:val="16"/>
          <w:szCs w:val="16"/>
        </w:rPr>
        <w:t>)</w:t>
      </w:r>
    </w:p>
    <w:p w:rsidR="007F07DD" w:rsidRPr="00864ED9" w:rsidRDefault="007F07DD" w:rsidP="007F07DD">
      <w:pPr>
        <w:spacing w:before="120" w:after="120"/>
        <w:jc w:val="both"/>
        <w:rPr>
          <w:rFonts w:ascii="Verdana" w:hAnsi="Verdana"/>
          <w:sz w:val="16"/>
          <w:szCs w:val="16"/>
        </w:rPr>
      </w:pPr>
      <w:r w:rsidRPr="00864ED9">
        <w:rPr>
          <w:rFonts w:ascii="Verdana" w:hAnsi="Verdana"/>
          <w:sz w:val="16"/>
          <w:szCs w:val="16"/>
        </w:rPr>
        <w:t xml:space="preserve">W ramach </w:t>
      </w:r>
      <w:r w:rsidRPr="00864ED9">
        <w:rPr>
          <w:rFonts w:ascii="Verdana" w:hAnsi="Verdana"/>
          <w:b/>
          <w:sz w:val="16"/>
          <w:szCs w:val="16"/>
        </w:rPr>
        <w:t>unijnej perspektywy finansowej 2014-2020</w:t>
      </w:r>
      <w:r w:rsidRPr="00864ED9">
        <w:rPr>
          <w:rFonts w:ascii="Verdana" w:hAnsi="Verdana"/>
          <w:sz w:val="16"/>
          <w:szCs w:val="16"/>
        </w:rPr>
        <w:t>, w latach objętych WPF 2022-2050, przewiduje się realizację dochodów z tytułu dofinansowania unijnego m.in. w związku z realizacją następujących projektów inwestycyjnych:</w:t>
      </w:r>
    </w:p>
    <w:p w:rsidR="007F07DD" w:rsidRPr="00864ED9"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lastRenderedPageBreak/>
        <w:t xml:space="preserve">II linia metra (odcinek 2+3) – łączne dofinansowanie w latach 2022-2024 na kwotę </w:t>
      </w:r>
      <w:r w:rsidRPr="00864ED9">
        <w:rPr>
          <w:rFonts w:ascii="Verdana" w:hAnsi="Verdana"/>
          <w:b/>
          <w:sz w:val="16"/>
          <w:szCs w:val="16"/>
        </w:rPr>
        <w:t xml:space="preserve">934 mln zł </w:t>
      </w:r>
      <w:r w:rsidRPr="00864ED9">
        <w:rPr>
          <w:rFonts w:ascii="Verdana" w:hAnsi="Verdana"/>
          <w:sz w:val="16"/>
          <w:szCs w:val="16"/>
        </w:rPr>
        <w:t>(umowa podpisana 3 października 2017 r.),</w:t>
      </w:r>
    </w:p>
    <w:p w:rsidR="007F07DD" w:rsidRPr="00864ED9"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t xml:space="preserve">II linia metra (odcinek 3+3) – łączne dofinansowanie w latach 2022-2024 na kwotę </w:t>
      </w:r>
      <w:r w:rsidRPr="00864ED9">
        <w:rPr>
          <w:rFonts w:ascii="Verdana" w:hAnsi="Verdana"/>
          <w:b/>
          <w:sz w:val="16"/>
          <w:szCs w:val="16"/>
        </w:rPr>
        <w:t xml:space="preserve">418 mln zł </w:t>
      </w:r>
      <w:r w:rsidRPr="00864ED9">
        <w:rPr>
          <w:rFonts w:ascii="Verdana" w:hAnsi="Verdana"/>
          <w:sz w:val="16"/>
          <w:szCs w:val="16"/>
        </w:rPr>
        <w:t>(umowa podpisana 23 września 2016 r.),</w:t>
      </w:r>
    </w:p>
    <w:p w:rsidR="007F07DD" w:rsidRPr="00864ED9"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t>Modernizacja ciągu ulic Marsa - Żołnierska odc. węzeł Marsa granica miasta - etap III – łączne d</w:t>
      </w:r>
      <w:r>
        <w:rPr>
          <w:rFonts w:ascii="Verdana" w:hAnsi="Verdana"/>
          <w:sz w:val="16"/>
          <w:szCs w:val="16"/>
        </w:rPr>
        <w:t>ofinansowanie w latach 2022-2023</w:t>
      </w:r>
      <w:r w:rsidRPr="00864ED9">
        <w:rPr>
          <w:rFonts w:ascii="Verdana" w:hAnsi="Verdana"/>
          <w:sz w:val="16"/>
          <w:szCs w:val="16"/>
        </w:rPr>
        <w:t xml:space="preserve"> na kwotę </w:t>
      </w:r>
      <w:r w:rsidRPr="00864ED9">
        <w:rPr>
          <w:rFonts w:ascii="Verdana" w:hAnsi="Verdana"/>
          <w:b/>
          <w:sz w:val="16"/>
          <w:szCs w:val="16"/>
        </w:rPr>
        <w:t xml:space="preserve">49 mln zł </w:t>
      </w:r>
      <w:r w:rsidRPr="00864ED9">
        <w:rPr>
          <w:rFonts w:ascii="Verdana" w:hAnsi="Verdana"/>
          <w:sz w:val="16"/>
          <w:szCs w:val="16"/>
        </w:rPr>
        <w:t>(umowa podpisana 5 listopada 2020 r.),</w:t>
      </w:r>
    </w:p>
    <w:p w:rsidR="007F07DD" w:rsidRPr="00864ED9"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t>Utworzenie terenów zieleni o symbolice historycznej na obszarze m.st. Warszawy – łączne d</w:t>
      </w:r>
      <w:r>
        <w:rPr>
          <w:rFonts w:ascii="Verdana" w:hAnsi="Verdana"/>
          <w:sz w:val="16"/>
          <w:szCs w:val="16"/>
        </w:rPr>
        <w:t>ofinansowanie w latach 2022-2023</w:t>
      </w:r>
      <w:r w:rsidRPr="00864ED9">
        <w:rPr>
          <w:rFonts w:ascii="Verdana" w:hAnsi="Verdana"/>
          <w:sz w:val="16"/>
          <w:szCs w:val="16"/>
        </w:rPr>
        <w:t xml:space="preserve"> na kwotę </w:t>
      </w:r>
      <w:r w:rsidRPr="00864ED9">
        <w:rPr>
          <w:rFonts w:ascii="Verdana" w:hAnsi="Verdana"/>
          <w:b/>
          <w:sz w:val="16"/>
          <w:szCs w:val="16"/>
        </w:rPr>
        <w:t xml:space="preserve">18 mln zł </w:t>
      </w:r>
      <w:r w:rsidRPr="00864ED9">
        <w:rPr>
          <w:rFonts w:ascii="Verdana" w:hAnsi="Verdana"/>
          <w:sz w:val="16"/>
          <w:szCs w:val="16"/>
        </w:rPr>
        <w:t>(umowa podpisana 22 listopada 2017 r.),</w:t>
      </w:r>
    </w:p>
    <w:p w:rsidR="007F07DD" w:rsidRPr="00864ED9"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t xml:space="preserve">Wirtualny Warszawski Obszar Funkcjonalny –dofinansowanie w </w:t>
      </w:r>
      <w:r>
        <w:rPr>
          <w:rFonts w:ascii="Verdana" w:hAnsi="Verdana"/>
          <w:sz w:val="16"/>
          <w:szCs w:val="16"/>
        </w:rPr>
        <w:t>2022 r.</w:t>
      </w:r>
      <w:r w:rsidRPr="00864ED9">
        <w:rPr>
          <w:rFonts w:ascii="Verdana" w:hAnsi="Verdana"/>
          <w:sz w:val="16"/>
          <w:szCs w:val="16"/>
        </w:rPr>
        <w:t xml:space="preserve"> na kwotę </w:t>
      </w:r>
      <w:r>
        <w:rPr>
          <w:rFonts w:ascii="Verdana" w:hAnsi="Verdana"/>
          <w:b/>
          <w:sz w:val="16"/>
          <w:szCs w:val="16"/>
        </w:rPr>
        <w:t>19 mln </w:t>
      </w:r>
      <w:r w:rsidRPr="00864ED9">
        <w:rPr>
          <w:rFonts w:ascii="Verdana" w:hAnsi="Verdana"/>
          <w:b/>
          <w:sz w:val="16"/>
          <w:szCs w:val="16"/>
        </w:rPr>
        <w:t xml:space="preserve">zł </w:t>
      </w:r>
      <w:r w:rsidRPr="00864ED9">
        <w:rPr>
          <w:rFonts w:ascii="Verdana" w:hAnsi="Verdana"/>
          <w:sz w:val="16"/>
          <w:szCs w:val="16"/>
        </w:rPr>
        <w:t>(umowa podpisana 29 września 2017 r.),</w:t>
      </w:r>
    </w:p>
    <w:p w:rsidR="007F07DD" w:rsidRPr="00801712"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864ED9">
        <w:rPr>
          <w:rFonts w:ascii="Verdana" w:hAnsi="Verdana"/>
          <w:sz w:val="16"/>
          <w:szCs w:val="16"/>
        </w:rPr>
        <w:t>Poprawa dostępności infrastruktury sieci TEN-T w ramach węzłów drogowych dróg ekspresowych S8 i S2 w warszawskim węźle sieci bazowej TEN-T - budowa odcinków ul. Gandhi i Lazurowej – łączne dofinansowanie w latach 202</w:t>
      </w:r>
      <w:r>
        <w:rPr>
          <w:rFonts w:ascii="Verdana" w:hAnsi="Verdana"/>
          <w:sz w:val="16"/>
          <w:szCs w:val="16"/>
        </w:rPr>
        <w:t>3</w:t>
      </w:r>
      <w:r w:rsidRPr="00864ED9">
        <w:rPr>
          <w:rFonts w:ascii="Verdana" w:hAnsi="Verdana"/>
          <w:sz w:val="16"/>
          <w:szCs w:val="16"/>
        </w:rPr>
        <w:t xml:space="preserve">-2024 na kwotę </w:t>
      </w:r>
      <w:r w:rsidRPr="00864ED9">
        <w:rPr>
          <w:rFonts w:ascii="Verdana" w:hAnsi="Verdana"/>
          <w:b/>
          <w:sz w:val="16"/>
          <w:szCs w:val="16"/>
        </w:rPr>
        <w:t>13 mln zł</w:t>
      </w:r>
      <w:r w:rsidRPr="00864ED9">
        <w:rPr>
          <w:rFonts w:ascii="Verdana" w:hAnsi="Verdana"/>
          <w:sz w:val="16"/>
          <w:szCs w:val="16"/>
        </w:rPr>
        <w:t>.</w:t>
      </w:r>
    </w:p>
    <w:p w:rsidR="007F07DD" w:rsidRPr="00801712" w:rsidRDefault="007F07DD" w:rsidP="007F07DD">
      <w:pPr>
        <w:spacing w:before="120" w:after="120"/>
        <w:jc w:val="both"/>
        <w:rPr>
          <w:rFonts w:ascii="Verdana" w:hAnsi="Verdana"/>
          <w:sz w:val="16"/>
          <w:szCs w:val="16"/>
        </w:rPr>
      </w:pPr>
      <w:r w:rsidRPr="00801712">
        <w:rPr>
          <w:rFonts w:ascii="Verdana" w:hAnsi="Verdana"/>
          <w:sz w:val="16"/>
          <w:szCs w:val="16"/>
        </w:rPr>
        <w:t xml:space="preserve">W dniu 25 października 2021 r. na stronie internetowej Rządowy Fundusz Polski Ład: Program Inwestycji Strategicznych - edycja pierwsza – Bank Gospodarstwa Krajowego zostały opublikowane wyniki pierwszej edycji pilotażowego naboru wniosków o dofinansowanie z </w:t>
      </w:r>
      <w:r w:rsidRPr="00801712">
        <w:rPr>
          <w:rFonts w:ascii="Verdana" w:hAnsi="Verdana"/>
          <w:b/>
          <w:sz w:val="16"/>
          <w:szCs w:val="16"/>
        </w:rPr>
        <w:t>Rządowego Funduszu Polski Ład: Program Inwestycji Strategicznyc</w:t>
      </w:r>
      <w:r w:rsidRPr="00801712">
        <w:rPr>
          <w:rFonts w:ascii="Verdana" w:hAnsi="Verdana"/>
          <w:sz w:val="16"/>
          <w:szCs w:val="16"/>
        </w:rPr>
        <w:t>h trwającego w terminie od 2 lipca do 15 sierpnia 2021 roku.</w:t>
      </w:r>
    </w:p>
    <w:p w:rsidR="007F07DD" w:rsidRDefault="007F07DD" w:rsidP="007F07DD">
      <w:pPr>
        <w:spacing w:before="120" w:after="120"/>
        <w:jc w:val="both"/>
        <w:rPr>
          <w:rFonts w:ascii="Verdana" w:hAnsi="Verdana"/>
          <w:sz w:val="16"/>
          <w:szCs w:val="16"/>
        </w:rPr>
      </w:pPr>
      <w:r w:rsidRPr="00801712">
        <w:rPr>
          <w:rFonts w:ascii="Verdana" w:hAnsi="Verdana"/>
          <w:sz w:val="16"/>
          <w:szCs w:val="16"/>
        </w:rPr>
        <w:t>Wszystkie trzy wnioski o dofinansowanie zgłoszone przez m.st. Warszawę w ramach obowiązujących warunków naboru, zgodnie z zamieszczoną informacją pn. Wyniki naboru – Edycja 1 w poz. 2095, 2096 i 2097, otrzymały dofinansowanie w k</w:t>
      </w:r>
      <w:r>
        <w:rPr>
          <w:rFonts w:ascii="Verdana" w:hAnsi="Verdana"/>
          <w:sz w:val="16"/>
          <w:szCs w:val="16"/>
        </w:rPr>
        <w:t>wotach zgodnych z wnioskowanymi, tj.:</w:t>
      </w:r>
    </w:p>
    <w:p w:rsidR="007F07DD"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5430EE">
        <w:rPr>
          <w:rFonts w:ascii="Verdana" w:hAnsi="Verdana"/>
          <w:sz w:val="16"/>
          <w:szCs w:val="16"/>
        </w:rPr>
        <w:t xml:space="preserve">Modernizacja wiaduktów drogowych nad ul. Paryską w Warszawie: </w:t>
      </w:r>
      <w:r w:rsidRPr="00E3361B">
        <w:rPr>
          <w:rFonts w:ascii="Verdana" w:hAnsi="Verdana"/>
          <w:b/>
          <w:sz w:val="16"/>
          <w:szCs w:val="16"/>
        </w:rPr>
        <w:t>114 mln zł</w:t>
      </w:r>
      <w:r w:rsidRPr="005430EE">
        <w:rPr>
          <w:rFonts w:ascii="Verdana" w:hAnsi="Verdana"/>
          <w:sz w:val="16"/>
          <w:szCs w:val="16"/>
        </w:rPr>
        <w:t xml:space="preserve"> (wartość inwestycji </w:t>
      </w:r>
      <w:r>
        <w:rPr>
          <w:rFonts w:ascii="Verdana" w:hAnsi="Verdana"/>
          <w:sz w:val="16"/>
          <w:szCs w:val="16"/>
        </w:rPr>
        <w:br/>
      </w:r>
      <w:r w:rsidRPr="005430EE">
        <w:rPr>
          <w:rFonts w:ascii="Verdana" w:hAnsi="Verdana"/>
          <w:sz w:val="16"/>
          <w:szCs w:val="16"/>
        </w:rPr>
        <w:t>114 mln zł w latach 2022-2025),</w:t>
      </w:r>
    </w:p>
    <w:p w:rsidR="007F07DD" w:rsidRPr="00E3361B"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5430EE">
        <w:rPr>
          <w:rFonts w:ascii="Verdana" w:hAnsi="Verdana"/>
          <w:sz w:val="16"/>
          <w:szCs w:val="16"/>
        </w:rPr>
        <w:t xml:space="preserve">Budowa i wyposażenie 9 - oddziałowego   przedszkola  będącego  częścią zespołu szkolno - przedszkolnego  przy ul. Gilarskiej w W-wie wraz z zagospodarowaniem terenu: </w:t>
      </w:r>
      <w:r w:rsidRPr="00E3361B">
        <w:rPr>
          <w:rFonts w:ascii="Verdana" w:hAnsi="Verdana"/>
          <w:b/>
          <w:sz w:val="16"/>
          <w:szCs w:val="16"/>
        </w:rPr>
        <w:t>35 mln zł</w:t>
      </w:r>
      <w:r w:rsidRPr="005430EE">
        <w:rPr>
          <w:rFonts w:ascii="Verdana" w:hAnsi="Verdana"/>
          <w:sz w:val="16"/>
          <w:szCs w:val="16"/>
        </w:rPr>
        <w:t xml:space="preserve"> (wartość inwestycji 35,5 mln zł w latach 2022-2024),</w:t>
      </w:r>
    </w:p>
    <w:p w:rsidR="007F07DD" w:rsidRPr="005430EE" w:rsidRDefault="007F07DD" w:rsidP="007F07DD">
      <w:pPr>
        <w:pStyle w:val="Akapitzlist"/>
        <w:numPr>
          <w:ilvl w:val="0"/>
          <w:numId w:val="29"/>
        </w:numPr>
        <w:spacing w:before="120" w:after="120"/>
        <w:ind w:left="567" w:hanging="283"/>
        <w:contextualSpacing w:val="0"/>
        <w:jc w:val="both"/>
        <w:rPr>
          <w:rFonts w:ascii="Verdana" w:hAnsi="Verdana"/>
          <w:sz w:val="16"/>
          <w:szCs w:val="16"/>
        </w:rPr>
      </w:pPr>
      <w:r w:rsidRPr="005430EE">
        <w:rPr>
          <w:rFonts w:ascii="Verdana" w:hAnsi="Verdana"/>
          <w:sz w:val="16"/>
          <w:szCs w:val="16"/>
        </w:rPr>
        <w:t xml:space="preserve">Poprawa układu drogowego w Dzielnicy Białołęka na rozbudowę drogi powiatowej Kąty Grodziskie </w:t>
      </w:r>
      <w:r>
        <w:rPr>
          <w:rFonts w:ascii="Verdana" w:hAnsi="Verdana"/>
          <w:sz w:val="16"/>
          <w:szCs w:val="16"/>
        </w:rPr>
        <w:br/>
      </w:r>
      <w:r w:rsidRPr="005430EE">
        <w:rPr>
          <w:rFonts w:ascii="Verdana" w:hAnsi="Verdana"/>
          <w:sz w:val="16"/>
          <w:szCs w:val="16"/>
        </w:rPr>
        <w:t xml:space="preserve">na odc. ul. Zdziarska – ul. Berensona: </w:t>
      </w:r>
      <w:r w:rsidRPr="00E3361B">
        <w:rPr>
          <w:rFonts w:ascii="Verdana" w:hAnsi="Verdana"/>
          <w:b/>
          <w:sz w:val="16"/>
          <w:szCs w:val="16"/>
        </w:rPr>
        <w:t>5 mln zł</w:t>
      </w:r>
      <w:r>
        <w:rPr>
          <w:rFonts w:ascii="Verdana" w:hAnsi="Verdana"/>
          <w:sz w:val="16"/>
          <w:szCs w:val="16"/>
        </w:rPr>
        <w:t xml:space="preserve"> (2024 r.)</w:t>
      </w:r>
      <w:r w:rsidRPr="005430EE">
        <w:rPr>
          <w:rFonts w:ascii="Verdana" w:hAnsi="Verdana"/>
          <w:sz w:val="16"/>
          <w:szCs w:val="16"/>
        </w:rPr>
        <w:t>.</w:t>
      </w:r>
    </w:p>
    <w:p w:rsidR="007F07DD" w:rsidRDefault="007F07DD" w:rsidP="007F07DD">
      <w:pPr>
        <w:spacing w:before="120" w:after="120"/>
        <w:jc w:val="both"/>
        <w:rPr>
          <w:rFonts w:ascii="Verdana" w:hAnsi="Verdana"/>
          <w:sz w:val="16"/>
          <w:szCs w:val="16"/>
        </w:rPr>
      </w:pPr>
      <w:r>
        <w:rPr>
          <w:rFonts w:ascii="Verdana" w:hAnsi="Verdana"/>
          <w:sz w:val="16"/>
          <w:szCs w:val="16"/>
        </w:rPr>
        <w:br w:type="page"/>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lastRenderedPageBreak/>
        <w:t>7.3 Wynik zbiorczy prognozy wydatków</w:t>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t>7.3.1 Prognoza wydatków ogółem</w:t>
      </w:r>
    </w:p>
    <w:p w:rsidR="007F07DD" w:rsidRPr="000A6485" w:rsidRDefault="007F07DD" w:rsidP="007F07DD">
      <w:pPr>
        <w:spacing w:before="240" w:after="12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30</w:t>
      </w:r>
      <w:r w:rsidRPr="000A6485">
        <w:rPr>
          <w:rFonts w:ascii="Verdana" w:hAnsi="Verdana"/>
          <w:sz w:val="16"/>
          <w:szCs w:val="16"/>
        </w:rPr>
        <w:t xml:space="preserve"> prezentuje prognozowane wydatki ogółem w poszczególnych latach objętych Prognozą.</w:t>
      </w:r>
    </w:p>
    <w:p w:rsidR="007F07DD" w:rsidRPr="000A6485" w:rsidRDefault="007F07DD" w:rsidP="007F07DD">
      <w:pPr>
        <w:tabs>
          <w:tab w:val="left" w:pos="567"/>
        </w:tabs>
        <w:spacing w:before="120" w:after="60"/>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30</w:t>
      </w:r>
      <w:r w:rsidRPr="000A6485">
        <w:rPr>
          <w:rFonts w:ascii="Verdana" w:hAnsi="Verdana" w:cs="Arial"/>
          <w:b/>
          <w:bCs/>
          <w:sz w:val="14"/>
          <w:szCs w:val="14"/>
        </w:rPr>
        <w:fldChar w:fldCharType="end"/>
      </w:r>
      <w:r w:rsidRPr="000A6485">
        <w:rPr>
          <w:rFonts w:ascii="Verdana" w:hAnsi="Verdana" w:cs="Arial"/>
          <w:b/>
          <w:bCs/>
          <w:sz w:val="14"/>
          <w:szCs w:val="14"/>
        </w:rPr>
        <w:t xml:space="preserve">  PROGNOZA WYDATKÓW OG</w:t>
      </w:r>
      <w:r>
        <w:rPr>
          <w:rFonts w:ascii="Verdana" w:hAnsi="Verdana" w:cs="Arial"/>
          <w:b/>
          <w:bCs/>
          <w:sz w:val="14"/>
          <w:szCs w:val="14"/>
        </w:rPr>
        <w:t xml:space="preserve">ÓŁEM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2"/>
          <w:szCs w:val="22"/>
        </w:rPr>
      </w:pPr>
      <w:r>
        <w:rPr>
          <w:rFonts w:ascii="Verdana" w:hAnsi="Verdana"/>
          <w:b/>
          <w:bCs/>
          <w:noProof/>
          <w:sz w:val="22"/>
          <w:szCs w:val="22"/>
        </w:rPr>
        <w:pict>
          <v:shape id="_x0000_i1049" type="#_x0000_t75" style="width:455.35pt;height:227.7pt">
            <v:imagedata r:id="rId43" o:title=""/>
          </v:shape>
        </w:pict>
      </w:r>
    </w:p>
    <w:p w:rsidR="007F07DD" w:rsidRPr="000A6485" w:rsidRDefault="007F07DD" w:rsidP="007F07DD">
      <w:pPr>
        <w:spacing w:before="60" w:after="60"/>
        <w:ind w:firstLine="539"/>
        <w:jc w:val="both"/>
        <w:rPr>
          <w:rFonts w:ascii="Verdana" w:hAnsi="Verdana"/>
          <w:sz w:val="16"/>
          <w:szCs w:val="16"/>
        </w:rPr>
      </w:pPr>
      <w:r w:rsidRPr="00321E2E">
        <w:rPr>
          <w:rFonts w:ascii="Verdana" w:hAnsi="Verdana" w:cs="Arial"/>
          <w:sz w:val="16"/>
          <w:szCs w:val="16"/>
        </w:rPr>
        <w:t xml:space="preserve">Dochody i wydatki budżetowe związane z Programem „Rodzina 500 Plus” zaplanowano przy założeniu przejęcia przez Zakład Ubezpieczeń Społecznych od czerwca 2022 r. realizacji wypłat świadczeń objętych Programem, co przewiduje ustawa z 17 września 2021 r. </w:t>
      </w:r>
      <w:r w:rsidRPr="00321E2E">
        <w:rPr>
          <w:rFonts w:ascii="Verdana" w:hAnsi="Verdana" w:cs="Arial"/>
          <w:i/>
          <w:sz w:val="16"/>
          <w:szCs w:val="16"/>
        </w:rPr>
        <w:t>o zmianie ustawy o pomocy państwa w wychowaniu dzieci oraz niektórych innych ustaw</w:t>
      </w:r>
      <w:r>
        <w:rPr>
          <w:rFonts w:ascii="Verdana" w:hAnsi="Verdana" w:cs="Arial"/>
          <w:sz w:val="16"/>
          <w:szCs w:val="16"/>
        </w:rPr>
        <w:t xml:space="preserve"> (Dz.U. poz. 1981)</w:t>
      </w:r>
      <w:r w:rsidRPr="00321E2E">
        <w:rPr>
          <w:rFonts w:ascii="Verdana" w:hAnsi="Verdana" w:cs="Arial"/>
          <w:sz w:val="16"/>
          <w:szCs w:val="16"/>
        </w:rPr>
        <w:t xml:space="preserve">. </w:t>
      </w:r>
      <w:r>
        <w:rPr>
          <w:rFonts w:ascii="Verdana" w:hAnsi="Verdana" w:cs="Arial"/>
          <w:sz w:val="16"/>
          <w:szCs w:val="16"/>
        </w:rPr>
        <w:t xml:space="preserve">Dochody i wydatki związane z realizacją Programu „Rodzina 500 Plus” planowane na 2022 r. wynoszą </w:t>
      </w:r>
      <w:r w:rsidRPr="00321E2E">
        <w:rPr>
          <w:rFonts w:ascii="Verdana" w:hAnsi="Verdana" w:cs="Arial"/>
          <w:b/>
          <w:sz w:val="16"/>
          <w:szCs w:val="16"/>
        </w:rPr>
        <w:t>8</w:t>
      </w:r>
      <w:r>
        <w:rPr>
          <w:rFonts w:ascii="Verdana" w:hAnsi="Verdana" w:cs="Arial"/>
          <w:b/>
          <w:sz w:val="16"/>
          <w:szCs w:val="16"/>
        </w:rPr>
        <w:t>35</w:t>
      </w:r>
      <w:r w:rsidRPr="00321E2E">
        <w:rPr>
          <w:rFonts w:ascii="Verdana" w:hAnsi="Verdana" w:cs="Arial"/>
          <w:b/>
          <w:sz w:val="16"/>
          <w:szCs w:val="16"/>
        </w:rPr>
        <w:t xml:space="preserve"> mln zł</w:t>
      </w:r>
      <w:r>
        <w:rPr>
          <w:rFonts w:ascii="Verdana" w:hAnsi="Verdana" w:cs="Arial"/>
          <w:sz w:val="16"/>
          <w:szCs w:val="16"/>
        </w:rPr>
        <w:t xml:space="preserve"> wobec </w:t>
      </w:r>
      <w:r>
        <w:rPr>
          <w:rFonts w:ascii="Verdana" w:hAnsi="Verdana" w:cs="Arial"/>
          <w:b/>
          <w:sz w:val="16"/>
          <w:szCs w:val="16"/>
        </w:rPr>
        <w:t>2,022</w:t>
      </w:r>
      <w:r w:rsidRPr="00321E2E">
        <w:rPr>
          <w:rFonts w:ascii="Verdana" w:hAnsi="Verdana" w:cs="Arial"/>
          <w:b/>
          <w:sz w:val="16"/>
          <w:szCs w:val="16"/>
        </w:rPr>
        <w:t xml:space="preserve"> mld zł</w:t>
      </w:r>
      <w:r>
        <w:rPr>
          <w:rFonts w:ascii="Verdana" w:hAnsi="Verdana" w:cs="Arial"/>
          <w:sz w:val="16"/>
          <w:szCs w:val="16"/>
        </w:rPr>
        <w:t xml:space="preserve"> w 2021 r. </w:t>
      </w:r>
      <w:r>
        <w:rPr>
          <w:rFonts w:ascii="Verdana" w:hAnsi="Verdana"/>
          <w:sz w:val="16"/>
          <w:szCs w:val="16"/>
        </w:rPr>
        <w:t>Parametry budżetowe na kolejne lata objęte WPF, tj. 2023-2050, nie obejmują zadań związanych z realizacją Programu „Rodzina 500 Plus”</w:t>
      </w:r>
      <w:r w:rsidRPr="00621F36">
        <w:rPr>
          <w:rFonts w:ascii="Verdana" w:hAnsi="Verdana"/>
          <w:sz w:val="16"/>
          <w:szCs w:val="16"/>
        </w:rPr>
        <w:t>.</w:t>
      </w:r>
    </w:p>
    <w:p w:rsidR="007F07DD" w:rsidRDefault="007F07DD" w:rsidP="007F07DD">
      <w:pPr>
        <w:spacing w:before="60" w:after="60"/>
        <w:ind w:firstLine="539"/>
        <w:jc w:val="both"/>
        <w:rPr>
          <w:rFonts w:ascii="Verdana" w:hAnsi="Verdana"/>
          <w:sz w:val="16"/>
          <w:szCs w:val="16"/>
        </w:rPr>
      </w:pPr>
      <w:r w:rsidRPr="000A6485">
        <w:rPr>
          <w:rFonts w:ascii="Verdana" w:hAnsi="Verdana"/>
          <w:sz w:val="16"/>
          <w:szCs w:val="16"/>
        </w:rPr>
        <w:t xml:space="preserve">Założony poziom wydatków zdeterminowany jest prognozowaną wielkością dochodów oraz zakresem realizowanych zadań, w tym kształtem programu inwestycyjnego, </w:t>
      </w:r>
      <w:r>
        <w:rPr>
          <w:rFonts w:ascii="Verdana" w:hAnsi="Verdana"/>
          <w:sz w:val="16"/>
          <w:szCs w:val="16"/>
        </w:rPr>
        <w:t xml:space="preserve">przy maksymalnym możliwym wsparciu środkami dłużnymi do poziomu nieprzekraczającego 55% długu w relacji do dochodów ogółem. </w:t>
      </w:r>
      <w:r w:rsidRPr="000A6485">
        <w:rPr>
          <w:rFonts w:ascii="Verdana" w:hAnsi="Verdana"/>
          <w:sz w:val="16"/>
          <w:szCs w:val="16"/>
        </w:rPr>
        <w:t>Przyjęty pułap wydatków powiązany jest również z realizacją programu ograniczania deficytu budżetu Miasta z perspektywą generowania nadwyżek budżetowych począwszy od 202</w:t>
      </w:r>
      <w:r>
        <w:rPr>
          <w:rFonts w:ascii="Verdana" w:hAnsi="Verdana"/>
          <w:sz w:val="16"/>
          <w:szCs w:val="16"/>
        </w:rPr>
        <w:t>7</w:t>
      </w:r>
      <w:r w:rsidRPr="000A6485">
        <w:rPr>
          <w:rFonts w:ascii="Verdana" w:hAnsi="Verdana"/>
          <w:sz w:val="16"/>
          <w:szCs w:val="16"/>
        </w:rPr>
        <w:t xml:space="preserve"> r. Założony poziom wydatków służyć będzie poprawie jakości życia mieszkańców Warszawy, gwarantując środki na finansow</w:t>
      </w:r>
      <w:r>
        <w:rPr>
          <w:rFonts w:ascii="Verdana" w:hAnsi="Verdana"/>
          <w:sz w:val="16"/>
          <w:szCs w:val="16"/>
        </w:rPr>
        <w:t xml:space="preserve">anie inwestycji prorozwojowych, w ramach możliwości finansowych determinowanych znaczącym ograniczeniem strony dochodowej z uwagi na wprowadzone rozwiązania legislacyjne trwale zmniejszające dochody z podatku dochodowego od osób fizycznych (PIT) </w:t>
      </w:r>
      <w:r>
        <w:rPr>
          <w:rFonts w:ascii="Verdana" w:hAnsi="Verdana"/>
          <w:sz w:val="16"/>
          <w:szCs w:val="16"/>
        </w:rPr>
        <w:br/>
        <w:t xml:space="preserve">i dochody z opłat za użytkowanie wieczyste nieruchomości, w warunkach utrzymujących się negatywnych następstw pandemii </w:t>
      </w:r>
      <w:proofErr w:type="spellStart"/>
      <w:r>
        <w:rPr>
          <w:rFonts w:ascii="Verdana" w:hAnsi="Verdana"/>
          <w:sz w:val="16"/>
          <w:szCs w:val="16"/>
        </w:rPr>
        <w:t>koronawirusa</w:t>
      </w:r>
      <w:proofErr w:type="spellEnd"/>
      <w:r>
        <w:rPr>
          <w:rFonts w:ascii="Verdana" w:hAnsi="Verdana"/>
          <w:sz w:val="16"/>
          <w:szCs w:val="16"/>
        </w:rPr>
        <w:t xml:space="preserve"> SARS-CoV-2</w:t>
      </w:r>
      <w:r w:rsidRPr="003F230E">
        <w:rPr>
          <w:rFonts w:ascii="Verdana" w:hAnsi="Verdana"/>
          <w:sz w:val="16"/>
          <w:szCs w:val="16"/>
        </w:rPr>
        <w:t xml:space="preserve"> </w:t>
      </w:r>
      <w:r>
        <w:rPr>
          <w:rFonts w:ascii="Verdana" w:hAnsi="Verdana"/>
          <w:sz w:val="16"/>
          <w:szCs w:val="16"/>
        </w:rPr>
        <w:t>dla dochodów m.st. Warszawy.</w:t>
      </w:r>
    </w:p>
    <w:p w:rsidR="007F07DD" w:rsidRDefault="007F07DD" w:rsidP="007F07DD">
      <w:pPr>
        <w:spacing w:before="60" w:after="60"/>
        <w:ind w:firstLine="539"/>
        <w:jc w:val="both"/>
        <w:rPr>
          <w:rFonts w:ascii="Verdana" w:hAnsi="Verdana"/>
          <w:sz w:val="16"/>
          <w:szCs w:val="16"/>
        </w:rPr>
      </w:pPr>
      <w:r w:rsidRPr="000A6485">
        <w:rPr>
          <w:rFonts w:ascii="Verdana" w:hAnsi="Verdana"/>
          <w:sz w:val="16"/>
          <w:szCs w:val="16"/>
        </w:rPr>
        <w:t>W ramach wydatków w perspektywie 202</w:t>
      </w:r>
      <w:r>
        <w:rPr>
          <w:rFonts w:ascii="Verdana" w:hAnsi="Verdana"/>
          <w:sz w:val="16"/>
          <w:szCs w:val="16"/>
        </w:rPr>
        <w:t>4</w:t>
      </w:r>
      <w:r w:rsidRPr="000A6485">
        <w:rPr>
          <w:rFonts w:ascii="Verdana" w:hAnsi="Verdana"/>
          <w:sz w:val="16"/>
          <w:szCs w:val="16"/>
        </w:rPr>
        <w:t xml:space="preserve"> r. realizowane będą projekty współfinansowane ze środków Unii Europejskiej. Wartość tych projektów </w:t>
      </w:r>
      <w:r>
        <w:rPr>
          <w:rFonts w:ascii="Verdana" w:hAnsi="Verdana"/>
          <w:sz w:val="16"/>
          <w:szCs w:val="16"/>
        </w:rPr>
        <w:t>ujmowanych</w:t>
      </w:r>
      <w:r w:rsidRPr="000A6485">
        <w:rPr>
          <w:rFonts w:ascii="Verdana" w:hAnsi="Verdana"/>
          <w:sz w:val="16"/>
          <w:szCs w:val="16"/>
        </w:rPr>
        <w:t xml:space="preserve"> w ramach wydatków bieżących wyniesie łącznie </w:t>
      </w:r>
      <w:r w:rsidRPr="000A6485">
        <w:rPr>
          <w:rFonts w:ascii="Verdana" w:hAnsi="Verdana"/>
          <w:sz w:val="16"/>
          <w:szCs w:val="16"/>
        </w:rPr>
        <w:br/>
      </w:r>
      <w:r>
        <w:rPr>
          <w:rFonts w:ascii="Verdana" w:hAnsi="Verdana"/>
          <w:b/>
          <w:sz w:val="16"/>
          <w:szCs w:val="16"/>
        </w:rPr>
        <w:t>69,6</w:t>
      </w:r>
      <w:r w:rsidRPr="000A6485">
        <w:rPr>
          <w:rFonts w:ascii="Verdana" w:hAnsi="Verdana"/>
          <w:b/>
          <w:sz w:val="16"/>
          <w:szCs w:val="16"/>
        </w:rPr>
        <w:t xml:space="preserve"> mln zł</w:t>
      </w:r>
      <w:r w:rsidRPr="000A6485">
        <w:rPr>
          <w:rFonts w:ascii="Verdana" w:hAnsi="Verdana"/>
          <w:sz w:val="16"/>
          <w:szCs w:val="16"/>
        </w:rPr>
        <w:t xml:space="preserve">, natomiast </w:t>
      </w:r>
      <w:r>
        <w:rPr>
          <w:rFonts w:ascii="Verdana" w:hAnsi="Verdana"/>
          <w:sz w:val="16"/>
          <w:szCs w:val="16"/>
        </w:rPr>
        <w:t>projekty inwestycyjne</w:t>
      </w:r>
      <w:r w:rsidRPr="000A6485">
        <w:rPr>
          <w:rFonts w:ascii="Verdana" w:hAnsi="Verdana"/>
          <w:sz w:val="16"/>
          <w:szCs w:val="16"/>
        </w:rPr>
        <w:t xml:space="preserve"> z udz</w:t>
      </w:r>
      <w:r>
        <w:rPr>
          <w:rFonts w:ascii="Verdana" w:hAnsi="Verdana"/>
          <w:sz w:val="16"/>
          <w:szCs w:val="16"/>
        </w:rPr>
        <w:t>iałem środków unijnych pociągną</w:t>
      </w:r>
      <w:r w:rsidRPr="000A6485">
        <w:rPr>
          <w:rFonts w:ascii="Verdana" w:hAnsi="Verdana"/>
          <w:sz w:val="16"/>
          <w:szCs w:val="16"/>
        </w:rPr>
        <w:t xml:space="preserve"> za sobą wydatki w łącznej wysokości </w:t>
      </w:r>
      <w:r>
        <w:rPr>
          <w:rFonts w:ascii="Verdana" w:hAnsi="Verdana"/>
          <w:b/>
          <w:sz w:val="16"/>
          <w:szCs w:val="16"/>
        </w:rPr>
        <w:t>1,556</w:t>
      </w:r>
      <w:r w:rsidRPr="000A6485">
        <w:rPr>
          <w:rFonts w:ascii="Verdana" w:hAnsi="Verdana"/>
          <w:b/>
          <w:sz w:val="16"/>
          <w:szCs w:val="16"/>
        </w:rPr>
        <w:t xml:space="preserve"> mld zł</w:t>
      </w:r>
      <w:r w:rsidRPr="000A6485">
        <w:rPr>
          <w:rFonts w:ascii="Verdana" w:hAnsi="Verdana"/>
          <w:sz w:val="16"/>
          <w:szCs w:val="16"/>
        </w:rPr>
        <w:t>. Prognozuje się, iż dofinansowanie z budżetu Unii Europejskiej do projektów realizowanych przez m.st. Warszawa łącznie w latach 202</w:t>
      </w:r>
      <w:r>
        <w:rPr>
          <w:rFonts w:ascii="Verdana" w:hAnsi="Verdana"/>
          <w:sz w:val="16"/>
          <w:szCs w:val="16"/>
        </w:rPr>
        <w:t>2</w:t>
      </w: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wyniesie </w:t>
      </w:r>
      <w:r>
        <w:rPr>
          <w:rFonts w:ascii="Verdana" w:hAnsi="Verdana"/>
          <w:b/>
          <w:sz w:val="16"/>
          <w:szCs w:val="16"/>
        </w:rPr>
        <w:t>1,556</w:t>
      </w:r>
      <w:r w:rsidRPr="000A6485">
        <w:rPr>
          <w:rFonts w:ascii="Verdana" w:hAnsi="Verdana"/>
          <w:b/>
          <w:sz w:val="16"/>
          <w:szCs w:val="16"/>
        </w:rPr>
        <w:t xml:space="preserve"> mld zł</w:t>
      </w:r>
      <w:r w:rsidRPr="000A6485">
        <w:rPr>
          <w:rFonts w:ascii="Verdana" w:hAnsi="Verdana"/>
          <w:sz w:val="16"/>
          <w:szCs w:val="16"/>
        </w:rPr>
        <w:t xml:space="preserve">, z czego </w:t>
      </w:r>
      <w:r>
        <w:rPr>
          <w:rFonts w:ascii="Verdana" w:hAnsi="Verdana"/>
          <w:b/>
          <w:sz w:val="16"/>
          <w:szCs w:val="16"/>
        </w:rPr>
        <w:t>49,3</w:t>
      </w:r>
      <w:r w:rsidRPr="000A6485">
        <w:rPr>
          <w:rFonts w:ascii="Verdana" w:hAnsi="Verdana"/>
          <w:b/>
          <w:sz w:val="16"/>
          <w:szCs w:val="16"/>
        </w:rPr>
        <w:t xml:space="preserve"> mln zł </w:t>
      </w:r>
      <w:r w:rsidRPr="000A6485">
        <w:rPr>
          <w:rFonts w:ascii="Verdana" w:hAnsi="Verdana"/>
          <w:sz w:val="16"/>
          <w:szCs w:val="16"/>
        </w:rPr>
        <w:t>będzie</w:t>
      </w:r>
      <w:r>
        <w:rPr>
          <w:rFonts w:ascii="Verdana" w:hAnsi="Verdana"/>
          <w:sz w:val="16"/>
          <w:szCs w:val="16"/>
        </w:rPr>
        <w:t xml:space="preserve"> dotyczyło projektów bieżących oraz</w:t>
      </w:r>
      <w:r w:rsidRPr="000A6485">
        <w:rPr>
          <w:rFonts w:ascii="Verdana" w:hAnsi="Verdana"/>
          <w:sz w:val="16"/>
          <w:szCs w:val="16"/>
        </w:rPr>
        <w:t xml:space="preserve"> </w:t>
      </w:r>
      <w:r>
        <w:rPr>
          <w:rFonts w:ascii="Verdana" w:hAnsi="Verdana"/>
          <w:b/>
          <w:sz w:val="16"/>
          <w:szCs w:val="16"/>
        </w:rPr>
        <w:t>1,506</w:t>
      </w:r>
      <w:r w:rsidRPr="000A6485">
        <w:rPr>
          <w:rFonts w:ascii="Verdana" w:hAnsi="Verdana"/>
          <w:b/>
          <w:sz w:val="16"/>
          <w:szCs w:val="16"/>
        </w:rPr>
        <w:t xml:space="preserve"> mld zł</w:t>
      </w:r>
      <w:r w:rsidRPr="000A6485">
        <w:rPr>
          <w:rFonts w:ascii="Verdana" w:hAnsi="Verdana"/>
          <w:sz w:val="16"/>
          <w:szCs w:val="16"/>
        </w:rPr>
        <w:t xml:space="preserve"> projektów inwestycyjnych.</w:t>
      </w:r>
      <w:r>
        <w:rPr>
          <w:rFonts w:ascii="Verdana" w:hAnsi="Verdana"/>
          <w:sz w:val="16"/>
          <w:szCs w:val="16"/>
        </w:rPr>
        <w:br w:type="page"/>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lastRenderedPageBreak/>
        <w:t xml:space="preserve">Wykres </w:t>
      </w:r>
      <w:r>
        <w:rPr>
          <w:rFonts w:ascii="Verdana" w:hAnsi="Verdana"/>
          <w:sz w:val="16"/>
          <w:szCs w:val="16"/>
        </w:rPr>
        <w:t>nr 31</w:t>
      </w:r>
      <w:r w:rsidRPr="000A6485">
        <w:rPr>
          <w:rFonts w:ascii="Verdana" w:hAnsi="Verdana"/>
          <w:sz w:val="16"/>
          <w:szCs w:val="16"/>
        </w:rPr>
        <w:t xml:space="preserve"> prezentuje procentową zmianę rok do roku wysokości wydatków ogółem w poszczególnych latach objętych Prognozą.</w:t>
      </w:r>
    </w:p>
    <w:p w:rsidR="007F07DD" w:rsidRPr="000A6485" w:rsidRDefault="007F07DD" w:rsidP="007F07DD">
      <w:pPr>
        <w:spacing w:before="12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31</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WYDATKÓW OGÓŁEM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spacing w:before="120" w:after="120"/>
        <w:jc w:val="both"/>
        <w:rPr>
          <w:rFonts w:ascii="Verdana" w:hAnsi="Verdana"/>
          <w:sz w:val="18"/>
          <w:szCs w:val="18"/>
        </w:rPr>
      </w:pPr>
      <w:r>
        <w:rPr>
          <w:rFonts w:ascii="Verdana" w:hAnsi="Verdana"/>
          <w:noProof/>
          <w:sz w:val="18"/>
          <w:szCs w:val="18"/>
        </w:rPr>
        <w:pict>
          <v:shape id="_x0000_i1050" type="#_x0000_t75" style="width:450.8pt;height:224.45pt">
            <v:imagedata r:id="rId44" o:title=""/>
          </v:shape>
        </w:pict>
      </w:r>
    </w:p>
    <w:p w:rsidR="007F07DD" w:rsidRPr="000A6485" w:rsidRDefault="007F07DD" w:rsidP="007F07DD">
      <w:pPr>
        <w:spacing w:before="240" w:after="240"/>
        <w:jc w:val="both"/>
        <w:rPr>
          <w:rFonts w:ascii="Verdana" w:hAnsi="Verdana"/>
          <w:b/>
          <w:bCs/>
          <w:sz w:val="18"/>
          <w:szCs w:val="18"/>
        </w:rPr>
      </w:pPr>
      <w:r w:rsidRPr="000A6485">
        <w:rPr>
          <w:rFonts w:ascii="Verdana" w:hAnsi="Verdana"/>
          <w:b/>
          <w:bCs/>
          <w:sz w:val="18"/>
          <w:szCs w:val="18"/>
        </w:rPr>
        <w:t>7.3.2 Wynik zbiorczy prognozy wydatków bieżących</w:t>
      </w:r>
    </w:p>
    <w:p w:rsidR="007F07DD" w:rsidRPr="000A6485" w:rsidRDefault="007F07DD" w:rsidP="007F07DD">
      <w:pPr>
        <w:spacing w:before="60" w:after="60"/>
        <w:ind w:firstLine="567"/>
        <w:jc w:val="both"/>
        <w:rPr>
          <w:rFonts w:ascii="Verdana" w:hAnsi="Verdana"/>
          <w:b/>
          <w:bCs/>
          <w:sz w:val="16"/>
          <w:szCs w:val="16"/>
        </w:rPr>
      </w:pPr>
      <w:r w:rsidRPr="000A6485">
        <w:rPr>
          <w:rFonts w:ascii="Verdana" w:hAnsi="Verdana"/>
          <w:sz w:val="16"/>
          <w:szCs w:val="16"/>
        </w:rPr>
        <w:t xml:space="preserve">Wykres </w:t>
      </w:r>
      <w:r>
        <w:rPr>
          <w:rFonts w:ascii="Verdana" w:hAnsi="Verdana"/>
          <w:sz w:val="16"/>
          <w:szCs w:val="16"/>
        </w:rPr>
        <w:t>nr 32</w:t>
      </w:r>
      <w:r w:rsidRPr="000A6485">
        <w:rPr>
          <w:rFonts w:ascii="Verdana" w:hAnsi="Verdana"/>
          <w:sz w:val="16"/>
          <w:szCs w:val="16"/>
        </w:rPr>
        <w:t xml:space="preserve"> prezentuje prognozowane wydatki bieżące w poszczególnych latach objętych Prognozą.</w:t>
      </w:r>
    </w:p>
    <w:p w:rsidR="007F07DD" w:rsidRPr="000A6485" w:rsidRDefault="007F07DD" w:rsidP="007F07DD">
      <w:pPr>
        <w:tabs>
          <w:tab w:val="left" w:pos="567"/>
        </w:tabs>
        <w:spacing w:before="120" w:after="60"/>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32</w:t>
      </w:r>
      <w:r w:rsidRPr="000A6485">
        <w:rPr>
          <w:rFonts w:ascii="Verdana" w:hAnsi="Verdana" w:cs="Arial"/>
          <w:b/>
          <w:bCs/>
          <w:sz w:val="14"/>
          <w:szCs w:val="14"/>
        </w:rPr>
        <w:fldChar w:fldCharType="end"/>
      </w:r>
      <w:r w:rsidRPr="000A6485">
        <w:rPr>
          <w:rFonts w:ascii="Verdana" w:hAnsi="Verdana" w:cs="Arial"/>
          <w:b/>
          <w:bCs/>
          <w:sz w:val="14"/>
          <w:szCs w:val="14"/>
        </w:rPr>
        <w:t xml:space="preserve">  PROGNOZA WYDATKÓW BIEŻĄCYCH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jc w:val="both"/>
        <w:rPr>
          <w:rFonts w:ascii="Verdana" w:hAnsi="Verdana"/>
          <w:b/>
          <w:bCs/>
          <w:sz w:val="20"/>
          <w:szCs w:val="20"/>
        </w:rPr>
      </w:pPr>
      <w:r>
        <w:rPr>
          <w:rFonts w:ascii="Verdana" w:hAnsi="Verdana"/>
          <w:b/>
          <w:bCs/>
          <w:noProof/>
          <w:sz w:val="20"/>
          <w:szCs w:val="20"/>
        </w:rPr>
        <w:pict>
          <v:shape id="_x0000_i1051" type="#_x0000_t75" style="width:459.25pt;height:223.15pt">
            <v:imagedata r:id="rId45" o:title=""/>
          </v:shape>
        </w:pict>
      </w:r>
    </w:p>
    <w:p w:rsidR="007F07DD" w:rsidRDefault="007F07DD" w:rsidP="007F07DD">
      <w:pPr>
        <w:spacing w:before="60" w:after="60"/>
        <w:ind w:firstLine="539"/>
        <w:jc w:val="both"/>
        <w:rPr>
          <w:rFonts w:ascii="Verdana" w:hAnsi="Verdana"/>
          <w:sz w:val="16"/>
          <w:szCs w:val="16"/>
        </w:rPr>
      </w:pPr>
      <w:r w:rsidRPr="000A6485">
        <w:rPr>
          <w:rFonts w:ascii="Verdana" w:hAnsi="Verdana"/>
          <w:sz w:val="16"/>
          <w:szCs w:val="16"/>
        </w:rPr>
        <w:t>Prognozuje się, że łączne wydatki bieżące Miasta w okresie pierwszych pięciu lat prognozy</w:t>
      </w:r>
      <w:r>
        <w:rPr>
          <w:rFonts w:ascii="Verdana" w:hAnsi="Verdana"/>
          <w:sz w:val="16"/>
          <w:szCs w:val="16"/>
        </w:rPr>
        <w:t xml:space="preserve"> (2022</w:t>
      </w: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wyniosą </w:t>
      </w:r>
      <w:r>
        <w:rPr>
          <w:rFonts w:ascii="Verdana" w:hAnsi="Verdana"/>
          <w:b/>
          <w:sz w:val="16"/>
          <w:szCs w:val="16"/>
        </w:rPr>
        <w:t>89,5</w:t>
      </w:r>
      <w:r w:rsidRPr="000A6485">
        <w:rPr>
          <w:rFonts w:ascii="Verdana" w:hAnsi="Verdana"/>
          <w:b/>
          <w:sz w:val="16"/>
          <w:szCs w:val="16"/>
        </w:rPr>
        <w:t xml:space="preserve"> mld zł</w:t>
      </w:r>
      <w:r w:rsidRPr="000A6485">
        <w:rPr>
          <w:rFonts w:ascii="Verdana" w:hAnsi="Verdana"/>
          <w:sz w:val="16"/>
          <w:szCs w:val="16"/>
        </w:rPr>
        <w:t xml:space="preserve">, co będzie stanowiło </w:t>
      </w:r>
      <w:r w:rsidRPr="000A6485">
        <w:rPr>
          <w:rFonts w:ascii="Verdana" w:hAnsi="Verdana"/>
          <w:b/>
          <w:sz w:val="16"/>
          <w:szCs w:val="16"/>
        </w:rPr>
        <w:t>8</w:t>
      </w:r>
      <w:r>
        <w:rPr>
          <w:rFonts w:ascii="Verdana" w:hAnsi="Verdana"/>
          <w:b/>
          <w:sz w:val="16"/>
          <w:szCs w:val="16"/>
        </w:rPr>
        <w:t>7,6</w:t>
      </w:r>
      <w:r w:rsidRPr="000A6485">
        <w:rPr>
          <w:rFonts w:ascii="Verdana" w:hAnsi="Verdana"/>
          <w:b/>
          <w:sz w:val="16"/>
          <w:szCs w:val="16"/>
        </w:rPr>
        <w:t>%</w:t>
      </w:r>
      <w:r w:rsidRPr="000A6485">
        <w:rPr>
          <w:rFonts w:ascii="Verdana" w:hAnsi="Verdana"/>
          <w:sz w:val="16"/>
          <w:szCs w:val="16"/>
        </w:rPr>
        <w:t xml:space="preserve"> prognozowanych na ten okres wydatków ogółem.</w:t>
      </w:r>
      <w:r>
        <w:rPr>
          <w:rFonts w:ascii="Verdana" w:hAnsi="Verdana"/>
          <w:sz w:val="16"/>
          <w:szCs w:val="16"/>
        </w:rPr>
        <w:br w:type="page"/>
      </w:r>
    </w:p>
    <w:p w:rsidR="007F07DD" w:rsidRPr="000A6485" w:rsidRDefault="007F07DD" w:rsidP="007F07DD">
      <w:pPr>
        <w:spacing w:before="60" w:after="60"/>
        <w:ind w:firstLine="539"/>
        <w:jc w:val="both"/>
        <w:rPr>
          <w:rFonts w:ascii="Verdana" w:hAnsi="Verdana"/>
          <w:sz w:val="16"/>
          <w:szCs w:val="16"/>
        </w:rPr>
      </w:pPr>
      <w:r w:rsidRPr="000A6485">
        <w:rPr>
          <w:rFonts w:ascii="Verdana" w:hAnsi="Verdana"/>
          <w:sz w:val="16"/>
          <w:szCs w:val="16"/>
        </w:rPr>
        <w:lastRenderedPageBreak/>
        <w:t xml:space="preserve">Wykres </w:t>
      </w:r>
      <w:r>
        <w:rPr>
          <w:rFonts w:ascii="Verdana" w:hAnsi="Verdana"/>
          <w:sz w:val="16"/>
          <w:szCs w:val="16"/>
        </w:rPr>
        <w:t>nr 33</w:t>
      </w:r>
      <w:r w:rsidRPr="000A6485">
        <w:rPr>
          <w:rFonts w:ascii="Verdana" w:hAnsi="Verdana"/>
          <w:sz w:val="16"/>
          <w:szCs w:val="16"/>
        </w:rPr>
        <w:t xml:space="preserve"> prezentuje procentową zmianę rok do roku wysokości wydatków bieżących w poszczególnych latach objętych Prognozą.</w:t>
      </w:r>
    </w:p>
    <w:p w:rsidR="007F07DD" w:rsidRPr="000A6485" w:rsidRDefault="007F07DD" w:rsidP="007F07DD">
      <w:pPr>
        <w:spacing w:before="120" w:after="120" w:line="240" w:lineRule="auto"/>
        <w:rPr>
          <w:rFonts w:ascii="Verdana" w:hAnsi="Verdana"/>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33</w:t>
      </w:r>
      <w:r w:rsidRPr="000A6485">
        <w:rPr>
          <w:rFonts w:ascii="Verdana" w:hAnsi="Verdana" w:cs="Arial"/>
          <w:b/>
          <w:bCs/>
          <w:sz w:val="14"/>
          <w:szCs w:val="14"/>
        </w:rPr>
        <w:fldChar w:fldCharType="end"/>
      </w:r>
      <w:r w:rsidRPr="000A6485">
        <w:rPr>
          <w:rFonts w:ascii="Verdana" w:hAnsi="Verdana" w:cs="Arial"/>
          <w:b/>
          <w:bCs/>
          <w:sz w:val="14"/>
          <w:szCs w:val="14"/>
        </w:rPr>
        <w:t xml:space="preserve">  PROGNOZOWANA ZMIANA PROCENTOWA ROK DO ROKU WYDATKÓW BIEŻĄCYCH M.ST. WARSZAWY </w:t>
      </w:r>
      <w:r w:rsidRPr="000A6485">
        <w:rPr>
          <w:rFonts w:ascii="Verdana" w:hAnsi="Verdana" w:cs="Arial"/>
          <w:b/>
          <w:bCs/>
          <w:sz w:val="14"/>
          <w:szCs w:val="14"/>
        </w:rPr>
        <w:br/>
        <w:t xml:space="preserve">                </w:t>
      </w:r>
      <w:r>
        <w:rPr>
          <w:rFonts w:ascii="Verdana" w:hAnsi="Verdana" w:cs="Arial"/>
          <w:b/>
          <w:bCs/>
          <w:sz w:val="14"/>
          <w:szCs w:val="14"/>
        </w:rPr>
        <w:t xml:space="preserve">NA LATA </w:t>
      </w:r>
      <w:r w:rsidRPr="0090283F">
        <w:rPr>
          <w:rFonts w:ascii="Verdana" w:hAnsi="Verdana" w:cs="Arial"/>
          <w:b/>
          <w:bCs/>
          <w:sz w:val="14"/>
          <w:szCs w:val="14"/>
        </w:rPr>
        <w:t>2022</w:t>
      </w:r>
      <w:r w:rsidRPr="000A6485">
        <w:rPr>
          <w:rFonts w:ascii="Verdana" w:hAnsi="Verdana" w:cs="Arial"/>
          <w:b/>
          <w:bCs/>
          <w:sz w:val="14"/>
          <w:szCs w:val="14"/>
        </w:rPr>
        <w:t xml:space="preserve">-2050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autoSpaceDE w:val="0"/>
        <w:autoSpaceDN w:val="0"/>
        <w:adjustRightInd w:val="0"/>
        <w:spacing w:before="120" w:after="120"/>
        <w:jc w:val="both"/>
        <w:rPr>
          <w:rFonts w:ascii="Verdana" w:hAnsi="Verdana" w:cs="Verdana"/>
          <w:sz w:val="18"/>
          <w:szCs w:val="18"/>
          <w:lang w:eastAsia="ko-KR"/>
        </w:rPr>
      </w:pPr>
      <w:r>
        <w:rPr>
          <w:rFonts w:ascii="Verdana" w:hAnsi="Verdana" w:cs="Verdana"/>
          <w:noProof/>
          <w:sz w:val="18"/>
          <w:szCs w:val="18"/>
        </w:rPr>
        <w:pict>
          <v:shape id="_x0000_i1052" type="#_x0000_t75" style="width:454.05pt;height:217.95pt">
            <v:imagedata r:id="rId46" o:title=""/>
          </v:shape>
        </w:pict>
      </w:r>
    </w:p>
    <w:p w:rsidR="007F07DD" w:rsidRDefault="007F07DD" w:rsidP="007F07DD">
      <w:pPr>
        <w:tabs>
          <w:tab w:val="left" w:pos="360"/>
        </w:tabs>
        <w:spacing w:before="60" w:after="60"/>
        <w:ind w:firstLine="567"/>
        <w:jc w:val="both"/>
        <w:rPr>
          <w:rFonts w:ascii="Verdana" w:hAnsi="Verdana"/>
          <w:bCs/>
          <w:sz w:val="16"/>
          <w:szCs w:val="16"/>
        </w:rPr>
      </w:pPr>
      <w:r>
        <w:rPr>
          <w:rFonts w:ascii="Verdana" w:hAnsi="Verdana"/>
          <w:bCs/>
          <w:sz w:val="16"/>
          <w:szCs w:val="16"/>
        </w:rPr>
        <w:t xml:space="preserve">Zobrazowany na powyższym wykresie spadek wydatków bieżących r/r w latach 2022-2023 związany jest z efektem „wygaszania” wydatków związanych z realizacją Programu „Rodzina 500 Plus”. Zgodnie z </w:t>
      </w:r>
      <w:r>
        <w:rPr>
          <w:rFonts w:ascii="Verdana" w:hAnsi="Verdana" w:cs="Arial"/>
          <w:sz w:val="16"/>
          <w:szCs w:val="16"/>
        </w:rPr>
        <w:t>ustawą</w:t>
      </w:r>
      <w:r w:rsidRPr="00321E2E">
        <w:rPr>
          <w:rFonts w:ascii="Verdana" w:hAnsi="Verdana" w:cs="Arial"/>
          <w:sz w:val="16"/>
          <w:szCs w:val="16"/>
        </w:rPr>
        <w:t xml:space="preserve"> </w:t>
      </w:r>
      <w:r>
        <w:rPr>
          <w:rFonts w:ascii="Verdana" w:hAnsi="Verdana" w:cs="Arial"/>
          <w:sz w:val="16"/>
          <w:szCs w:val="16"/>
        </w:rPr>
        <w:br/>
      </w:r>
      <w:r w:rsidRPr="00321E2E">
        <w:rPr>
          <w:rFonts w:ascii="Verdana" w:hAnsi="Verdana" w:cs="Arial"/>
          <w:sz w:val="16"/>
          <w:szCs w:val="16"/>
        </w:rPr>
        <w:t xml:space="preserve">z 17 września 2021 r. </w:t>
      </w:r>
      <w:r w:rsidRPr="00321E2E">
        <w:rPr>
          <w:rFonts w:ascii="Verdana" w:hAnsi="Verdana" w:cs="Arial"/>
          <w:i/>
          <w:sz w:val="16"/>
          <w:szCs w:val="16"/>
        </w:rPr>
        <w:t>o zmianie ustawy o pomocy państwa w wychowaniu dzieci oraz niektórych innych ustaw</w:t>
      </w:r>
      <w:r>
        <w:rPr>
          <w:rFonts w:ascii="Verdana" w:hAnsi="Verdana" w:cs="Arial"/>
          <w:sz w:val="16"/>
          <w:szCs w:val="16"/>
        </w:rPr>
        <w:t xml:space="preserve"> (Dz.U. poz. 1981)</w:t>
      </w:r>
      <w:r w:rsidRPr="00321E2E">
        <w:rPr>
          <w:rFonts w:ascii="Verdana" w:hAnsi="Verdana" w:cs="Arial"/>
          <w:sz w:val="16"/>
          <w:szCs w:val="16"/>
        </w:rPr>
        <w:t xml:space="preserve"> </w:t>
      </w:r>
      <w:r>
        <w:rPr>
          <w:rFonts w:ascii="Verdana" w:hAnsi="Verdana" w:cs="Arial"/>
          <w:sz w:val="16"/>
          <w:szCs w:val="16"/>
        </w:rPr>
        <w:t xml:space="preserve">obsługę Programu od czerwca 2022 r. ma przejąć Zakład Ubezpieczeń Społecznych, w związku z czym zaplanowany poziom wydatków na realizację Programu ulega obniżeniu z poziomu </w:t>
      </w:r>
      <w:r>
        <w:rPr>
          <w:rFonts w:ascii="Verdana" w:hAnsi="Verdana" w:cs="Arial"/>
          <w:b/>
          <w:sz w:val="16"/>
          <w:szCs w:val="16"/>
        </w:rPr>
        <w:t>2,022</w:t>
      </w:r>
      <w:r w:rsidRPr="0075247C">
        <w:rPr>
          <w:rFonts w:ascii="Verdana" w:hAnsi="Verdana" w:cs="Arial"/>
          <w:b/>
          <w:sz w:val="16"/>
          <w:szCs w:val="16"/>
        </w:rPr>
        <w:t xml:space="preserve"> mld zł</w:t>
      </w:r>
      <w:r>
        <w:rPr>
          <w:rFonts w:ascii="Verdana" w:hAnsi="Verdana" w:cs="Arial"/>
          <w:sz w:val="16"/>
          <w:szCs w:val="16"/>
        </w:rPr>
        <w:t xml:space="preserve"> </w:t>
      </w:r>
      <w:r>
        <w:rPr>
          <w:rFonts w:ascii="Verdana" w:hAnsi="Verdana" w:cs="Arial"/>
          <w:sz w:val="16"/>
          <w:szCs w:val="16"/>
        </w:rPr>
        <w:br/>
        <w:t xml:space="preserve">w 2021 r. do </w:t>
      </w:r>
      <w:r>
        <w:rPr>
          <w:rFonts w:ascii="Verdana" w:hAnsi="Verdana" w:cs="Arial"/>
          <w:b/>
          <w:sz w:val="16"/>
          <w:szCs w:val="16"/>
        </w:rPr>
        <w:t>835</w:t>
      </w:r>
      <w:r w:rsidRPr="0075247C">
        <w:rPr>
          <w:rFonts w:ascii="Verdana" w:hAnsi="Verdana" w:cs="Arial"/>
          <w:b/>
          <w:sz w:val="16"/>
          <w:szCs w:val="16"/>
        </w:rPr>
        <w:t xml:space="preserve"> mln zł</w:t>
      </w:r>
      <w:r>
        <w:rPr>
          <w:rFonts w:ascii="Verdana" w:hAnsi="Verdana" w:cs="Arial"/>
          <w:sz w:val="16"/>
          <w:szCs w:val="16"/>
        </w:rPr>
        <w:t xml:space="preserve"> w 2022 r., a od 2023 r. założone limity wydatków bieżących nie obejmują realizacji Programu.</w:t>
      </w:r>
    </w:p>
    <w:p w:rsidR="007F07DD" w:rsidRDefault="007F07DD" w:rsidP="007F07DD">
      <w:pPr>
        <w:tabs>
          <w:tab w:val="left" w:pos="360"/>
        </w:tabs>
        <w:spacing w:before="60" w:after="60"/>
        <w:ind w:firstLine="567"/>
        <w:jc w:val="both"/>
        <w:rPr>
          <w:rFonts w:ascii="Verdana" w:hAnsi="Verdana"/>
          <w:bCs/>
          <w:sz w:val="16"/>
          <w:szCs w:val="16"/>
        </w:rPr>
      </w:pPr>
      <w:r>
        <w:rPr>
          <w:rFonts w:ascii="Verdana" w:hAnsi="Verdana"/>
          <w:bCs/>
          <w:sz w:val="16"/>
          <w:szCs w:val="16"/>
        </w:rPr>
        <w:t xml:space="preserve">Z uwagi na trwały ubytek dochodów w wyniku zmian legislacyjnych </w:t>
      </w:r>
      <w:r w:rsidRPr="000A6485">
        <w:rPr>
          <w:rFonts w:ascii="Verdana" w:hAnsi="Verdana"/>
          <w:bCs/>
          <w:sz w:val="16"/>
          <w:szCs w:val="16"/>
        </w:rPr>
        <w:t>(</w:t>
      </w:r>
      <w:r>
        <w:rPr>
          <w:rFonts w:ascii="Verdana" w:hAnsi="Verdana"/>
          <w:bCs/>
          <w:sz w:val="16"/>
          <w:szCs w:val="16"/>
        </w:rPr>
        <w:t xml:space="preserve">poruszane kwestie dochodów z opłat za użytkowanie wieczyste nieruchomości w pkt 5.1.1 oraz z udziału w PIT w pkt 5.1.2 i 5.1.3), a także w związku z koniecznością respektowania ustawowych reguł </w:t>
      </w:r>
      <w:r w:rsidRPr="000A6485">
        <w:rPr>
          <w:rFonts w:ascii="Verdana" w:hAnsi="Verdana"/>
          <w:bCs/>
          <w:sz w:val="16"/>
          <w:szCs w:val="16"/>
        </w:rPr>
        <w:t>s</w:t>
      </w:r>
      <w:r>
        <w:rPr>
          <w:rFonts w:ascii="Verdana" w:hAnsi="Verdana"/>
          <w:bCs/>
          <w:sz w:val="16"/>
          <w:szCs w:val="16"/>
        </w:rPr>
        <w:t>ystemowych limitujących</w:t>
      </w:r>
      <w:r w:rsidRPr="000A6485">
        <w:rPr>
          <w:rFonts w:ascii="Verdana" w:hAnsi="Verdana"/>
          <w:bCs/>
          <w:sz w:val="16"/>
          <w:szCs w:val="16"/>
        </w:rPr>
        <w:t xml:space="preserve"> bezpośrednio (art. 242</w:t>
      </w:r>
      <w:r>
        <w:rPr>
          <w:rFonts w:ascii="Verdana" w:hAnsi="Verdana"/>
          <w:bCs/>
          <w:sz w:val="16"/>
          <w:szCs w:val="16"/>
        </w:rPr>
        <w:t xml:space="preserve"> ustawy </w:t>
      </w:r>
      <w:r>
        <w:rPr>
          <w:rFonts w:ascii="Verdana" w:hAnsi="Verdana"/>
          <w:bCs/>
          <w:sz w:val="16"/>
          <w:szCs w:val="16"/>
        </w:rPr>
        <w:br/>
        <w:t>o finansach publicznych</w:t>
      </w:r>
      <w:r w:rsidRPr="000A6485">
        <w:rPr>
          <w:rFonts w:ascii="Verdana" w:hAnsi="Verdana"/>
          <w:bCs/>
          <w:sz w:val="16"/>
          <w:szCs w:val="16"/>
        </w:rPr>
        <w:t>) lub pośrednio (art. 243</w:t>
      </w:r>
      <w:r>
        <w:rPr>
          <w:rFonts w:ascii="Verdana" w:hAnsi="Verdana"/>
          <w:bCs/>
          <w:sz w:val="16"/>
          <w:szCs w:val="16"/>
        </w:rPr>
        <w:t xml:space="preserve"> ustawy o finansach publicznych</w:t>
      </w:r>
      <w:r w:rsidRPr="000A6485">
        <w:rPr>
          <w:rFonts w:ascii="Verdana" w:hAnsi="Verdana"/>
          <w:bCs/>
          <w:sz w:val="16"/>
          <w:szCs w:val="16"/>
        </w:rPr>
        <w:t>) dopuszczalny poziom wydatków bieżących w jednostkach sektora samorządowego (pkt 4.1 niniejszego opracowania), planowany poziom wydatków bieżących w najbliższej perspektywie finansowe</w:t>
      </w:r>
      <w:r>
        <w:rPr>
          <w:rFonts w:ascii="Verdana" w:hAnsi="Verdana"/>
          <w:bCs/>
          <w:sz w:val="16"/>
          <w:szCs w:val="16"/>
        </w:rPr>
        <w:t>j</w:t>
      </w:r>
      <w:r w:rsidRPr="000A6485">
        <w:rPr>
          <w:rFonts w:ascii="Verdana" w:hAnsi="Verdana"/>
          <w:bCs/>
          <w:sz w:val="16"/>
          <w:szCs w:val="16"/>
        </w:rPr>
        <w:t xml:space="preserve"> dostosowany został do poziomu </w:t>
      </w:r>
      <w:r>
        <w:rPr>
          <w:rFonts w:ascii="Verdana" w:hAnsi="Verdana"/>
          <w:bCs/>
          <w:sz w:val="16"/>
          <w:szCs w:val="16"/>
        </w:rPr>
        <w:t>prognozowanych</w:t>
      </w:r>
      <w:r w:rsidRPr="000A6485">
        <w:rPr>
          <w:rFonts w:ascii="Verdana" w:hAnsi="Verdana"/>
          <w:bCs/>
          <w:sz w:val="16"/>
          <w:szCs w:val="16"/>
        </w:rPr>
        <w:t xml:space="preserve"> do osiągnięcia dochodów bieżących z uwzględnieniem adekwatnej do obsługi zadłużenia wysokości nadwyżki operacyjnej (nadwyżka dochodów bie</w:t>
      </w:r>
      <w:r>
        <w:rPr>
          <w:rFonts w:ascii="Verdana" w:hAnsi="Verdana"/>
          <w:bCs/>
          <w:sz w:val="16"/>
          <w:szCs w:val="16"/>
        </w:rPr>
        <w:t xml:space="preserve">żących nad wydatkami bieżącymi), przy wsparciu potencjału wydatkowego Miasta poprzez maksymalne podwyższenie programu kredytowego limitowanego wewnętrzną regułą ostrożnościową zakładającą nieprzekraczanie przez dług poziomu 55% dochodów ogółem. </w:t>
      </w:r>
      <w:r w:rsidRPr="00474DCE">
        <w:rPr>
          <w:rFonts w:ascii="Verdana" w:hAnsi="Verdana" w:cs="Verdana"/>
          <w:b/>
          <w:sz w:val="16"/>
          <w:szCs w:val="16"/>
        </w:rPr>
        <w:t>W celu minimalizacji negatywnych następstw</w:t>
      </w:r>
      <w:r>
        <w:rPr>
          <w:rFonts w:ascii="Verdana" w:hAnsi="Verdana" w:cs="Verdana"/>
          <w:b/>
          <w:sz w:val="16"/>
          <w:szCs w:val="16"/>
        </w:rPr>
        <w:t xml:space="preserve"> rządowego Programu Polski Ład, polegających na</w:t>
      </w:r>
      <w:r w:rsidRPr="00474DCE">
        <w:rPr>
          <w:rFonts w:ascii="Verdana" w:hAnsi="Verdana" w:cs="Verdana"/>
          <w:b/>
          <w:sz w:val="16"/>
          <w:szCs w:val="16"/>
        </w:rPr>
        <w:t xml:space="preserve"> </w:t>
      </w:r>
      <w:r>
        <w:rPr>
          <w:rFonts w:ascii="Verdana" w:hAnsi="Verdana" w:cs="Verdana"/>
          <w:b/>
          <w:sz w:val="16"/>
          <w:szCs w:val="16"/>
        </w:rPr>
        <w:t xml:space="preserve">znaczącej skali trwałego obniżenia od 2022 r. dochodów </w:t>
      </w:r>
      <w:r w:rsidRPr="00474DCE">
        <w:rPr>
          <w:rFonts w:ascii="Verdana" w:hAnsi="Verdana" w:cs="Verdana"/>
          <w:b/>
          <w:sz w:val="16"/>
          <w:szCs w:val="16"/>
        </w:rPr>
        <w:t>m.st. Warszawy</w:t>
      </w:r>
      <w:r>
        <w:rPr>
          <w:rFonts w:ascii="Verdana" w:hAnsi="Verdana" w:cs="Verdana"/>
          <w:b/>
          <w:sz w:val="16"/>
          <w:szCs w:val="16"/>
        </w:rPr>
        <w:t xml:space="preserve"> z udziału w PIT</w:t>
      </w:r>
      <w:r w:rsidRPr="00474DCE">
        <w:rPr>
          <w:rFonts w:ascii="Verdana" w:hAnsi="Verdana" w:cs="Verdana"/>
          <w:b/>
          <w:sz w:val="16"/>
          <w:szCs w:val="16"/>
        </w:rPr>
        <w:t xml:space="preserve">, założono iż dostosowania </w:t>
      </w:r>
      <w:r>
        <w:rPr>
          <w:rFonts w:ascii="Verdana" w:hAnsi="Verdana" w:cs="Verdana"/>
          <w:b/>
          <w:sz w:val="16"/>
          <w:szCs w:val="16"/>
        </w:rPr>
        <w:t>wydatków bieżących</w:t>
      </w:r>
      <w:r w:rsidRPr="00474DCE">
        <w:rPr>
          <w:rFonts w:ascii="Verdana" w:hAnsi="Verdana" w:cs="Verdana"/>
          <w:b/>
          <w:sz w:val="16"/>
          <w:szCs w:val="16"/>
        </w:rPr>
        <w:t xml:space="preserve"> do trwale ograniczonych dochodów b</w:t>
      </w:r>
      <w:r>
        <w:rPr>
          <w:rFonts w:ascii="Verdana" w:hAnsi="Verdana" w:cs="Verdana"/>
          <w:b/>
          <w:sz w:val="16"/>
          <w:szCs w:val="16"/>
        </w:rPr>
        <w:t>ędą miały charakter ewolucyjny, tzn.</w:t>
      </w:r>
      <w:r w:rsidRPr="00474DCE">
        <w:rPr>
          <w:rFonts w:ascii="Verdana" w:hAnsi="Verdana" w:cs="Verdana"/>
          <w:b/>
          <w:sz w:val="16"/>
          <w:szCs w:val="16"/>
        </w:rPr>
        <w:t xml:space="preserve"> zostaną rozłożone w czasie.</w:t>
      </w:r>
      <w:r w:rsidRPr="003E130B">
        <w:rPr>
          <w:rFonts w:ascii="Verdana" w:hAnsi="Verdana" w:cs="Verdana"/>
          <w:sz w:val="16"/>
          <w:szCs w:val="16"/>
        </w:rPr>
        <w:t xml:space="preserve"> </w:t>
      </w:r>
      <w:r w:rsidRPr="003E130B">
        <w:rPr>
          <w:rFonts w:ascii="Verdana" w:hAnsi="Verdana" w:cs="Verdana"/>
          <w:b/>
          <w:sz w:val="16"/>
          <w:szCs w:val="16"/>
        </w:rPr>
        <w:t>Z uwagi na założone stopniowe dostosowania budżetowe do ograniczonych dochodów, w 2022 r. zaplanowano wystąpienie</w:t>
      </w:r>
      <w:r>
        <w:rPr>
          <w:rFonts w:ascii="Verdana" w:hAnsi="Verdana" w:cs="Verdana"/>
          <w:sz w:val="16"/>
          <w:szCs w:val="16"/>
        </w:rPr>
        <w:t xml:space="preserve"> </w:t>
      </w:r>
      <w:r w:rsidRPr="00474DCE">
        <w:rPr>
          <w:rFonts w:ascii="Verdana" w:hAnsi="Verdana" w:cs="Verdana"/>
          <w:b/>
          <w:sz w:val="16"/>
          <w:szCs w:val="16"/>
        </w:rPr>
        <w:t>deficytu operacyjnego</w:t>
      </w:r>
      <w:r>
        <w:rPr>
          <w:rFonts w:ascii="Verdana" w:hAnsi="Verdana" w:cs="Verdana"/>
          <w:sz w:val="16"/>
          <w:szCs w:val="16"/>
        </w:rPr>
        <w:t xml:space="preserve">, </w:t>
      </w:r>
      <w:r w:rsidRPr="003E130B">
        <w:rPr>
          <w:rFonts w:ascii="Verdana" w:hAnsi="Verdana" w:cs="Verdana"/>
          <w:b/>
          <w:sz w:val="16"/>
          <w:szCs w:val="16"/>
        </w:rPr>
        <w:t>oznaczającego nierównowagę dochodów bieżących i wydatków bieżących</w:t>
      </w:r>
      <w:r>
        <w:rPr>
          <w:rFonts w:ascii="Verdana" w:hAnsi="Verdana" w:cs="Verdana"/>
          <w:b/>
          <w:sz w:val="16"/>
          <w:szCs w:val="16"/>
        </w:rPr>
        <w:t xml:space="preserve">. </w:t>
      </w:r>
      <w:r w:rsidRPr="003E130B">
        <w:rPr>
          <w:rFonts w:ascii="Verdana" w:hAnsi="Verdana" w:cs="Verdana"/>
          <w:b/>
          <w:sz w:val="16"/>
          <w:szCs w:val="16"/>
        </w:rPr>
        <w:t>Założona ścieżka adaptacji parametrów budżetowych do trwale obniżonych dochodów z udziału w PIT zachowuje</w:t>
      </w:r>
      <w:r>
        <w:rPr>
          <w:rFonts w:ascii="Verdana" w:hAnsi="Verdana" w:cs="Verdana"/>
          <w:sz w:val="16"/>
          <w:szCs w:val="16"/>
        </w:rPr>
        <w:t xml:space="preserve"> </w:t>
      </w:r>
      <w:r w:rsidRPr="005A3BE4">
        <w:rPr>
          <w:rFonts w:ascii="Verdana" w:hAnsi="Verdana" w:cs="Verdana"/>
          <w:b/>
          <w:sz w:val="16"/>
          <w:szCs w:val="16"/>
        </w:rPr>
        <w:t>minimalną przestrzeń między ustawowym limitem a wskaźnikiem obsługi długu na poziomie 0,</w:t>
      </w:r>
      <w:r>
        <w:rPr>
          <w:rFonts w:ascii="Verdana" w:hAnsi="Verdana" w:cs="Verdana"/>
          <w:b/>
          <w:sz w:val="16"/>
          <w:szCs w:val="16"/>
        </w:rPr>
        <w:t>25</w:t>
      </w:r>
      <w:r w:rsidRPr="005A3BE4">
        <w:rPr>
          <w:rFonts w:ascii="Verdana" w:hAnsi="Verdana" w:cs="Verdana"/>
          <w:b/>
          <w:sz w:val="16"/>
          <w:szCs w:val="16"/>
        </w:rPr>
        <w:t xml:space="preserve"> pkt proc. wyst</w:t>
      </w:r>
      <w:r>
        <w:rPr>
          <w:rFonts w:ascii="Verdana" w:hAnsi="Verdana" w:cs="Verdana"/>
          <w:b/>
          <w:sz w:val="16"/>
          <w:szCs w:val="16"/>
        </w:rPr>
        <w:t>ępującą w 2027 r. (wskaźnik 3,48</w:t>
      </w:r>
      <w:r w:rsidRPr="005A3BE4">
        <w:rPr>
          <w:rFonts w:ascii="Verdana" w:hAnsi="Verdana" w:cs="Verdana"/>
          <w:b/>
          <w:sz w:val="16"/>
          <w:szCs w:val="16"/>
        </w:rPr>
        <w:t xml:space="preserve">% wobec limitu </w:t>
      </w:r>
      <w:r>
        <w:rPr>
          <w:rFonts w:ascii="Verdana" w:hAnsi="Verdana" w:cs="Verdana"/>
          <w:b/>
          <w:sz w:val="16"/>
          <w:szCs w:val="16"/>
        </w:rPr>
        <w:t>3,73</w:t>
      </w:r>
      <w:r w:rsidRPr="005A3BE4">
        <w:rPr>
          <w:rFonts w:ascii="Verdana" w:hAnsi="Verdana" w:cs="Verdana"/>
          <w:b/>
          <w:sz w:val="16"/>
          <w:szCs w:val="16"/>
        </w:rPr>
        <w:t>%)</w:t>
      </w:r>
      <w:r>
        <w:rPr>
          <w:rFonts w:ascii="Verdana" w:hAnsi="Verdana" w:cs="Verdana"/>
          <w:b/>
          <w:sz w:val="16"/>
          <w:szCs w:val="16"/>
        </w:rPr>
        <w:t>.</w:t>
      </w:r>
    </w:p>
    <w:p w:rsidR="007F07DD" w:rsidRPr="00196BBA" w:rsidRDefault="007F07DD" w:rsidP="007F07DD">
      <w:pPr>
        <w:tabs>
          <w:tab w:val="left" w:pos="360"/>
        </w:tabs>
        <w:spacing w:before="60" w:after="60"/>
        <w:ind w:firstLine="567"/>
        <w:jc w:val="both"/>
        <w:rPr>
          <w:rFonts w:ascii="Verdana" w:hAnsi="Verdana"/>
          <w:bCs/>
          <w:sz w:val="16"/>
          <w:szCs w:val="16"/>
        </w:rPr>
      </w:pPr>
      <w:r>
        <w:rPr>
          <w:rFonts w:ascii="Verdana" w:hAnsi="Verdana" w:cs="Verdana"/>
          <w:sz w:val="16"/>
          <w:szCs w:val="16"/>
        </w:rPr>
        <w:t xml:space="preserve">Ze względu na skalę ubytku dochodów z udziału w PIT, pomimo założonej w Wieloletniej Prognozie Finansowej na lata 2022-2050 minimalnej przestrzeni między ustawowymi limitem a wskaźnikiem obsługi długu, </w:t>
      </w:r>
      <w:r>
        <w:rPr>
          <w:rFonts w:ascii="Verdana" w:hAnsi="Verdana" w:cs="Verdana"/>
          <w:sz w:val="16"/>
          <w:szCs w:val="16"/>
        </w:rPr>
        <w:lastRenderedPageBreak/>
        <w:t>możliwy poziom wydatków bieżących jest ograniczony, w szczególności w kontekście zachodzących tendencji inflacyjnych</w:t>
      </w:r>
      <w:r w:rsidRPr="001266D0">
        <w:rPr>
          <w:rFonts w:ascii="Verdana" w:hAnsi="Verdana" w:cs="Verdana"/>
          <w:sz w:val="16"/>
          <w:szCs w:val="16"/>
        </w:rPr>
        <w:t xml:space="preserve">. </w:t>
      </w:r>
      <w:r w:rsidRPr="000A6485">
        <w:rPr>
          <w:rFonts w:ascii="Verdana" w:hAnsi="Verdana" w:cs="Arial"/>
          <w:iCs/>
          <w:sz w:val="16"/>
          <w:szCs w:val="16"/>
        </w:rPr>
        <w:t xml:space="preserve">Z uwagi na </w:t>
      </w:r>
      <w:r>
        <w:rPr>
          <w:rFonts w:ascii="Verdana" w:hAnsi="Verdana" w:cs="Arial"/>
          <w:iCs/>
          <w:sz w:val="16"/>
          <w:szCs w:val="16"/>
        </w:rPr>
        <w:t>dynamicznie zmieniającą się sytuację pandemiczną obarczającą dużym ryzykiem formułowanie prognoz gospodarczych szczególnie w dłuższym okresie oraz ze względu na niepewność oszacowań skutków Programu Polski Ład</w:t>
      </w:r>
      <w:r w:rsidRPr="000A6485">
        <w:rPr>
          <w:rFonts w:ascii="Verdana" w:hAnsi="Verdana" w:cs="Arial"/>
          <w:iCs/>
          <w:sz w:val="16"/>
          <w:szCs w:val="16"/>
        </w:rPr>
        <w:t xml:space="preserve">, dla zachowania bezpieczeństwa finansowego m.st. Warszawy, </w:t>
      </w:r>
      <w:r>
        <w:rPr>
          <w:rFonts w:ascii="Verdana" w:hAnsi="Verdana" w:cs="Arial"/>
          <w:iCs/>
          <w:sz w:val="16"/>
          <w:szCs w:val="16"/>
        </w:rPr>
        <w:t>zakłada się utrzymanie wydatków bieżących w perspektywie 2027 r. na poziomie zbliżonym do 2022 r. (po wyłączeniu Programu Rodzina 500 Plus”).</w:t>
      </w:r>
      <w:r w:rsidRPr="00135D48">
        <w:rPr>
          <w:rFonts w:ascii="Verdana" w:hAnsi="Verdana" w:cs="Verdana"/>
          <w:color w:val="FF0000"/>
          <w:sz w:val="16"/>
          <w:szCs w:val="16"/>
        </w:rPr>
        <w:t xml:space="preserve"> </w:t>
      </w:r>
      <w:r>
        <w:rPr>
          <w:rFonts w:ascii="Verdana" w:hAnsi="Verdana" w:cs="Verdana"/>
          <w:sz w:val="16"/>
          <w:szCs w:val="16"/>
        </w:rPr>
        <w:t xml:space="preserve">Dla kolejnych lat WPF </w:t>
      </w:r>
      <w:r w:rsidRPr="0090283F">
        <w:rPr>
          <w:rFonts w:ascii="Verdana" w:eastAsiaTheme="minorEastAsia" w:hAnsi="Verdana" w:cs="Verdana"/>
          <w:color w:val="000000"/>
          <w:sz w:val="16"/>
          <w:szCs w:val="16"/>
        </w:rPr>
        <w:t>2022</w:t>
      </w:r>
      <w:r>
        <w:rPr>
          <w:rFonts w:ascii="Verdana" w:hAnsi="Verdana" w:cs="Verdana"/>
          <w:sz w:val="16"/>
          <w:szCs w:val="16"/>
        </w:rPr>
        <w:t xml:space="preserve">-2050 przewiduje rokroczny wzrost wydatków bieżących uzależniony od prognozowanego potencjału wzrostu dochodów i zakładanego rozkładu spłaty już zaciągniętych </w:t>
      </w:r>
      <w:r>
        <w:rPr>
          <w:rFonts w:ascii="Verdana" w:hAnsi="Verdana" w:cs="Verdana"/>
          <w:sz w:val="16"/>
          <w:szCs w:val="16"/>
        </w:rPr>
        <w:br/>
        <w:t>i planowanych do pozyskania zwrotnych środków dłużnych.</w:t>
      </w:r>
    </w:p>
    <w:p w:rsidR="007F07DD" w:rsidRPr="000A6485" w:rsidRDefault="007F07DD" w:rsidP="007F07DD">
      <w:pPr>
        <w:autoSpaceDE w:val="0"/>
        <w:autoSpaceDN w:val="0"/>
        <w:adjustRightInd w:val="0"/>
        <w:spacing w:before="60" w:after="60"/>
        <w:ind w:firstLine="600"/>
        <w:jc w:val="both"/>
        <w:rPr>
          <w:rFonts w:ascii="Verdana" w:hAnsi="Verdana" w:cs="Verdana"/>
          <w:sz w:val="16"/>
          <w:szCs w:val="16"/>
          <w:lang w:eastAsia="ko-KR"/>
        </w:rPr>
      </w:pPr>
      <w:r w:rsidRPr="000A6485">
        <w:rPr>
          <w:rFonts w:ascii="Verdana" w:hAnsi="Verdana" w:cs="Verdana"/>
          <w:sz w:val="16"/>
          <w:szCs w:val="16"/>
          <w:lang w:eastAsia="ko-KR"/>
        </w:rPr>
        <w:t xml:space="preserve">Priorytetem w zakresie planowania wydatków bieżących będzie zapewnienie prawidłowego funkcjonowania obiektów i urządzeń miejskiej infrastruktury społecznej i technicznej oraz zaspokojenie bieżących potrzeb w związku z realizacją zadań Miasta jako gminy i powiatu, w tym zadań powierzonych </w:t>
      </w:r>
      <w:r w:rsidRPr="000A6485">
        <w:rPr>
          <w:rFonts w:ascii="Verdana" w:hAnsi="Verdana" w:cs="Verdana"/>
          <w:sz w:val="16"/>
          <w:szCs w:val="16"/>
          <w:lang w:eastAsia="ko-KR"/>
        </w:rPr>
        <w:br/>
        <w:t>do realizacji dzielnicom. Jednocześnie w prognozie ujęto konieczność finansowania:</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 xml:space="preserve">obligatoryjnych wpłat do budżetu państwa z przeznaczeniem na część równoważącą subwencji ogólnej </w:t>
      </w:r>
      <w:r w:rsidRPr="000A6485">
        <w:rPr>
          <w:rFonts w:ascii="Verdana" w:hAnsi="Verdana" w:cs="Verdana"/>
          <w:sz w:val="16"/>
          <w:szCs w:val="16"/>
          <w:lang w:eastAsia="ko-KR"/>
        </w:rPr>
        <w:br/>
        <w:t>dla gmin i powiatów (</w:t>
      </w:r>
      <w:r>
        <w:rPr>
          <w:rFonts w:ascii="Verdana" w:hAnsi="Verdana" w:cs="Verdana"/>
          <w:sz w:val="16"/>
          <w:szCs w:val="16"/>
          <w:lang w:eastAsia="ko-KR"/>
        </w:rPr>
        <w:t>tzw. J</w:t>
      </w:r>
      <w:r w:rsidRPr="000A6485">
        <w:rPr>
          <w:rFonts w:ascii="Verdana" w:hAnsi="Verdana" w:cs="Verdana"/>
          <w:sz w:val="16"/>
          <w:szCs w:val="16"/>
          <w:lang w:eastAsia="ko-KR"/>
        </w:rPr>
        <w:t>anosikowe),</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 xml:space="preserve">kosztów obsługi długu w związku z zaciągniętymi w poprzednich latach i planowanymi do podjęcia </w:t>
      </w:r>
      <w:r w:rsidRPr="000A6485">
        <w:rPr>
          <w:rFonts w:ascii="Verdana" w:hAnsi="Verdana" w:cs="Verdana"/>
          <w:sz w:val="16"/>
          <w:szCs w:val="16"/>
          <w:lang w:eastAsia="ko-KR"/>
        </w:rPr>
        <w:br/>
        <w:t xml:space="preserve">w latach </w:t>
      </w:r>
      <w:r>
        <w:rPr>
          <w:rFonts w:ascii="Verdana" w:hAnsi="Verdana" w:cs="Verdana"/>
          <w:sz w:val="16"/>
          <w:szCs w:val="16"/>
          <w:lang w:eastAsia="ko-KR"/>
        </w:rPr>
        <w:t>2022</w:t>
      </w:r>
      <w:r w:rsidRPr="000A6485">
        <w:rPr>
          <w:rFonts w:ascii="Verdana" w:hAnsi="Verdana" w:cs="Verdana"/>
          <w:sz w:val="16"/>
          <w:szCs w:val="16"/>
          <w:lang w:eastAsia="ko-KR"/>
        </w:rPr>
        <w:t>-20</w:t>
      </w:r>
      <w:r>
        <w:rPr>
          <w:rFonts w:ascii="Verdana" w:hAnsi="Verdana" w:cs="Verdana"/>
          <w:sz w:val="16"/>
          <w:szCs w:val="16"/>
          <w:lang w:eastAsia="ko-KR"/>
        </w:rPr>
        <w:t>28</w:t>
      </w:r>
      <w:r w:rsidRPr="000A6485">
        <w:rPr>
          <w:rFonts w:ascii="Verdana" w:hAnsi="Verdana" w:cs="Verdana"/>
          <w:sz w:val="16"/>
          <w:szCs w:val="16"/>
          <w:lang w:eastAsia="ko-KR"/>
        </w:rPr>
        <w:t xml:space="preserve"> długoterminowymi zobowiązaniami z tytułu kredytów i pożyczek oraz wyemitowanych papierów wartościowych, jak też potencjalnych spłat z tytułu udzielonych przez Miasto poręczeń </w:t>
      </w:r>
      <w:r w:rsidRPr="000A6485">
        <w:rPr>
          <w:rFonts w:ascii="Verdana" w:hAnsi="Verdana" w:cs="Verdana"/>
          <w:sz w:val="16"/>
          <w:szCs w:val="16"/>
          <w:lang w:eastAsia="ko-KR"/>
        </w:rPr>
        <w:br/>
        <w:t>i gwarancji,</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zobowiązań stanowiących przedsięwzięcia wieloletnie,</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Arial"/>
          <w:iCs/>
          <w:sz w:val="16"/>
          <w:szCs w:val="16"/>
        </w:rPr>
        <w:t xml:space="preserve">programów prospołecznych, m.in. Warszawski Bon Żłobkowy, bezpłatny pobyt i zajęcia </w:t>
      </w:r>
      <w:r w:rsidRPr="000A6485">
        <w:rPr>
          <w:rFonts w:ascii="Verdana" w:hAnsi="Verdana" w:cs="Arial"/>
          <w:iCs/>
          <w:sz w:val="16"/>
          <w:szCs w:val="16"/>
        </w:rPr>
        <w:br/>
        <w:t>dla dzieci w żłobkach i przedszkolach, bezpłatne przejazdy komunikacją miejską na podstawie Karty Młodego Warszawiaka,</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 xml:space="preserve">wydatków w związku z przekazanymi w </w:t>
      </w:r>
      <w:r>
        <w:rPr>
          <w:rFonts w:ascii="Verdana" w:hAnsi="Verdana" w:cs="Verdana"/>
          <w:sz w:val="16"/>
          <w:szCs w:val="16"/>
          <w:lang w:eastAsia="ko-KR"/>
        </w:rPr>
        <w:t>2021</w:t>
      </w:r>
      <w:r w:rsidRPr="000A6485">
        <w:rPr>
          <w:rFonts w:ascii="Verdana" w:hAnsi="Verdana" w:cs="Verdana"/>
          <w:sz w:val="16"/>
          <w:szCs w:val="16"/>
          <w:lang w:eastAsia="ko-KR"/>
        </w:rPr>
        <w:t xml:space="preserve"> r. i p</w:t>
      </w:r>
      <w:r>
        <w:rPr>
          <w:rFonts w:ascii="Verdana" w:hAnsi="Verdana" w:cs="Verdana"/>
          <w:sz w:val="16"/>
          <w:szCs w:val="16"/>
          <w:lang w:eastAsia="ko-KR"/>
        </w:rPr>
        <w:t>lanowanymi do przekazania w 2022</w:t>
      </w:r>
      <w:r w:rsidRPr="000A6485">
        <w:rPr>
          <w:rFonts w:ascii="Verdana" w:hAnsi="Verdana" w:cs="Verdana"/>
          <w:sz w:val="16"/>
          <w:szCs w:val="16"/>
          <w:lang w:eastAsia="ko-KR"/>
        </w:rPr>
        <w:t xml:space="preserve"> r. i latach następnych do użytkowania i do bieżącego utrzymania inwestycjami, w tym w szczególności w zakresie infrastruktury transportowej oraz w obszarze oświaty i kultury,</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Arial"/>
          <w:iCs/>
          <w:sz w:val="16"/>
          <w:szCs w:val="16"/>
        </w:rPr>
        <w:t xml:space="preserve">wydatków </w:t>
      </w:r>
      <w:r>
        <w:rPr>
          <w:rFonts w:ascii="Verdana" w:hAnsi="Verdana" w:cs="Arial"/>
          <w:iCs/>
          <w:sz w:val="16"/>
          <w:szCs w:val="16"/>
        </w:rPr>
        <w:t>związanych z funkcjonowaniem systemu gospodarowania odpadami komunalnymi</w:t>
      </w:r>
      <w:r w:rsidRPr="000A6485">
        <w:rPr>
          <w:rFonts w:ascii="Verdana" w:hAnsi="Verdana"/>
          <w:color w:val="000000"/>
          <w:sz w:val="16"/>
          <w:szCs w:val="16"/>
        </w:rPr>
        <w:t>,</w:t>
      </w:r>
    </w:p>
    <w:p w:rsidR="007F07DD" w:rsidRPr="000A6485" w:rsidRDefault="007F07DD" w:rsidP="007F07DD">
      <w:pPr>
        <w:numPr>
          <w:ilvl w:val="0"/>
          <w:numId w:val="38"/>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sz w:val="16"/>
          <w:szCs w:val="16"/>
        </w:rPr>
        <w:t>odszkodowań za nieruchomości przejęte w latach poprzednich, w tym m.in. za nieruchomości przejęte pod drogi publiczne przed 1999 r. oraz wynikające z Dekretu z 26 października 1945 r. (tzw. Dekret Bieruta)</w:t>
      </w:r>
      <w:r w:rsidRPr="000A6485">
        <w:rPr>
          <w:rFonts w:ascii="Verdana" w:hAnsi="Verdana" w:cs="Verdana"/>
          <w:sz w:val="16"/>
          <w:szCs w:val="16"/>
          <w:lang w:eastAsia="ko-KR"/>
        </w:rPr>
        <w:t>.</w:t>
      </w:r>
    </w:p>
    <w:p w:rsidR="007F07DD" w:rsidRDefault="007F07DD" w:rsidP="007F07DD">
      <w:pPr>
        <w:spacing w:before="60" w:after="60"/>
        <w:ind w:firstLine="540"/>
        <w:jc w:val="both"/>
        <w:rPr>
          <w:rFonts w:ascii="Verdana" w:hAnsi="Verdana"/>
          <w:sz w:val="16"/>
          <w:szCs w:val="16"/>
        </w:rPr>
      </w:pPr>
      <w:r w:rsidRPr="000A6485">
        <w:rPr>
          <w:rFonts w:ascii="Verdana" w:hAnsi="Verdana"/>
          <w:sz w:val="16"/>
          <w:szCs w:val="16"/>
        </w:rPr>
        <w:t xml:space="preserve">Tabela </w:t>
      </w:r>
      <w:r>
        <w:rPr>
          <w:rFonts w:ascii="Verdana" w:hAnsi="Verdana"/>
          <w:sz w:val="16"/>
          <w:szCs w:val="16"/>
        </w:rPr>
        <w:t>nr 3</w:t>
      </w:r>
      <w:r w:rsidRPr="000A6485">
        <w:rPr>
          <w:rFonts w:ascii="Verdana" w:hAnsi="Verdana"/>
          <w:sz w:val="16"/>
          <w:szCs w:val="16"/>
        </w:rPr>
        <w:t xml:space="preserve"> prezentuje prognozowaną strukturę wydatków bieżących m.st. </w:t>
      </w:r>
      <w:r>
        <w:rPr>
          <w:rFonts w:ascii="Verdana" w:hAnsi="Verdana"/>
          <w:sz w:val="16"/>
          <w:szCs w:val="16"/>
        </w:rPr>
        <w:t>Warszawy w perspektywie lat 2022</w:t>
      </w: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w przekroju sfer układu zadaniowego. Rezerwy celowe, formalnie ujęte w sferze </w:t>
      </w:r>
      <w:r w:rsidRPr="005734D8">
        <w:rPr>
          <w:rFonts w:ascii="Verdana" w:hAnsi="Verdana"/>
          <w:i/>
          <w:sz w:val="16"/>
          <w:szCs w:val="16"/>
        </w:rPr>
        <w:t>Finanse i różne rozliczenia</w:t>
      </w:r>
      <w:r w:rsidRPr="000A6485">
        <w:rPr>
          <w:rFonts w:ascii="Verdana" w:hAnsi="Verdana"/>
          <w:sz w:val="16"/>
          <w:szCs w:val="16"/>
        </w:rPr>
        <w:t>, na potrzeby niniejszego opracowania przypisano do obszarów merytorycznych (sfer), których dotyczą.</w:t>
      </w:r>
      <w:r>
        <w:rPr>
          <w:rFonts w:ascii="Verdana" w:hAnsi="Verdana"/>
          <w:sz w:val="16"/>
          <w:szCs w:val="16"/>
        </w:rPr>
        <w:br w:type="page"/>
      </w:r>
    </w:p>
    <w:p w:rsidR="007F07DD" w:rsidRPr="000A6485" w:rsidRDefault="007F07DD" w:rsidP="007F07DD">
      <w:pPr>
        <w:pStyle w:val="Legenda"/>
        <w:keepNext/>
        <w:spacing w:before="120" w:after="120"/>
        <w:ind w:left="567" w:hanging="567"/>
        <w:rPr>
          <w:rFonts w:ascii="Verdana" w:hAnsi="Verdana" w:cs="Arial"/>
          <w:b w:val="0"/>
          <w:sz w:val="14"/>
          <w:szCs w:val="14"/>
        </w:rPr>
      </w:pPr>
      <w:r w:rsidRPr="000A6485">
        <w:rPr>
          <w:rFonts w:ascii="Verdana" w:hAnsi="Verdana" w:cs="Arial"/>
          <w:sz w:val="14"/>
          <w:szCs w:val="14"/>
        </w:rPr>
        <w:lastRenderedPageBreak/>
        <w:t xml:space="preserve">TAB. </w:t>
      </w:r>
      <w:r w:rsidRPr="000A6485">
        <w:rPr>
          <w:rFonts w:ascii="Verdana" w:hAnsi="Verdana" w:cs="Arial"/>
          <w:sz w:val="14"/>
          <w:szCs w:val="14"/>
        </w:rPr>
        <w:fldChar w:fldCharType="begin"/>
      </w:r>
      <w:r w:rsidRPr="000A6485">
        <w:rPr>
          <w:rFonts w:ascii="Verdana" w:hAnsi="Verdana" w:cs="Arial"/>
          <w:sz w:val="14"/>
          <w:szCs w:val="14"/>
        </w:rPr>
        <w:instrText xml:space="preserve"> SEQ Tab. \* ARABIC </w:instrText>
      </w:r>
      <w:r w:rsidRPr="000A6485">
        <w:rPr>
          <w:rFonts w:ascii="Verdana" w:hAnsi="Verdana" w:cs="Arial"/>
          <w:sz w:val="14"/>
          <w:szCs w:val="14"/>
        </w:rPr>
        <w:fldChar w:fldCharType="separate"/>
      </w:r>
      <w:r>
        <w:rPr>
          <w:rFonts w:ascii="Verdana" w:hAnsi="Verdana" w:cs="Arial"/>
          <w:noProof/>
          <w:sz w:val="14"/>
          <w:szCs w:val="14"/>
        </w:rPr>
        <w:t>3</w:t>
      </w:r>
      <w:r w:rsidRPr="000A6485">
        <w:rPr>
          <w:rFonts w:ascii="Verdana" w:hAnsi="Verdana" w:cs="Arial"/>
          <w:sz w:val="14"/>
          <w:szCs w:val="14"/>
        </w:rPr>
        <w:fldChar w:fldCharType="end"/>
      </w:r>
      <w:r w:rsidRPr="000A6485">
        <w:rPr>
          <w:rFonts w:ascii="Verdana" w:hAnsi="Verdana" w:cs="Arial"/>
          <w:sz w:val="14"/>
          <w:szCs w:val="14"/>
        </w:rPr>
        <w:t xml:space="preserve">. PROGNOZA WYDATKÓW BIEŻĄCYCH WG SFER Z UWZGLĘDNIENIEM REZERW W M.ST. WARSZAWA </w:t>
      </w:r>
      <w:r w:rsidRPr="000A6485">
        <w:rPr>
          <w:rFonts w:ascii="Verdana" w:hAnsi="Verdana" w:cs="Arial"/>
          <w:sz w:val="14"/>
          <w:szCs w:val="14"/>
        </w:rPr>
        <w:br/>
        <w:t xml:space="preserve"> NA LATA </w:t>
      </w:r>
      <w:r w:rsidRPr="0090283F">
        <w:rPr>
          <w:rFonts w:ascii="Verdana" w:hAnsi="Verdana" w:cs="Arial"/>
          <w:sz w:val="14"/>
          <w:szCs w:val="14"/>
        </w:rPr>
        <w:t>2022</w:t>
      </w:r>
      <w:r w:rsidRPr="000A6485">
        <w:rPr>
          <w:rFonts w:ascii="Verdana" w:hAnsi="Verdana" w:cs="Arial"/>
          <w:sz w:val="14"/>
          <w:szCs w:val="14"/>
        </w:rPr>
        <w:t>-202</w:t>
      </w:r>
      <w:r>
        <w:rPr>
          <w:rFonts w:ascii="Verdana" w:hAnsi="Verdana" w:cs="Arial"/>
          <w:sz w:val="14"/>
          <w:szCs w:val="14"/>
        </w:rPr>
        <w:t>4</w:t>
      </w:r>
      <w:r w:rsidRPr="000A6485">
        <w:rPr>
          <w:rFonts w:ascii="Verdana" w:hAnsi="Verdana" w:cs="Arial"/>
          <w:b w:val="0"/>
          <w:sz w:val="14"/>
          <w:szCs w:val="14"/>
        </w:rPr>
        <w:t xml:space="preserve"> </w:t>
      </w:r>
      <w:r>
        <w:rPr>
          <w:rFonts w:ascii="Verdana" w:hAnsi="Verdana" w:cs="Arial"/>
          <w:b w:val="0"/>
          <w:bCs w:val="0"/>
          <w:sz w:val="14"/>
          <w:szCs w:val="14"/>
        </w:rPr>
        <w:t xml:space="preserve">[w </w:t>
      </w:r>
      <w:r w:rsidRPr="000A6485">
        <w:rPr>
          <w:rFonts w:ascii="Verdana" w:hAnsi="Verdana" w:cs="Arial"/>
          <w:b w:val="0"/>
          <w:bCs w:val="0"/>
          <w:sz w:val="14"/>
          <w:szCs w:val="14"/>
        </w:rPr>
        <w:t>mln zł]</w:t>
      </w:r>
    </w:p>
    <w:p w:rsidR="007F07DD" w:rsidRPr="000A6485" w:rsidRDefault="00F33C94" w:rsidP="007F07DD">
      <w:pPr>
        <w:spacing w:before="120" w:after="120"/>
        <w:jc w:val="both"/>
        <w:rPr>
          <w:noProof/>
        </w:rPr>
      </w:pPr>
      <w:r>
        <w:rPr>
          <w:noProof/>
        </w:rPr>
        <w:pict>
          <v:shape id="_x0000_i1053" type="#_x0000_t75" style="width:474.8pt;height:256.85pt">
            <v:imagedata r:id="rId47" o:title=""/>
          </v:shape>
        </w:pict>
      </w:r>
    </w:p>
    <w:p w:rsidR="007F07DD" w:rsidRDefault="007F07DD" w:rsidP="007F07DD">
      <w:pPr>
        <w:spacing w:before="60" w:after="60"/>
        <w:jc w:val="both"/>
        <w:rPr>
          <w:rFonts w:ascii="Verdana" w:hAnsi="Verdana"/>
          <w:sz w:val="16"/>
          <w:szCs w:val="16"/>
        </w:rPr>
      </w:pPr>
      <w:r w:rsidRPr="000A6485">
        <w:rPr>
          <w:rFonts w:ascii="Verdana" w:hAnsi="Verdana"/>
          <w:sz w:val="16"/>
          <w:szCs w:val="16"/>
        </w:rPr>
        <w:t>Analiza wydatków bieżących m.st. Warszawy przez pryzmat sfer układu zadaniowego w pierwszych trzech latach p</w:t>
      </w:r>
      <w:r>
        <w:rPr>
          <w:rFonts w:ascii="Verdana" w:hAnsi="Verdana"/>
          <w:sz w:val="16"/>
          <w:szCs w:val="16"/>
        </w:rPr>
        <w:t>rognozy, tj. w okresie 2022</w:t>
      </w: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wskazuje na utrzymanie dotychczasowej struktury działalności bieżącej Miasta. Największym udziałem w wydatkach bieżących charakteryzują się zadania realizowane </w:t>
      </w:r>
      <w:r w:rsidRPr="000A6485">
        <w:rPr>
          <w:rFonts w:ascii="Verdana" w:hAnsi="Verdana"/>
          <w:sz w:val="16"/>
          <w:szCs w:val="16"/>
        </w:rPr>
        <w:br/>
        <w:t xml:space="preserve">w ramach sfery </w:t>
      </w:r>
      <w:r w:rsidRPr="000A6485">
        <w:rPr>
          <w:rFonts w:ascii="Verdana" w:hAnsi="Verdana"/>
          <w:b/>
          <w:sz w:val="16"/>
          <w:szCs w:val="16"/>
        </w:rPr>
        <w:t>Edukacja</w:t>
      </w:r>
      <w:r w:rsidRPr="000A6485">
        <w:rPr>
          <w:rFonts w:ascii="Verdana" w:hAnsi="Verdana"/>
          <w:sz w:val="16"/>
          <w:szCs w:val="16"/>
        </w:rPr>
        <w:t xml:space="preserve"> z udziałem rzędu </w:t>
      </w:r>
      <w:r w:rsidRPr="000A6485">
        <w:rPr>
          <w:rFonts w:ascii="Verdana" w:hAnsi="Verdana"/>
          <w:b/>
          <w:sz w:val="16"/>
          <w:szCs w:val="16"/>
        </w:rPr>
        <w:t>2</w:t>
      </w:r>
      <w:r>
        <w:rPr>
          <w:rFonts w:ascii="Verdana" w:hAnsi="Verdana"/>
          <w:b/>
          <w:sz w:val="16"/>
          <w:szCs w:val="16"/>
        </w:rPr>
        <w:t>8,2-30</w:t>
      </w:r>
      <w:r w:rsidRPr="000A6485">
        <w:rPr>
          <w:rFonts w:ascii="Verdana" w:hAnsi="Verdana"/>
          <w:b/>
          <w:sz w:val="16"/>
          <w:szCs w:val="16"/>
        </w:rPr>
        <w:t>%</w:t>
      </w:r>
      <w:r w:rsidRPr="000A6485">
        <w:rPr>
          <w:rFonts w:ascii="Verdana" w:hAnsi="Verdana"/>
          <w:sz w:val="16"/>
          <w:szCs w:val="16"/>
        </w:rPr>
        <w:t xml:space="preserve"> oraz zadania ze sfery </w:t>
      </w:r>
      <w:r w:rsidRPr="000A6485">
        <w:rPr>
          <w:rFonts w:ascii="Verdana" w:hAnsi="Verdana"/>
          <w:b/>
          <w:sz w:val="16"/>
          <w:szCs w:val="16"/>
        </w:rPr>
        <w:t xml:space="preserve">Transport i komunikacja </w:t>
      </w:r>
      <w:r w:rsidRPr="000A6485">
        <w:rPr>
          <w:rFonts w:ascii="Verdana" w:hAnsi="Verdana"/>
          <w:b/>
          <w:sz w:val="16"/>
          <w:szCs w:val="16"/>
        </w:rPr>
        <w:br/>
      </w:r>
      <w:r w:rsidRPr="000A6485">
        <w:rPr>
          <w:rFonts w:ascii="Verdana" w:hAnsi="Verdana"/>
          <w:sz w:val="16"/>
          <w:szCs w:val="16"/>
        </w:rPr>
        <w:t>z udziałem w ogóle wydatków bieżących</w:t>
      </w:r>
      <w:r w:rsidRPr="000A6485">
        <w:rPr>
          <w:rFonts w:ascii="Verdana" w:hAnsi="Verdana"/>
          <w:b/>
          <w:sz w:val="16"/>
          <w:szCs w:val="16"/>
        </w:rPr>
        <w:t xml:space="preserve"> </w:t>
      </w:r>
      <w:r w:rsidRPr="000A6485">
        <w:rPr>
          <w:rFonts w:ascii="Verdana" w:hAnsi="Verdana"/>
          <w:sz w:val="16"/>
          <w:szCs w:val="16"/>
        </w:rPr>
        <w:t xml:space="preserve">na poziomie </w:t>
      </w:r>
      <w:r>
        <w:rPr>
          <w:rFonts w:ascii="Verdana" w:hAnsi="Verdana"/>
          <w:b/>
          <w:sz w:val="16"/>
          <w:szCs w:val="16"/>
        </w:rPr>
        <w:t>19,6-22,3</w:t>
      </w:r>
      <w:r w:rsidRPr="000A6485">
        <w:rPr>
          <w:rFonts w:ascii="Verdana" w:hAnsi="Verdana"/>
          <w:b/>
          <w:sz w:val="16"/>
          <w:szCs w:val="16"/>
        </w:rPr>
        <w:t>%</w:t>
      </w:r>
      <w:r w:rsidRPr="000A6485">
        <w:rPr>
          <w:rFonts w:ascii="Verdana" w:hAnsi="Verdana"/>
          <w:sz w:val="16"/>
          <w:szCs w:val="16"/>
        </w:rPr>
        <w:t xml:space="preserve">. Łącznie te dwie sfery zagospodarują </w:t>
      </w:r>
      <w:r>
        <w:rPr>
          <w:rFonts w:ascii="Verdana" w:hAnsi="Verdana"/>
          <w:sz w:val="16"/>
          <w:szCs w:val="16"/>
        </w:rPr>
        <w:br/>
        <w:t>ok.</w:t>
      </w:r>
      <w:r w:rsidRPr="000A6485">
        <w:rPr>
          <w:rFonts w:ascii="Verdana" w:hAnsi="Verdana"/>
          <w:sz w:val="16"/>
          <w:szCs w:val="16"/>
        </w:rPr>
        <w:t xml:space="preserve"> </w:t>
      </w:r>
      <w:r w:rsidRPr="000A6485">
        <w:rPr>
          <w:rFonts w:ascii="Verdana" w:hAnsi="Verdana"/>
          <w:b/>
          <w:sz w:val="16"/>
          <w:szCs w:val="16"/>
        </w:rPr>
        <w:t>połow</w:t>
      </w:r>
      <w:r>
        <w:rPr>
          <w:rFonts w:ascii="Verdana" w:hAnsi="Verdana"/>
          <w:b/>
          <w:sz w:val="16"/>
          <w:szCs w:val="16"/>
        </w:rPr>
        <w:t>y</w:t>
      </w:r>
      <w:r w:rsidRPr="000A6485">
        <w:rPr>
          <w:rFonts w:ascii="Verdana" w:hAnsi="Verdana"/>
          <w:sz w:val="16"/>
          <w:szCs w:val="16"/>
        </w:rPr>
        <w:t xml:space="preserve"> możliwych do poniesienia wydatków bieżących. W granicach </w:t>
      </w:r>
      <w:r>
        <w:rPr>
          <w:rFonts w:ascii="Verdana" w:hAnsi="Verdana"/>
          <w:b/>
          <w:sz w:val="16"/>
          <w:szCs w:val="16"/>
        </w:rPr>
        <w:t>8,6</w:t>
      </w:r>
      <w:r w:rsidRPr="000A6485">
        <w:rPr>
          <w:rFonts w:ascii="Verdana" w:hAnsi="Verdana"/>
          <w:b/>
          <w:sz w:val="16"/>
          <w:szCs w:val="16"/>
        </w:rPr>
        <w:t>-</w:t>
      </w:r>
      <w:r>
        <w:rPr>
          <w:rFonts w:ascii="Verdana" w:hAnsi="Verdana"/>
          <w:b/>
          <w:sz w:val="16"/>
          <w:szCs w:val="16"/>
        </w:rPr>
        <w:t>12,9</w:t>
      </w:r>
      <w:r w:rsidRPr="000A6485">
        <w:rPr>
          <w:rFonts w:ascii="Verdana" w:hAnsi="Verdana"/>
          <w:b/>
          <w:sz w:val="16"/>
          <w:szCs w:val="16"/>
        </w:rPr>
        <w:t>%</w:t>
      </w:r>
      <w:r w:rsidRPr="000A6485">
        <w:rPr>
          <w:rFonts w:ascii="Verdana" w:hAnsi="Verdana"/>
          <w:sz w:val="16"/>
          <w:szCs w:val="16"/>
        </w:rPr>
        <w:t xml:space="preserve"> wydatków bieżących przeznaczonych zostanie na </w:t>
      </w:r>
      <w:r w:rsidRPr="000A6485">
        <w:rPr>
          <w:rFonts w:ascii="Verdana" w:hAnsi="Verdana"/>
          <w:b/>
          <w:sz w:val="16"/>
          <w:szCs w:val="16"/>
        </w:rPr>
        <w:t>Ochronę zdrowia i pomoc społeczną</w:t>
      </w:r>
      <w:r w:rsidRPr="000A6485">
        <w:rPr>
          <w:rFonts w:ascii="Verdana" w:hAnsi="Verdana"/>
          <w:sz w:val="16"/>
          <w:szCs w:val="16"/>
        </w:rPr>
        <w:t xml:space="preserve">, w ramach której ujmowane są </w:t>
      </w:r>
      <w:r>
        <w:rPr>
          <w:rFonts w:ascii="Verdana" w:hAnsi="Verdana"/>
          <w:sz w:val="16"/>
          <w:szCs w:val="16"/>
        </w:rPr>
        <w:t xml:space="preserve">wygasające </w:t>
      </w:r>
      <w:r w:rsidRPr="000A6485">
        <w:rPr>
          <w:rFonts w:ascii="Verdana" w:hAnsi="Verdana"/>
          <w:sz w:val="16"/>
          <w:szCs w:val="16"/>
        </w:rPr>
        <w:t xml:space="preserve">wydatki na realizację Programu „Rodzina 500 </w:t>
      </w:r>
      <w:r>
        <w:rPr>
          <w:rFonts w:ascii="Verdana" w:hAnsi="Verdana"/>
          <w:sz w:val="16"/>
          <w:szCs w:val="16"/>
        </w:rPr>
        <w:t>P</w:t>
      </w:r>
      <w:r w:rsidRPr="000A6485">
        <w:rPr>
          <w:rFonts w:ascii="Verdana" w:hAnsi="Verdana"/>
          <w:sz w:val="16"/>
          <w:szCs w:val="16"/>
        </w:rPr>
        <w:t>lus”</w:t>
      </w:r>
      <w:r w:rsidRPr="000A6485">
        <w:rPr>
          <w:rStyle w:val="Odwoanieprzypisudolnego"/>
          <w:rFonts w:ascii="Verdana" w:hAnsi="Verdana"/>
          <w:sz w:val="16"/>
          <w:szCs w:val="16"/>
        </w:rPr>
        <w:footnoteReference w:id="10"/>
      </w:r>
      <w:r w:rsidRPr="000A6485">
        <w:rPr>
          <w:rFonts w:ascii="Verdana" w:hAnsi="Verdana"/>
          <w:sz w:val="16"/>
          <w:szCs w:val="16"/>
        </w:rPr>
        <w:t>.</w:t>
      </w:r>
      <w:r w:rsidRPr="000A6485">
        <w:rPr>
          <w:rFonts w:ascii="Verdana" w:hAnsi="Verdana"/>
          <w:b/>
          <w:sz w:val="16"/>
          <w:szCs w:val="16"/>
        </w:rPr>
        <w:t xml:space="preserve"> </w:t>
      </w:r>
      <w:r w:rsidRPr="000A6485">
        <w:rPr>
          <w:rFonts w:ascii="Verdana" w:hAnsi="Verdana"/>
          <w:sz w:val="16"/>
          <w:szCs w:val="16"/>
        </w:rPr>
        <w:t xml:space="preserve">Wydatki w przedziale </w:t>
      </w:r>
      <w:r>
        <w:rPr>
          <w:rFonts w:ascii="Verdana" w:hAnsi="Verdana"/>
          <w:b/>
          <w:sz w:val="16"/>
          <w:szCs w:val="16"/>
        </w:rPr>
        <w:t>9,2</w:t>
      </w:r>
      <w:r w:rsidRPr="000A6485">
        <w:rPr>
          <w:rFonts w:ascii="Verdana" w:hAnsi="Verdana"/>
          <w:b/>
          <w:sz w:val="16"/>
          <w:szCs w:val="16"/>
        </w:rPr>
        <w:t>-</w:t>
      </w:r>
      <w:r>
        <w:rPr>
          <w:rFonts w:ascii="Verdana" w:hAnsi="Verdana"/>
          <w:b/>
          <w:sz w:val="16"/>
          <w:szCs w:val="16"/>
        </w:rPr>
        <w:t>10,9</w:t>
      </w:r>
      <w:r w:rsidRPr="000A6485">
        <w:rPr>
          <w:rFonts w:ascii="Verdana" w:hAnsi="Verdana"/>
          <w:b/>
          <w:sz w:val="16"/>
          <w:szCs w:val="16"/>
        </w:rPr>
        <w:t>%</w:t>
      </w:r>
      <w:r w:rsidRPr="000A6485">
        <w:rPr>
          <w:rFonts w:ascii="Verdana" w:hAnsi="Verdana"/>
          <w:sz w:val="16"/>
          <w:szCs w:val="16"/>
        </w:rPr>
        <w:t xml:space="preserve"> ogółu wydatków bieżących zaplanowano w sferze </w:t>
      </w:r>
      <w:r w:rsidRPr="000A6485">
        <w:rPr>
          <w:rFonts w:ascii="Verdana" w:hAnsi="Verdana"/>
          <w:b/>
          <w:sz w:val="16"/>
          <w:szCs w:val="16"/>
        </w:rPr>
        <w:t>Finanse i różne rozliczenia</w:t>
      </w:r>
      <w:r w:rsidRPr="000A6485">
        <w:rPr>
          <w:rFonts w:ascii="Verdana" w:hAnsi="Verdana"/>
          <w:sz w:val="16"/>
          <w:szCs w:val="16"/>
        </w:rPr>
        <w:t>, w ramach której główny ciężar wydatków to wpłaty do budżetu państwa na rzecz subwencji ogólnej w części równoważącej, tzw. Janosikowe (</w:t>
      </w:r>
      <w:r>
        <w:rPr>
          <w:rFonts w:ascii="Verdana" w:hAnsi="Verdana"/>
          <w:sz w:val="16"/>
          <w:szCs w:val="16"/>
        </w:rPr>
        <w:t>wydatki do poniesienia w 2022 r. wynoszą</w:t>
      </w:r>
      <w:r w:rsidRPr="000A6485">
        <w:rPr>
          <w:rFonts w:ascii="Verdana" w:hAnsi="Verdana"/>
          <w:sz w:val="16"/>
          <w:szCs w:val="16"/>
        </w:rPr>
        <w:t xml:space="preserve"> </w:t>
      </w:r>
      <w:r>
        <w:rPr>
          <w:rFonts w:ascii="Verdana" w:hAnsi="Verdana"/>
          <w:b/>
          <w:sz w:val="16"/>
          <w:szCs w:val="16"/>
        </w:rPr>
        <w:t>1,304</w:t>
      </w:r>
      <w:r w:rsidRPr="000A6485">
        <w:rPr>
          <w:rFonts w:ascii="Verdana" w:hAnsi="Verdana"/>
          <w:b/>
          <w:sz w:val="16"/>
          <w:szCs w:val="16"/>
        </w:rPr>
        <w:t xml:space="preserve"> mld zł</w:t>
      </w:r>
      <w:r w:rsidRPr="000A6485">
        <w:rPr>
          <w:rFonts w:ascii="Verdana" w:hAnsi="Verdana"/>
          <w:sz w:val="16"/>
          <w:szCs w:val="16"/>
        </w:rPr>
        <w:t xml:space="preserve">) oraz odsetki z tytułu obsługi zadłużenia powstałego w związku </w:t>
      </w:r>
      <w:r>
        <w:rPr>
          <w:rFonts w:ascii="Verdana" w:hAnsi="Verdana"/>
          <w:sz w:val="16"/>
          <w:szCs w:val="16"/>
        </w:rPr>
        <w:br/>
      </w:r>
      <w:r w:rsidRPr="000A6485">
        <w:rPr>
          <w:rFonts w:ascii="Verdana" w:hAnsi="Verdana"/>
          <w:sz w:val="16"/>
          <w:szCs w:val="16"/>
        </w:rPr>
        <w:t xml:space="preserve">z realizacją programu inwestycyjnego, a także rezerwy, w tym obligatoryjne – ogólna i kryzysowa. </w:t>
      </w:r>
      <w:r>
        <w:rPr>
          <w:rFonts w:ascii="Verdana" w:hAnsi="Verdana"/>
          <w:sz w:val="16"/>
          <w:szCs w:val="16"/>
        </w:rPr>
        <w:br w:type="page"/>
      </w:r>
    </w:p>
    <w:p w:rsidR="007F07DD" w:rsidRPr="000A6485" w:rsidRDefault="007F07DD" w:rsidP="007F07DD">
      <w:pPr>
        <w:spacing w:before="240" w:after="240"/>
        <w:rPr>
          <w:rFonts w:ascii="Verdana" w:hAnsi="Verdana"/>
          <w:b/>
          <w:bCs/>
          <w:sz w:val="18"/>
          <w:szCs w:val="18"/>
        </w:rPr>
      </w:pPr>
      <w:r w:rsidRPr="000A6485">
        <w:rPr>
          <w:rFonts w:ascii="Verdana" w:hAnsi="Verdana"/>
          <w:b/>
          <w:bCs/>
          <w:sz w:val="18"/>
          <w:szCs w:val="18"/>
        </w:rPr>
        <w:lastRenderedPageBreak/>
        <w:t>7.3.3 Wynik zbiorczy prognozy wydatków majątkowych</w:t>
      </w:r>
    </w:p>
    <w:p w:rsidR="007F07DD" w:rsidRPr="000A6485" w:rsidRDefault="007F07DD" w:rsidP="007F07DD">
      <w:pPr>
        <w:tabs>
          <w:tab w:val="left" w:pos="0"/>
        </w:tabs>
        <w:spacing w:before="6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34</w:t>
      </w:r>
      <w:r w:rsidRPr="000A6485">
        <w:rPr>
          <w:rFonts w:ascii="Verdana" w:hAnsi="Verdana"/>
          <w:sz w:val="16"/>
          <w:szCs w:val="16"/>
        </w:rPr>
        <w:t xml:space="preserve"> prezentuje prognozowane wydatki majątkowe w poszczególnych latach objętych Prognozą.</w:t>
      </w:r>
    </w:p>
    <w:p w:rsidR="007F07DD" w:rsidRPr="000A6485" w:rsidRDefault="007F07DD" w:rsidP="007F07DD">
      <w:pPr>
        <w:tabs>
          <w:tab w:val="left" w:pos="567"/>
        </w:tabs>
        <w:spacing w:before="120" w:after="60"/>
        <w:ind w:left="567" w:hanging="567"/>
        <w:rPr>
          <w:rFonts w:ascii="Verdana" w:hAnsi="Verdana"/>
          <w:b/>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34</w:t>
      </w:r>
      <w:r w:rsidRPr="000A6485">
        <w:rPr>
          <w:rFonts w:ascii="Verdana" w:hAnsi="Verdana" w:cs="Arial"/>
          <w:b/>
          <w:bCs/>
          <w:sz w:val="14"/>
          <w:szCs w:val="14"/>
        </w:rPr>
        <w:fldChar w:fldCharType="end"/>
      </w:r>
      <w:r w:rsidRPr="000A6485">
        <w:rPr>
          <w:rFonts w:ascii="Verdana" w:hAnsi="Verdana" w:cs="Arial"/>
          <w:b/>
          <w:bCs/>
          <w:sz w:val="14"/>
          <w:szCs w:val="14"/>
        </w:rPr>
        <w:t xml:space="preserve">  PROGNOZA WYDATKÓW MAJĄTKO</w:t>
      </w:r>
      <w:r>
        <w:rPr>
          <w:rFonts w:ascii="Verdana" w:hAnsi="Verdana" w:cs="Arial"/>
          <w:b/>
          <w:bCs/>
          <w:sz w:val="14"/>
          <w:szCs w:val="14"/>
        </w:rPr>
        <w:t xml:space="preserve">WYCH M.ST. WARSZAWY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p>
    <w:p w:rsidR="007F07DD" w:rsidRPr="000A6485" w:rsidRDefault="00F33C94" w:rsidP="007F07DD">
      <w:pPr>
        <w:spacing w:before="120" w:after="120" w:line="240" w:lineRule="auto"/>
        <w:jc w:val="both"/>
        <w:rPr>
          <w:rFonts w:ascii="Verdana" w:hAnsi="Verdana"/>
          <w:noProof/>
          <w:sz w:val="16"/>
          <w:szCs w:val="16"/>
        </w:rPr>
      </w:pPr>
      <w:r>
        <w:rPr>
          <w:rFonts w:ascii="Verdana" w:hAnsi="Verdana"/>
          <w:noProof/>
          <w:sz w:val="16"/>
          <w:szCs w:val="16"/>
        </w:rPr>
        <w:pict>
          <v:shape id="_x0000_i1054" type="#_x0000_t75" style="width:457.3pt;height:224.45pt">
            <v:imagedata r:id="rId48" o:title=""/>
          </v:shape>
        </w:pic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 xml:space="preserve">Łącznie w całym okresie objętym </w:t>
      </w:r>
      <w:r>
        <w:rPr>
          <w:rFonts w:ascii="Verdana" w:hAnsi="Verdana"/>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sz w:val="16"/>
          <w:szCs w:val="16"/>
        </w:rPr>
        <w:t xml:space="preserve">-2050 na wydatki </w:t>
      </w:r>
      <w:r>
        <w:rPr>
          <w:rFonts w:ascii="Verdana" w:hAnsi="Verdana"/>
          <w:sz w:val="16"/>
          <w:szCs w:val="16"/>
        </w:rPr>
        <w:t>majątkowe (inwestycje)</w:t>
      </w:r>
      <w:r w:rsidRPr="000A6485">
        <w:rPr>
          <w:rFonts w:ascii="Verdana" w:hAnsi="Verdana"/>
          <w:sz w:val="16"/>
          <w:szCs w:val="16"/>
        </w:rPr>
        <w:t xml:space="preserve"> przeznaczono </w:t>
      </w:r>
      <w:r>
        <w:rPr>
          <w:rFonts w:ascii="Verdana" w:hAnsi="Verdana"/>
          <w:sz w:val="16"/>
          <w:szCs w:val="16"/>
        </w:rPr>
        <w:br/>
      </w:r>
      <w:r>
        <w:rPr>
          <w:rFonts w:ascii="Verdana" w:hAnsi="Verdana"/>
          <w:b/>
          <w:sz w:val="16"/>
          <w:szCs w:val="16"/>
        </w:rPr>
        <w:t>69,1</w:t>
      </w:r>
      <w:r w:rsidRPr="000A6485">
        <w:rPr>
          <w:rFonts w:ascii="Verdana" w:hAnsi="Verdana"/>
          <w:b/>
          <w:sz w:val="16"/>
          <w:szCs w:val="16"/>
        </w:rPr>
        <w:t xml:space="preserve"> mld zł</w:t>
      </w:r>
      <w:r w:rsidRPr="000A6485">
        <w:rPr>
          <w:rFonts w:ascii="Verdana" w:hAnsi="Verdana"/>
          <w:sz w:val="16"/>
          <w:szCs w:val="16"/>
        </w:rPr>
        <w:t>.</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 xml:space="preserve">Prognozuje się, iż </w:t>
      </w:r>
      <w:r>
        <w:rPr>
          <w:rFonts w:ascii="Verdana" w:hAnsi="Verdana"/>
          <w:sz w:val="16"/>
          <w:szCs w:val="16"/>
        </w:rPr>
        <w:t xml:space="preserve">w okresie WPF </w:t>
      </w:r>
      <w:r w:rsidRPr="0090283F">
        <w:rPr>
          <w:rFonts w:ascii="Verdana" w:eastAsiaTheme="minorEastAsia" w:hAnsi="Verdana" w:cs="Verdana"/>
          <w:color w:val="000000"/>
          <w:sz w:val="16"/>
          <w:szCs w:val="16"/>
        </w:rPr>
        <w:t>2022</w:t>
      </w:r>
      <w:r w:rsidRPr="000A6485">
        <w:rPr>
          <w:rFonts w:ascii="Verdana" w:hAnsi="Verdana"/>
          <w:sz w:val="16"/>
          <w:szCs w:val="16"/>
        </w:rPr>
        <w:t>-2050</w:t>
      </w:r>
      <w:r>
        <w:rPr>
          <w:rFonts w:ascii="Verdana" w:hAnsi="Verdana"/>
          <w:sz w:val="16"/>
          <w:szCs w:val="16"/>
        </w:rPr>
        <w:t xml:space="preserve">, </w:t>
      </w:r>
      <w:r w:rsidRPr="000A6485">
        <w:rPr>
          <w:rFonts w:ascii="Verdana" w:hAnsi="Verdana"/>
          <w:sz w:val="16"/>
          <w:szCs w:val="16"/>
        </w:rPr>
        <w:t xml:space="preserve">dofinansowanie z budżetu Unii Europejskiej </w:t>
      </w:r>
      <w:r>
        <w:rPr>
          <w:rFonts w:ascii="Verdana" w:hAnsi="Verdana"/>
          <w:sz w:val="16"/>
          <w:szCs w:val="16"/>
        </w:rPr>
        <w:br/>
      </w:r>
      <w:r w:rsidRPr="000A6485">
        <w:rPr>
          <w:rFonts w:ascii="Verdana" w:hAnsi="Verdana"/>
          <w:sz w:val="16"/>
          <w:szCs w:val="16"/>
        </w:rPr>
        <w:t>z perspektywy finanso</w:t>
      </w:r>
      <w:r>
        <w:rPr>
          <w:rFonts w:ascii="Verdana" w:hAnsi="Verdana"/>
          <w:sz w:val="16"/>
          <w:szCs w:val="16"/>
        </w:rPr>
        <w:t>wej obejmującej lata 2014-2020</w:t>
      </w:r>
      <w:r w:rsidRPr="000A6485">
        <w:rPr>
          <w:rFonts w:ascii="Verdana" w:hAnsi="Verdana"/>
          <w:sz w:val="16"/>
          <w:szCs w:val="16"/>
        </w:rPr>
        <w:t xml:space="preserve"> do inwestycji realizowanych przez m.st. Warszawa wyniesie </w:t>
      </w:r>
      <w:r>
        <w:rPr>
          <w:rFonts w:ascii="Verdana" w:hAnsi="Verdana"/>
          <w:b/>
          <w:sz w:val="16"/>
          <w:szCs w:val="16"/>
        </w:rPr>
        <w:t>1,506</w:t>
      </w:r>
      <w:r w:rsidRPr="000A6485">
        <w:rPr>
          <w:rFonts w:ascii="Verdana" w:hAnsi="Verdana"/>
          <w:b/>
          <w:sz w:val="16"/>
          <w:szCs w:val="16"/>
        </w:rPr>
        <w:t xml:space="preserve"> mld zł</w:t>
      </w:r>
      <w:r>
        <w:rPr>
          <w:rFonts w:ascii="Verdana" w:hAnsi="Verdana"/>
          <w:sz w:val="16"/>
          <w:szCs w:val="16"/>
        </w:rPr>
        <w:t xml:space="preserve"> (w tym refundacja wydatków poniesionych przed 2022 r.)</w:t>
      </w:r>
      <w:r w:rsidRPr="000A6485">
        <w:rPr>
          <w:rFonts w:ascii="Verdana" w:hAnsi="Verdana"/>
          <w:sz w:val="16"/>
          <w:szCs w:val="16"/>
        </w:rPr>
        <w:t xml:space="preserve">. Całkowita wartość projektów </w:t>
      </w:r>
      <w:r>
        <w:rPr>
          <w:rFonts w:ascii="Verdana" w:hAnsi="Verdana"/>
          <w:sz w:val="16"/>
          <w:szCs w:val="16"/>
        </w:rPr>
        <w:t xml:space="preserve">inwestycyjnych </w:t>
      </w:r>
      <w:r w:rsidRPr="000A6485">
        <w:rPr>
          <w:rFonts w:ascii="Verdana" w:hAnsi="Verdana"/>
          <w:sz w:val="16"/>
          <w:szCs w:val="16"/>
        </w:rPr>
        <w:t>dofinansowywanych ze środków unijnych (wkład własny i unijny)</w:t>
      </w:r>
      <w:r>
        <w:rPr>
          <w:rFonts w:ascii="Verdana" w:hAnsi="Verdana"/>
          <w:sz w:val="16"/>
          <w:szCs w:val="16"/>
        </w:rPr>
        <w:t xml:space="preserve">, w latach objętych WPF </w:t>
      </w:r>
      <w:r w:rsidRPr="0090283F">
        <w:rPr>
          <w:rFonts w:ascii="Verdana" w:eastAsiaTheme="minorEastAsia" w:hAnsi="Verdana" w:cs="Verdana"/>
          <w:color w:val="000000"/>
          <w:sz w:val="16"/>
          <w:szCs w:val="16"/>
        </w:rPr>
        <w:t>2022</w:t>
      </w:r>
      <w:r w:rsidRPr="000A6485">
        <w:rPr>
          <w:rFonts w:ascii="Verdana" w:hAnsi="Verdana"/>
          <w:sz w:val="16"/>
          <w:szCs w:val="16"/>
        </w:rPr>
        <w:t>-2050</w:t>
      </w:r>
      <w:r>
        <w:rPr>
          <w:rFonts w:ascii="Verdana" w:hAnsi="Verdana"/>
          <w:sz w:val="16"/>
          <w:szCs w:val="16"/>
        </w:rPr>
        <w:t>,</w:t>
      </w:r>
      <w:r w:rsidRPr="000A6485">
        <w:rPr>
          <w:rFonts w:ascii="Verdana" w:hAnsi="Verdana"/>
          <w:sz w:val="16"/>
          <w:szCs w:val="16"/>
        </w:rPr>
        <w:t xml:space="preserve"> wyniesie </w:t>
      </w:r>
      <w:r>
        <w:rPr>
          <w:rFonts w:ascii="Verdana" w:hAnsi="Verdana"/>
          <w:b/>
          <w:sz w:val="16"/>
          <w:szCs w:val="16"/>
        </w:rPr>
        <w:t>1,556</w:t>
      </w:r>
      <w:r w:rsidRPr="000A6485">
        <w:rPr>
          <w:rFonts w:ascii="Verdana" w:hAnsi="Verdana"/>
          <w:b/>
          <w:sz w:val="16"/>
          <w:szCs w:val="16"/>
        </w:rPr>
        <w:t xml:space="preserve"> mld zł</w:t>
      </w:r>
      <w:r w:rsidRPr="000A6485">
        <w:rPr>
          <w:rFonts w:ascii="Verdana" w:hAnsi="Verdana"/>
          <w:sz w:val="16"/>
          <w:szCs w:val="16"/>
        </w:rPr>
        <w:t>.</w:t>
      </w:r>
    </w:p>
    <w:p w:rsidR="007F07DD" w:rsidRPr="000A6485" w:rsidRDefault="007F07DD" w:rsidP="007F07DD">
      <w:pPr>
        <w:spacing w:before="60" w:after="60"/>
        <w:jc w:val="both"/>
        <w:rPr>
          <w:rFonts w:ascii="Verdana" w:hAnsi="Verdana"/>
          <w:sz w:val="16"/>
          <w:szCs w:val="16"/>
        </w:rPr>
      </w:pPr>
      <w:r>
        <w:rPr>
          <w:rFonts w:ascii="Verdana" w:hAnsi="Verdana"/>
          <w:sz w:val="16"/>
          <w:szCs w:val="16"/>
        </w:rPr>
        <w:t xml:space="preserve">Wśród projektów inwestycyjnych objętych dofinansowaniem ze środków Unii Europejskiej zdecydowanie największą wartość wydatków ujętych w WPF </w:t>
      </w:r>
      <w:r w:rsidRPr="0090283F">
        <w:rPr>
          <w:rFonts w:ascii="Verdana" w:eastAsiaTheme="minorEastAsia" w:hAnsi="Verdana" w:cs="Verdana"/>
          <w:color w:val="000000"/>
          <w:sz w:val="16"/>
          <w:szCs w:val="16"/>
        </w:rPr>
        <w:t>2022</w:t>
      </w:r>
      <w:r w:rsidRPr="000A6485">
        <w:rPr>
          <w:rFonts w:ascii="Verdana" w:hAnsi="Verdana"/>
          <w:sz w:val="16"/>
          <w:szCs w:val="16"/>
        </w:rPr>
        <w:t xml:space="preserve">-2050 </w:t>
      </w:r>
      <w:r>
        <w:rPr>
          <w:rFonts w:ascii="Verdana" w:hAnsi="Verdana"/>
          <w:sz w:val="16"/>
          <w:szCs w:val="16"/>
        </w:rPr>
        <w:t>przedstawia budowa tzw. odcinków</w:t>
      </w:r>
      <w:r w:rsidRPr="000A6485">
        <w:rPr>
          <w:rFonts w:ascii="Verdana" w:hAnsi="Verdana"/>
          <w:sz w:val="16"/>
          <w:szCs w:val="16"/>
        </w:rPr>
        <w:t xml:space="preserve"> </w:t>
      </w:r>
      <w:r>
        <w:rPr>
          <w:rFonts w:ascii="Verdana" w:hAnsi="Verdana"/>
          <w:sz w:val="16"/>
          <w:szCs w:val="16"/>
        </w:rPr>
        <w:t xml:space="preserve">3+3 i </w:t>
      </w:r>
      <w:r w:rsidRPr="000A6485">
        <w:rPr>
          <w:rFonts w:ascii="Verdana" w:hAnsi="Verdana"/>
          <w:sz w:val="16"/>
          <w:szCs w:val="16"/>
        </w:rPr>
        <w:t xml:space="preserve">2+3 </w:t>
      </w:r>
      <w:r>
        <w:rPr>
          <w:rFonts w:ascii="Verdana" w:hAnsi="Verdana"/>
          <w:sz w:val="16"/>
          <w:szCs w:val="16"/>
        </w:rPr>
        <w:t>II linii</w:t>
      </w:r>
      <w:r w:rsidRPr="000A6485">
        <w:rPr>
          <w:rFonts w:ascii="Verdana" w:hAnsi="Verdana"/>
          <w:sz w:val="16"/>
          <w:szCs w:val="16"/>
        </w:rPr>
        <w:t xml:space="preserve"> metra </w:t>
      </w:r>
      <w:r>
        <w:rPr>
          <w:rFonts w:ascii="Verdana" w:hAnsi="Verdana"/>
          <w:sz w:val="16"/>
          <w:szCs w:val="16"/>
        </w:rPr>
        <w:t xml:space="preserve">wraz z zakupem taboru w łącznej kwocie </w:t>
      </w:r>
      <w:r>
        <w:rPr>
          <w:rFonts w:ascii="Verdana" w:hAnsi="Verdana"/>
          <w:b/>
          <w:sz w:val="16"/>
          <w:szCs w:val="16"/>
        </w:rPr>
        <w:t>1,349 mld</w:t>
      </w:r>
      <w:r w:rsidRPr="000A6485">
        <w:rPr>
          <w:rFonts w:ascii="Verdana" w:hAnsi="Verdana"/>
          <w:b/>
          <w:sz w:val="16"/>
          <w:szCs w:val="16"/>
        </w:rPr>
        <w:t xml:space="preserve"> zł</w:t>
      </w:r>
      <w:r>
        <w:rPr>
          <w:rFonts w:ascii="Verdana" w:hAnsi="Verdana"/>
          <w:sz w:val="16"/>
          <w:szCs w:val="16"/>
        </w:rPr>
        <w:t xml:space="preserve"> w latach 2022</w:t>
      </w:r>
      <w:r w:rsidRPr="000A6485">
        <w:rPr>
          <w:rFonts w:ascii="Verdana" w:hAnsi="Verdana"/>
          <w:sz w:val="16"/>
          <w:szCs w:val="16"/>
        </w:rPr>
        <w:t>-202</w:t>
      </w:r>
      <w:r>
        <w:rPr>
          <w:rFonts w:ascii="Verdana" w:hAnsi="Verdana"/>
          <w:sz w:val="16"/>
          <w:szCs w:val="16"/>
        </w:rPr>
        <w:t xml:space="preserve">4, w tym dofinansowanie unijne o wartości </w:t>
      </w:r>
      <w:r>
        <w:rPr>
          <w:rFonts w:ascii="Verdana" w:hAnsi="Verdana"/>
          <w:b/>
          <w:sz w:val="16"/>
          <w:szCs w:val="16"/>
        </w:rPr>
        <w:t>871 mln zł</w:t>
      </w:r>
      <w:r>
        <w:rPr>
          <w:rFonts w:ascii="Verdana" w:hAnsi="Verdana"/>
          <w:sz w:val="16"/>
          <w:szCs w:val="16"/>
        </w:rPr>
        <w:t xml:space="preserve"> (</w:t>
      </w:r>
      <w:r w:rsidRPr="0080100C">
        <w:rPr>
          <w:rFonts w:ascii="Verdana" w:hAnsi="Verdana"/>
          <w:sz w:val="16"/>
          <w:szCs w:val="16"/>
        </w:rPr>
        <w:t>odcinek zachodni: od szlaku za stacją "Rondo Daszyńskiego" do stacji "Księcia Janusza"</w:t>
      </w:r>
      <w:r>
        <w:rPr>
          <w:rFonts w:ascii="Verdana" w:hAnsi="Verdana"/>
          <w:sz w:val="16"/>
          <w:szCs w:val="16"/>
        </w:rPr>
        <w:t xml:space="preserve"> i </w:t>
      </w:r>
      <w:r w:rsidRPr="0080100C">
        <w:rPr>
          <w:rFonts w:ascii="Verdana" w:hAnsi="Verdana"/>
          <w:sz w:val="16"/>
          <w:szCs w:val="16"/>
        </w:rPr>
        <w:t>odcinek wschodni - północny: od szlaku za stacją "Dworzec Wileński" do stacji "Targówek 2"</w:t>
      </w:r>
      <w:r>
        <w:rPr>
          <w:rFonts w:ascii="Verdana" w:hAnsi="Verdana"/>
          <w:sz w:val="16"/>
          <w:szCs w:val="16"/>
        </w:rPr>
        <w:t xml:space="preserve"> oraz </w:t>
      </w:r>
      <w:r w:rsidRPr="00B960D3">
        <w:rPr>
          <w:rFonts w:ascii="Verdana" w:hAnsi="Verdana"/>
          <w:sz w:val="16"/>
          <w:szCs w:val="16"/>
        </w:rPr>
        <w:t>kontynuacja budowy odcinka zachodniego od szlaku za stacją "Księcia Janusza" do stacji "Powstańców Śląskich"</w:t>
      </w:r>
      <w:r>
        <w:rPr>
          <w:rFonts w:ascii="Verdana" w:hAnsi="Verdana"/>
          <w:sz w:val="16"/>
          <w:szCs w:val="16"/>
        </w:rPr>
        <w:t xml:space="preserve"> i</w:t>
      </w:r>
      <w:r w:rsidRPr="000A6485">
        <w:rPr>
          <w:rFonts w:ascii="Verdana" w:hAnsi="Verdana"/>
          <w:sz w:val="16"/>
          <w:szCs w:val="16"/>
        </w:rPr>
        <w:t xml:space="preserve"> </w:t>
      </w:r>
      <w:r w:rsidRPr="00B960D3">
        <w:rPr>
          <w:rFonts w:ascii="Verdana" w:hAnsi="Verdana"/>
          <w:sz w:val="16"/>
          <w:szCs w:val="16"/>
        </w:rPr>
        <w:t>dokończenie budowy odcinka wschodnie</w:t>
      </w:r>
      <w:r>
        <w:rPr>
          <w:rFonts w:ascii="Verdana" w:hAnsi="Verdana"/>
          <w:sz w:val="16"/>
          <w:szCs w:val="16"/>
        </w:rPr>
        <w:t>go - północnego II linii metra - do stacji "Bródno").</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sz w:val="16"/>
          <w:szCs w:val="16"/>
        </w:rPr>
        <w:t>Koncentracja nakładów inwestycyjnych zakładana jest na lata objęte perspektywą finansową Unii Europejskiej</w:t>
      </w:r>
      <w:r>
        <w:rPr>
          <w:rFonts w:ascii="Verdana" w:hAnsi="Verdana"/>
          <w:sz w:val="16"/>
          <w:szCs w:val="16"/>
        </w:rPr>
        <w:t xml:space="preserve"> na lata 2014-2020</w:t>
      </w:r>
      <w:r w:rsidRPr="000A6485">
        <w:rPr>
          <w:rFonts w:ascii="Verdana" w:hAnsi="Verdana"/>
          <w:sz w:val="16"/>
          <w:szCs w:val="16"/>
        </w:rPr>
        <w:t>,</w:t>
      </w:r>
      <w:r>
        <w:rPr>
          <w:rFonts w:ascii="Verdana" w:hAnsi="Verdana"/>
          <w:sz w:val="16"/>
          <w:szCs w:val="16"/>
        </w:rPr>
        <w:t xml:space="preserve"> z rozliczeniem środków do roku 2025</w:t>
      </w:r>
      <w:r w:rsidRPr="000A6485">
        <w:rPr>
          <w:rFonts w:ascii="Verdana" w:hAnsi="Verdana"/>
          <w:sz w:val="16"/>
          <w:szCs w:val="16"/>
        </w:rPr>
        <w:t>. W okresie tym planuje się realizację szeregu kluczowych programów i inwestycji, tj.:</w:t>
      </w:r>
    </w:p>
    <w:p w:rsidR="007F07DD" w:rsidRPr="000A6485" w:rsidRDefault="007F07DD" w:rsidP="007F07DD">
      <w:pPr>
        <w:spacing w:before="60" w:after="60"/>
        <w:jc w:val="both"/>
        <w:rPr>
          <w:rFonts w:ascii="Verdana" w:hAnsi="Verdana"/>
          <w:i/>
          <w:sz w:val="16"/>
          <w:szCs w:val="16"/>
        </w:rPr>
      </w:pPr>
      <w:r w:rsidRPr="000A6485">
        <w:rPr>
          <w:rFonts w:ascii="Verdana" w:hAnsi="Verdana"/>
          <w:i/>
          <w:sz w:val="16"/>
          <w:szCs w:val="16"/>
        </w:rPr>
        <w:t>programy</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„Walka ze smogiem”,</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przebudowa, rozbudowa lub modernizacja ulic,</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program poprawy bezpieczeństwa ruchu drogowego,</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budowa i modernizacja zasobu komunalnego (nowe budynki komunalne, doposażenie w ciepło sieciowe, windy, rewitalizacja i modernizacja istniejącego zasobu),</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budowa, przebudowa lub modernizacja żłobków, przedszkoli i szkół,</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rozwój infrastruktury w zakresie opieki społecznej,</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lastRenderedPageBreak/>
        <w:t>przebudowa, rozbudowa lub modernizacja szpitali i przychodni,</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budowa centrów lokalnych – bazary, skwery, centra kulturalne,</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 xml:space="preserve">tworzenie i rewitalizacja terenów zieleni oraz miejsc sportu i rekreacji, </w:t>
      </w:r>
    </w:p>
    <w:p w:rsidR="007F07DD" w:rsidRPr="000A6485" w:rsidRDefault="007F07DD" w:rsidP="007F07DD">
      <w:pPr>
        <w:pStyle w:val="Akapitzlist"/>
        <w:spacing w:before="60" w:after="60"/>
        <w:ind w:left="0"/>
        <w:contextualSpacing w:val="0"/>
        <w:jc w:val="both"/>
        <w:rPr>
          <w:rFonts w:ascii="Verdana" w:hAnsi="Verdana" w:cs="Arial"/>
          <w:i/>
          <w:iCs/>
          <w:sz w:val="16"/>
          <w:szCs w:val="16"/>
        </w:rPr>
      </w:pPr>
      <w:r w:rsidRPr="000A6485">
        <w:rPr>
          <w:rFonts w:ascii="Verdana" w:hAnsi="Verdana" w:cs="Arial"/>
          <w:i/>
          <w:iCs/>
          <w:sz w:val="16"/>
          <w:szCs w:val="16"/>
        </w:rPr>
        <w:t>inwestycje</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rozbudowa II linii metra,</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budowa Szpitala Południowego,</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budowa Muzeum Sztuki Nowoczesnej,</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 xml:space="preserve">budowa Teatru Rozmaitości, </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 xml:space="preserve">Europejskie Centrum Muzyki </w:t>
      </w:r>
      <w:proofErr w:type="spellStart"/>
      <w:r w:rsidRPr="000A6485">
        <w:rPr>
          <w:rFonts w:ascii="Verdana" w:hAnsi="Verdana" w:cs="Arial"/>
          <w:iCs/>
          <w:sz w:val="16"/>
          <w:szCs w:val="16"/>
        </w:rPr>
        <w:t>Sinfonia</w:t>
      </w:r>
      <w:proofErr w:type="spellEnd"/>
      <w:r w:rsidRPr="000A6485">
        <w:rPr>
          <w:rFonts w:ascii="Verdana" w:hAnsi="Verdana" w:cs="Arial"/>
          <w:iCs/>
          <w:sz w:val="16"/>
          <w:szCs w:val="16"/>
        </w:rPr>
        <w:t xml:space="preserve"> </w:t>
      </w:r>
      <w:proofErr w:type="spellStart"/>
      <w:r w:rsidRPr="000A6485">
        <w:rPr>
          <w:rFonts w:ascii="Verdana" w:hAnsi="Verdana" w:cs="Arial"/>
          <w:iCs/>
          <w:sz w:val="16"/>
          <w:szCs w:val="16"/>
        </w:rPr>
        <w:t>Varsovia</w:t>
      </w:r>
      <w:proofErr w:type="spellEnd"/>
      <w:r w:rsidRPr="000A6485">
        <w:rPr>
          <w:rFonts w:ascii="Verdana" w:hAnsi="Verdana" w:cs="Arial"/>
          <w:iCs/>
          <w:sz w:val="16"/>
          <w:szCs w:val="16"/>
        </w:rPr>
        <w:t xml:space="preserve"> - modernizacja zabytkowych obiektów oraz budowa sali koncertowej,</w:t>
      </w:r>
    </w:p>
    <w:p w:rsidR="007F07DD" w:rsidRPr="000A6485" w:rsidRDefault="007F07DD" w:rsidP="007F07DD">
      <w:pPr>
        <w:pStyle w:val="Akapitzlist"/>
        <w:numPr>
          <w:ilvl w:val="0"/>
          <w:numId w:val="27"/>
        </w:numPr>
        <w:spacing w:before="60" w:after="60"/>
        <w:ind w:left="567" w:hanging="207"/>
        <w:contextualSpacing w:val="0"/>
        <w:jc w:val="both"/>
        <w:rPr>
          <w:rFonts w:ascii="Verdana" w:hAnsi="Verdana" w:cs="Arial"/>
          <w:iCs/>
          <w:sz w:val="16"/>
          <w:szCs w:val="16"/>
        </w:rPr>
      </w:pPr>
      <w:r w:rsidRPr="000A6485">
        <w:rPr>
          <w:rFonts w:ascii="Verdana" w:hAnsi="Verdana" w:cs="Arial"/>
          <w:iCs/>
          <w:sz w:val="16"/>
          <w:szCs w:val="16"/>
        </w:rPr>
        <w:t>utworzenie Pracowni Przewrotu Kopernikańskiego w ramach działalności Centrum Nauki Kopernik.</w:t>
      </w:r>
    </w:p>
    <w:p w:rsidR="007F07DD" w:rsidRPr="000A6485" w:rsidRDefault="007F07DD" w:rsidP="007F07DD">
      <w:pPr>
        <w:spacing w:before="60" w:after="60"/>
        <w:ind w:firstLine="540"/>
        <w:jc w:val="both"/>
        <w:rPr>
          <w:rFonts w:ascii="Verdana" w:hAnsi="Verdana" w:cs="Arial"/>
          <w:sz w:val="16"/>
          <w:szCs w:val="16"/>
        </w:rPr>
      </w:pPr>
      <w:r w:rsidRPr="000A6485">
        <w:rPr>
          <w:rFonts w:ascii="Verdana" w:hAnsi="Verdana" w:cs="Arial"/>
          <w:sz w:val="16"/>
          <w:szCs w:val="16"/>
        </w:rPr>
        <w:t>Przedsięwzięcia inwestycyjne zostały zaprezentowane w układzie programów obejmujących przedsięwzięcia ogólnomiejskie realizowane przez jednostki miejskie i biura Urzędu m.st. Warszawy oraz przedsięwzięcia dzielnicowe, zaplanowane i rekomendowane do realizacji (w ramach przyznanych limitów finansowych) przez zarządy i rady poszczególnych dzielnic.</w:t>
      </w:r>
    </w:p>
    <w:p w:rsidR="007F07DD" w:rsidRPr="000A6485" w:rsidRDefault="007F07DD" w:rsidP="007F07DD">
      <w:pPr>
        <w:spacing w:before="60" w:after="60"/>
        <w:ind w:firstLine="540"/>
        <w:jc w:val="both"/>
        <w:rPr>
          <w:rFonts w:ascii="Verdana" w:hAnsi="Verdana" w:cs="Arial"/>
          <w:sz w:val="18"/>
          <w:szCs w:val="18"/>
        </w:rPr>
      </w:pPr>
      <w:r w:rsidRPr="000A6485">
        <w:rPr>
          <w:rFonts w:ascii="Verdana" w:hAnsi="Verdana" w:cs="Arial"/>
          <w:sz w:val="16"/>
          <w:szCs w:val="16"/>
        </w:rPr>
        <w:t>W dokumencie ujęto przedsięwzięcia realizowane i planowane do realizacji przy współfinansowaniu środkami Unii Europejskiej oraz innych źródeł pomocowych.</w:t>
      </w:r>
      <w:r w:rsidRPr="000A6485">
        <w:rPr>
          <w:rFonts w:ascii="Verdana" w:hAnsi="Verdana" w:cs="Arial"/>
          <w:sz w:val="18"/>
          <w:szCs w:val="18"/>
        </w:rPr>
        <w:t xml:space="preserve">  </w:t>
      </w:r>
    </w:p>
    <w:p w:rsidR="007F07DD" w:rsidRDefault="007F07DD" w:rsidP="007F07DD">
      <w:pPr>
        <w:spacing w:before="120" w:after="120"/>
        <w:ind w:firstLine="540"/>
        <w:jc w:val="both"/>
        <w:rPr>
          <w:rFonts w:ascii="Verdana" w:hAnsi="Verdana" w:cs="Arial"/>
          <w:sz w:val="18"/>
          <w:szCs w:val="18"/>
        </w:rPr>
      </w:pPr>
    </w:p>
    <w:p w:rsidR="007F07DD" w:rsidRPr="000A6485" w:rsidRDefault="007F07DD" w:rsidP="007F07DD">
      <w:pPr>
        <w:spacing w:before="240" w:after="240" w:line="240" w:lineRule="auto"/>
        <w:ind w:left="425" w:hanging="425"/>
        <w:rPr>
          <w:rFonts w:ascii="Verdana" w:hAnsi="Verdana"/>
          <w:b/>
          <w:bCs/>
          <w:sz w:val="22"/>
          <w:szCs w:val="22"/>
        </w:rPr>
      </w:pPr>
      <w:r w:rsidRPr="000A6485">
        <w:rPr>
          <w:rFonts w:ascii="Verdana" w:hAnsi="Verdana"/>
          <w:b/>
          <w:bCs/>
          <w:sz w:val="22"/>
          <w:szCs w:val="22"/>
        </w:rPr>
        <w:t xml:space="preserve">8.  Wypełnienie ustawowych norm ostrożnościowych </w:t>
      </w:r>
      <w:r w:rsidRPr="000A6485">
        <w:rPr>
          <w:rFonts w:ascii="Verdana" w:hAnsi="Verdana"/>
          <w:b/>
          <w:bCs/>
          <w:sz w:val="22"/>
          <w:szCs w:val="22"/>
        </w:rPr>
        <w:br/>
        <w:t>w Wieloletniej Prognoz</w:t>
      </w:r>
      <w:r>
        <w:rPr>
          <w:rFonts w:ascii="Verdana" w:hAnsi="Verdana"/>
          <w:b/>
          <w:bCs/>
          <w:sz w:val="22"/>
          <w:szCs w:val="22"/>
        </w:rPr>
        <w:t>ie</w:t>
      </w:r>
      <w:r w:rsidRPr="000A6485">
        <w:rPr>
          <w:rFonts w:ascii="Verdana" w:hAnsi="Verdana"/>
          <w:b/>
          <w:bCs/>
          <w:sz w:val="22"/>
          <w:szCs w:val="22"/>
        </w:rPr>
        <w:t xml:space="preserve"> Finansowej m.st. Warszawy </w:t>
      </w:r>
      <w:r w:rsidRPr="000A6485">
        <w:rPr>
          <w:rFonts w:ascii="Verdana" w:hAnsi="Verdana"/>
          <w:b/>
          <w:bCs/>
          <w:sz w:val="22"/>
          <w:szCs w:val="22"/>
        </w:rPr>
        <w:br/>
      </w:r>
      <w:r>
        <w:rPr>
          <w:rFonts w:ascii="Verdana" w:hAnsi="Verdana"/>
          <w:b/>
          <w:bCs/>
          <w:sz w:val="22"/>
          <w:szCs w:val="22"/>
        </w:rPr>
        <w:t xml:space="preserve">na lata </w:t>
      </w:r>
      <w:r w:rsidRPr="0090283F">
        <w:rPr>
          <w:rFonts w:ascii="Verdana" w:hAnsi="Verdana"/>
          <w:b/>
          <w:bCs/>
          <w:sz w:val="22"/>
          <w:szCs w:val="22"/>
        </w:rPr>
        <w:t>2022</w:t>
      </w:r>
      <w:r w:rsidRPr="000A6485">
        <w:rPr>
          <w:rFonts w:ascii="Verdana" w:hAnsi="Verdana"/>
          <w:b/>
          <w:bCs/>
          <w:sz w:val="22"/>
          <w:szCs w:val="22"/>
        </w:rPr>
        <w:t>-2050</w:t>
      </w:r>
    </w:p>
    <w:p w:rsidR="007F07DD" w:rsidRPr="000A6485" w:rsidRDefault="007F07DD" w:rsidP="007F07DD">
      <w:pPr>
        <w:spacing w:before="120" w:after="120"/>
        <w:rPr>
          <w:rFonts w:ascii="Verdana" w:hAnsi="Verdana"/>
          <w:b/>
          <w:bCs/>
          <w:sz w:val="20"/>
          <w:szCs w:val="20"/>
        </w:rPr>
      </w:pPr>
      <w:r w:rsidRPr="000A6485">
        <w:rPr>
          <w:rFonts w:ascii="Verdana" w:hAnsi="Verdana"/>
          <w:b/>
          <w:bCs/>
          <w:sz w:val="20"/>
          <w:szCs w:val="20"/>
        </w:rPr>
        <w:t>8.1 Reguła wydatkowa w zakresie wydatków bieżących</w:t>
      </w:r>
    </w:p>
    <w:p w:rsidR="007F07DD" w:rsidRPr="000A6485" w:rsidRDefault="007F07DD" w:rsidP="007F07DD">
      <w:pPr>
        <w:spacing w:before="60" w:after="60"/>
        <w:ind w:firstLine="567"/>
        <w:jc w:val="both"/>
        <w:rPr>
          <w:rFonts w:ascii="Verdana" w:hAnsi="Verdana"/>
          <w:sz w:val="16"/>
          <w:szCs w:val="16"/>
        </w:rPr>
      </w:pPr>
      <w:r w:rsidRPr="000A6485">
        <w:rPr>
          <w:rFonts w:ascii="Verdana" w:hAnsi="Verdana" w:cs="Arial"/>
          <w:bCs/>
          <w:sz w:val="16"/>
          <w:szCs w:val="16"/>
        </w:rPr>
        <w:t>Szczegółowo reguła została omówiona w pkt 4.1.1.</w:t>
      </w:r>
    </w:p>
    <w:p w:rsidR="007F07DD" w:rsidRDefault="007F07DD" w:rsidP="007F07DD">
      <w:pPr>
        <w:spacing w:before="60" w:after="60"/>
        <w:jc w:val="both"/>
        <w:rPr>
          <w:rFonts w:ascii="Verdana" w:hAnsi="Verdana"/>
          <w:sz w:val="16"/>
          <w:szCs w:val="16"/>
        </w:rPr>
      </w:pPr>
      <w:r w:rsidRPr="008F0E66">
        <w:rPr>
          <w:rFonts w:ascii="Verdana" w:hAnsi="Verdana" w:cs="Arial"/>
          <w:sz w:val="16"/>
          <w:szCs w:val="16"/>
        </w:rPr>
        <w:t>U</w:t>
      </w:r>
      <w:r w:rsidRPr="008F0E66">
        <w:rPr>
          <w:rFonts w:ascii="Verdana" w:hAnsi="Verdana"/>
          <w:sz w:val="16"/>
          <w:szCs w:val="16"/>
        </w:rPr>
        <w:t xml:space="preserve">stawa o finansach publicznych w art. 242 ustanawia rygor finansowy polegający na tym, że </w:t>
      </w:r>
      <w:r w:rsidRPr="008F0E66">
        <w:rPr>
          <w:rFonts w:ascii="Verdana" w:hAnsi="Verdana"/>
          <w:b/>
          <w:sz w:val="16"/>
          <w:szCs w:val="16"/>
        </w:rPr>
        <w:t>w danym roku budżetowym jednostka samorządu terytorialnego nie może planować większych wydatków bieżących niż dochody bieżące</w:t>
      </w:r>
      <w:r w:rsidRPr="008F0E66">
        <w:rPr>
          <w:rFonts w:ascii="Verdana" w:hAnsi="Verdana"/>
          <w:sz w:val="16"/>
          <w:szCs w:val="16"/>
        </w:rPr>
        <w:t xml:space="preserve"> powiększone o </w:t>
      </w:r>
      <w:r w:rsidRPr="008F0E66">
        <w:rPr>
          <w:rFonts w:ascii="Verdana" w:hAnsi="Verdana"/>
          <w:b/>
          <w:sz w:val="16"/>
          <w:szCs w:val="16"/>
        </w:rPr>
        <w:t>nadwyżki budżetu z lat ubiegłych</w:t>
      </w:r>
      <w:r w:rsidRPr="008F0E66">
        <w:rPr>
          <w:rFonts w:ascii="Verdana" w:hAnsi="Verdana"/>
          <w:sz w:val="16"/>
          <w:szCs w:val="16"/>
        </w:rPr>
        <w:t xml:space="preserve">, w tym niewykorzystane środki pieniężne na rachunku bieżącym budżetu, wynikające z rozliczenia dochodów i wydatków nimi finansowanych związanych ze szczególnymi zasadami wykonywania budżetu określonymi w odrębnych ustawach i wynikające </w:t>
      </w:r>
      <w:r>
        <w:rPr>
          <w:rFonts w:ascii="Verdana" w:hAnsi="Verdana"/>
          <w:sz w:val="16"/>
          <w:szCs w:val="16"/>
        </w:rPr>
        <w:br/>
      </w:r>
      <w:r w:rsidRPr="008F0E66">
        <w:rPr>
          <w:rFonts w:ascii="Verdana" w:hAnsi="Verdana"/>
          <w:sz w:val="16"/>
          <w:szCs w:val="16"/>
        </w:rPr>
        <w:t xml:space="preserve">z rozliczenia środków unijnych oraz </w:t>
      </w:r>
      <w:r w:rsidRPr="008F0E66">
        <w:rPr>
          <w:rFonts w:ascii="Verdana" w:hAnsi="Verdana"/>
          <w:b/>
          <w:sz w:val="16"/>
          <w:szCs w:val="16"/>
        </w:rPr>
        <w:t>spłaty udzielonych pożyczek w latach ubiegłych</w:t>
      </w:r>
      <w:r w:rsidRPr="008F0E66">
        <w:rPr>
          <w:rFonts w:ascii="Verdana" w:hAnsi="Verdana"/>
          <w:sz w:val="16"/>
          <w:szCs w:val="16"/>
        </w:rPr>
        <w:t>.</w:t>
      </w:r>
    </w:p>
    <w:p w:rsidR="007F07DD" w:rsidRPr="008F0E66" w:rsidRDefault="007F07DD" w:rsidP="007F07DD">
      <w:pPr>
        <w:spacing w:before="60" w:after="60"/>
        <w:jc w:val="both"/>
        <w:rPr>
          <w:rFonts w:ascii="Verdana" w:hAnsi="Verdana"/>
          <w:sz w:val="16"/>
          <w:szCs w:val="16"/>
        </w:rPr>
      </w:pPr>
      <w:r>
        <w:rPr>
          <w:rFonts w:ascii="Verdana" w:hAnsi="Verdana" w:cs="Arial"/>
          <w:sz w:val="16"/>
          <w:szCs w:val="16"/>
        </w:rPr>
        <w:t>Dodatkowo w myśl art. 9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(Dz.U. </w:t>
      </w:r>
      <w:r w:rsidRPr="00E7313D">
        <w:rPr>
          <w:rFonts w:ascii="Verdana" w:hAnsi="Verdana" w:cs="Arial"/>
          <w:sz w:val="16"/>
          <w:szCs w:val="16"/>
        </w:rPr>
        <w:t>poz. 1927)</w:t>
      </w:r>
      <w:r>
        <w:rPr>
          <w:rFonts w:ascii="Verdana" w:hAnsi="Verdana" w:cs="Arial"/>
          <w:sz w:val="16"/>
          <w:szCs w:val="16"/>
        </w:rPr>
        <w:t xml:space="preserve"> </w:t>
      </w:r>
      <w:r w:rsidRPr="00016858">
        <w:rPr>
          <w:rFonts w:ascii="Verdana" w:hAnsi="Verdana" w:cs="Arial"/>
          <w:b/>
          <w:sz w:val="16"/>
          <w:szCs w:val="16"/>
        </w:rPr>
        <w:t>l</w:t>
      </w:r>
      <w:r w:rsidRPr="00016858">
        <w:rPr>
          <w:rFonts w:ascii="Verdana" w:hAnsi="Verdana"/>
          <w:b/>
          <w:iCs/>
          <w:sz w:val="16"/>
          <w:szCs w:val="16"/>
        </w:rPr>
        <w:t>imit wydatk</w:t>
      </w:r>
      <w:r>
        <w:rPr>
          <w:rFonts w:ascii="Verdana" w:hAnsi="Verdana"/>
          <w:b/>
          <w:iCs/>
          <w:sz w:val="16"/>
          <w:szCs w:val="16"/>
        </w:rPr>
        <w:t xml:space="preserve">ów bieżących w 2022 r. </w:t>
      </w:r>
      <w:r w:rsidRPr="00016858">
        <w:rPr>
          <w:rFonts w:ascii="Verdana" w:hAnsi="Verdana"/>
          <w:b/>
          <w:iCs/>
          <w:sz w:val="16"/>
          <w:szCs w:val="16"/>
        </w:rPr>
        <w:t>zostaje podwyższony o kwotę tzw. wolnych środków</w:t>
      </w:r>
      <w:r>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016858">
        <w:rPr>
          <w:rFonts w:ascii="Verdana" w:hAnsi="Verdana"/>
          <w:b/>
          <w:iCs/>
          <w:sz w:val="16"/>
          <w:szCs w:val="16"/>
        </w:rPr>
        <w:t>badanie spełnienia reguły będzie prowadzone łącznie dla lat 2022-2025</w:t>
      </w:r>
      <w:r>
        <w:rPr>
          <w:rFonts w:ascii="Verdana" w:hAnsi="Verdana"/>
          <w:iCs/>
          <w:sz w:val="16"/>
          <w:szCs w:val="16"/>
        </w:rPr>
        <w:t xml:space="preserve">, co oznacza że niespełnienie reguły w danym roku lub latach musi zostać co najmniej skompensowane nadwyżkami wygenerowanymi </w:t>
      </w:r>
      <w:r>
        <w:rPr>
          <w:rFonts w:ascii="Verdana" w:hAnsi="Verdana"/>
          <w:iCs/>
          <w:sz w:val="16"/>
          <w:szCs w:val="16"/>
        </w:rPr>
        <w:br/>
        <w:t>w pozostałym okresie rozliczeniowym obejmującym lata 2022-2025</w:t>
      </w:r>
    </w:p>
    <w:p w:rsidR="007F07DD" w:rsidRPr="000A6485" w:rsidRDefault="007F07DD" w:rsidP="007F07DD">
      <w:pPr>
        <w:spacing w:before="60" w:after="60"/>
        <w:jc w:val="both"/>
        <w:rPr>
          <w:rFonts w:ascii="Verdana" w:hAnsi="Verdana"/>
          <w:sz w:val="16"/>
          <w:szCs w:val="16"/>
        </w:rPr>
      </w:pPr>
      <w:r>
        <w:rPr>
          <w:rFonts w:ascii="Verdana" w:hAnsi="Verdana" w:cs="Verdana"/>
          <w:sz w:val="16"/>
          <w:szCs w:val="16"/>
        </w:rPr>
        <w:t xml:space="preserve">Z uwagi na założone stopniowe dostosowania budżetowe do ograniczonych dochodów, na 2022 r. przewidziano wystąpienie </w:t>
      </w:r>
      <w:r w:rsidRPr="00474DCE">
        <w:rPr>
          <w:rFonts w:ascii="Verdana" w:hAnsi="Verdana" w:cs="Verdana"/>
          <w:b/>
          <w:sz w:val="16"/>
          <w:szCs w:val="16"/>
        </w:rPr>
        <w:t>deficytu operacyjnego</w:t>
      </w:r>
      <w:r>
        <w:rPr>
          <w:rFonts w:ascii="Verdana" w:hAnsi="Verdana" w:cs="Verdana"/>
          <w:b/>
          <w:sz w:val="16"/>
          <w:szCs w:val="16"/>
        </w:rPr>
        <w:t xml:space="preserve"> w kwocie</w:t>
      </w:r>
      <w:r>
        <w:rPr>
          <w:rFonts w:ascii="Verdana" w:hAnsi="Verdana" w:cs="Verdana"/>
          <w:sz w:val="16"/>
          <w:szCs w:val="16"/>
        </w:rPr>
        <w:t xml:space="preserve"> </w:t>
      </w:r>
      <w:r>
        <w:rPr>
          <w:rFonts w:ascii="Verdana" w:hAnsi="Verdana" w:cs="Verdana"/>
          <w:b/>
          <w:sz w:val="16"/>
          <w:szCs w:val="16"/>
        </w:rPr>
        <w:t xml:space="preserve">231 </w:t>
      </w:r>
      <w:r w:rsidRPr="00474DCE">
        <w:rPr>
          <w:rFonts w:ascii="Verdana" w:hAnsi="Verdana" w:cs="Verdana"/>
          <w:b/>
          <w:sz w:val="16"/>
          <w:szCs w:val="16"/>
        </w:rPr>
        <w:t>mln zł</w:t>
      </w:r>
      <w:r>
        <w:rPr>
          <w:rFonts w:ascii="Verdana" w:hAnsi="Verdana" w:cs="Verdana"/>
          <w:sz w:val="16"/>
          <w:szCs w:val="16"/>
        </w:rPr>
        <w:t xml:space="preserve">, oznaczającego nierównowagę dochodów bieżących i wydatków bieżących, na poziomie </w:t>
      </w:r>
      <w:r>
        <w:rPr>
          <w:rFonts w:ascii="Verdana" w:hAnsi="Verdana" w:cs="Verdana"/>
          <w:b/>
          <w:sz w:val="16"/>
          <w:szCs w:val="16"/>
        </w:rPr>
        <w:t>1,25%</w:t>
      </w:r>
      <w:r>
        <w:rPr>
          <w:rFonts w:ascii="Verdana" w:hAnsi="Verdana" w:cs="Verdana"/>
          <w:sz w:val="16"/>
          <w:szCs w:val="16"/>
        </w:rPr>
        <w:t xml:space="preserve">, natomiast w kwestii formalnej zmienione przepisy ustawowe pozwalają na pokrycie w 2022 r. deficytu operacyjnego tzw. wolnymi środkami. W kolejnych latach zgodnie </w:t>
      </w:r>
      <w:r>
        <w:rPr>
          <w:rFonts w:ascii="Verdana" w:hAnsi="Verdana" w:cs="Verdana"/>
          <w:sz w:val="16"/>
          <w:szCs w:val="16"/>
        </w:rPr>
        <w:br/>
        <w:t xml:space="preserve">z WPF 2022-2050 przewiduje się powrót do generowania nadwyżek operacyjnych. </w:t>
      </w:r>
      <w:r w:rsidRPr="000A6485">
        <w:rPr>
          <w:rFonts w:ascii="Verdana" w:hAnsi="Verdana"/>
          <w:sz w:val="16"/>
          <w:szCs w:val="16"/>
        </w:rPr>
        <w:t xml:space="preserve">W miarę upływu czasu zakłada się sukcesywny wzrost dodatniego wyniku operacyjnego brutto (dochody bieżące przewyższające wydatki </w:t>
      </w:r>
      <w:r w:rsidRPr="000A6485">
        <w:rPr>
          <w:rFonts w:ascii="Verdana" w:hAnsi="Verdana"/>
          <w:sz w:val="16"/>
          <w:szCs w:val="16"/>
        </w:rPr>
        <w:lastRenderedPageBreak/>
        <w:t>bieżące), zarówno w ujęciu nominalnym, jak i względnym w relacji do dochodów bieżących. Systematyczny wzrost nadwyżki budżetowej wiąże się m.in. ze spadkiem kosztów obsługi zadłużenia w miarę spłaty długu.</w:t>
      </w:r>
    </w:p>
    <w:p w:rsidR="007F07DD" w:rsidRPr="000A6485" w:rsidRDefault="007F07DD" w:rsidP="007F07DD">
      <w:pPr>
        <w:tabs>
          <w:tab w:val="left" w:pos="0"/>
        </w:tabs>
        <w:spacing w:before="60" w:after="60"/>
        <w:ind w:firstLine="567"/>
        <w:jc w:val="both"/>
        <w:rPr>
          <w:rFonts w:ascii="Verdana" w:hAnsi="Verdana" w:cs="Arial"/>
          <w:sz w:val="18"/>
          <w:szCs w:val="18"/>
        </w:rPr>
      </w:pPr>
      <w:r w:rsidRPr="000A6485">
        <w:rPr>
          <w:rFonts w:ascii="Verdana" w:hAnsi="Verdana" w:cs="Arial"/>
          <w:sz w:val="16"/>
          <w:szCs w:val="16"/>
        </w:rPr>
        <w:t xml:space="preserve">Wykres </w:t>
      </w:r>
      <w:r>
        <w:rPr>
          <w:rFonts w:ascii="Verdana" w:hAnsi="Verdana" w:cs="Arial"/>
          <w:sz w:val="16"/>
          <w:szCs w:val="16"/>
        </w:rPr>
        <w:t>nr 35</w:t>
      </w:r>
      <w:r w:rsidRPr="000A6485">
        <w:rPr>
          <w:rFonts w:ascii="Verdana" w:hAnsi="Verdana" w:cs="Arial"/>
          <w:sz w:val="16"/>
          <w:szCs w:val="16"/>
        </w:rPr>
        <w:t xml:space="preserve"> prezentuje prognozę kształtowania się reguły wydatkowej w zakresie wydatków bieżących w perspektywie objętej W</w:t>
      </w:r>
      <w:r>
        <w:rPr>
          <w:rFonts w:ascii="Verdana" w:hAnsi="Verdana" w:cs="Arial"/>
          <w:sz w:val="16"/>
          <w:szCs w:val="16"/>
        </w:rPr>
        <w:t xml:space="preserve">PF </w:t>
      </w:r>
      <w:r w:rsidRPr="0090283F">
        <w:rPr>
          <w:rFonts w:ascii="Verdana" w:eastAsiaTheme="minorEastAsia" w:hAnsi="Verdana" w:cs="Verdana"/>
          <w:color w:val="000000"/>
          <w:sz w:val="16"/>
          <w:szCs w:val="16"/>
        </w:rPr>
        <w:t>2022</w:t>
      </w:r>
      <w:r w:rsidRPr="000A6485">
        <w:rPr>
          <w:rFonts w:ascii="Verdana" w:hAnsi="Verdana" w:cs="Arial"/>
          <w:sz w:val="16"/>
          <w:szCs w:val="16"/>
        </w:rPr>
        <w:t>-2050.</w:t>
      </w:r>
    </w:p>
    <w:p w:rsidR="007F07DD" w:rsidRPr="000A6485" w:rsidRDefault="007F07DD" w:rsidP="007F07DD">
      <w:pPr>
        <w:tabs>
          <w:tab w:val="left" w:pos="0"/>
        </w:tabs>
        <w:spacing w:before="120" w:after="60" w:line="240" w:lineRule="auto"/>
        <w:rPr>
          <w:noProof/>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35</w:t>
      </w:r>
      <w:r w:rsidRPr="000A6485">
        <w:rPr>
          <w:rFonts w:ascii="Verdana" w:hAnsi="Verdana" w:cs="Arial"/>
          <w:b/>
          <w:bCs/>
          <w:sz w:val="14"/>
          <w:szCs w:val="14"/>
        </w:rPr>
        <w:fldChar w:fldCharType="end"/>
      </w:r>
      <w:r w:rsidRPr="000A6485">
        <w:rPr>
          <w:rFonts w:ascii="Verdana" w:hAnsi="Verdana" w:cs="Arial"/>
          <w:b/>
          <w:bCs/>
          <w:sz w:val="14"/>
          <w:szCs w:val="14"/>
        </w:rPr>
        <w:t xml:space="preserve">  PROGNOZA NADWYŻKI DOCHODÓW BIEŻĄCYCH</w:t>
      </w:r>
      <w:r>
        <w:rPr>
          <w:rFonts w:ascii="Verdana" w:hAnsi="Verdana" w:cs="Arial"/>
          <w:b/>
          <w:bCs/>
          <w:sz w:val="14"/>
          <w:szCs w:val="14"/>
        </w:rPr>
        <w:t>*</w:t>
      </w:r>
      <w:r w:rsidRPr="000A6485">
        <w:rPr>
          <w:rFonts w:ascii="Verdana" w:hAnsi="Verdana" w:cs="Arial"/>
          <w:b/>
          <w:bCs/>
          <w:sz w:val="14"/>
          <w:szCs w:val="14"/>
        </w:rPr>
        <w:t xml:space="preserve"> NAD WYDATKAMI BIEŻĄCYMI W M.ST. WARSZAWA </w:t>
      </w:r>
      <w:r>
        <w:rPr>
          <w:rFonts w:ascii="Verdana" w:hAnsi="Verdana" w:cs="Arial"/>
          <w:b/>
          <w:bCs/>
          <w:sz w:val="14"/>
          <w:szCs w:val="14"/>
        </w:rPr>
        <w:br/>
        <w:t xml:space="preserve">                 NA LATA </w:t>
      </w:r>
      <w:r w:rsidRPr="0090283F">
        <w:rPr>
          <w:rFonts w:ascii="Verdana" w:hAnsi="Verdana" w:cs="Arial"/>
          <w:b/>
          <w:bCs/>
          <w:sz w:val="14"/>
          <w:szCs w:val="14"/>
        </w:rPr>
        <w:t>2022</w:t>
      </w:r>
      <w:r w:rsidRPr="000A6485">
        <w:rPr>
          <w:rFonts w:ascii="Verdana" w:hAnsi="Verdana" w:cs="Arial"/>
          <w:b/>
          <w:bCs/>
          <w:sz w:val="14"/>
          <w:szCs w:val="14"/>
        </w:rPr>
        <w:t xml:space="preserve">-2050 </w:t>
      </w:r>
      <w:r>
        <w:rPr>
          <w:rFonts w:ascii="Verdana" w:hAnsi="Verdana" w:cs="Arial"/>
          <w:bCs/>
          <w:sz w:val="14"/>
          <w:szCs w:val="14"/>
        </w:rPr>
        <w:t xml:space="preserve">[w </w:t>
      </w:r>
      <w:r w:rsidRPr="000A6485">
        <w:rPr>
          <w:rFonts w:ascii="Verdana" w:hAnsi="Verdana" w:cs="Arial"/>
          <w:bCs/>
          <w:sz w:val="14"/>
          <w:szCs w:val="14"/>
        </w:rPr>
        <w:t>mln zł]</w:t>
      </w:r>
      <w:r w:rsidRPr="000A6485">
        <w:rPr>
          <w:rFonts w:ascii="Verdana" w:hAnsi="Verdana" w:cs="Arial"/>
          <w:b/>
          <w:bCs/>
          <w:sz w:val="14"/>
          <w:szCs w:val="14"/>
        </w:rPr>
        <w:br/>
      </w:r>
      <w:r w:rsidR="00F33C94">
        <w:rPr>
          <w:noProof/>
        </w:rPr>
        <w:pict>
          <v:shape id="_x0000_i1055" type="#_x0000_t75" style="width:452.75pt;height:262.7pt">
            <v:imagedata r:id="rId49" o:title=""/>
          </v:shape>
        </w:pict>
      </w:r>
    </w:p>
    <w:p w:rsidR="007F07DD" w:rsidRDefault="007F07DD" w:rsidP="007F07DD">
      <w:pPr>
        <w:tabs>
          <w:tab w:val="left" w:pos="0"/>
        </w:tabs>
        <w:spacing w:before="120" w:after="60"/>
        <w:jc w:val="both"/>
        <w:rPr>
          <w:rFonts w:ascii="Verdana" w:hAnsi="Verdana" w:cs="Arial"/>
          <w:b/>
          <w:sz w:val="16"/>
          <w:szCs w:val="16"/>
        </w:rPr>
      </w:pPr>
      <w:r w:rsidRPr="000A6485">
        <w:rPr>
          <w:rFonts w:ascii="Verdana" w:hAnsi="Verdana" w:cs="Arial"/>
          <w:sz w:val="16"/>
          <w:szCs w:val="16"/>
        </w:rPr>
        <w:t xml:space="preserve">W całym okresie objętym prognozą planuje się uzyskanie nadwyżki </w:t>
      </w:r>
      <w:r>
        <w:rPr>
          <w:rFonts w:ascii="Verdana" w:hAnsi="Verdana" w:cs="Arial"/>
          <w:sz w:val="16"/>
          <w:szCs w:val="16"/>
        </w:rPr>
        <w:t>limitu wydatków bieżących</w:t>
      </w:r>
      <w:r w:rsidRPr="000A6485">
        <w:rPr>
          <w:rFonts w:ascii="Verdana" w:hAnsi="Verdana" w:cs="Arial"/>
          <w:sz w:val="16"/>
          <w:szCs w:val="16"/>
        </w:rPr>
        <w:t xml:space="preserve"> nad </w:t>
      </w:r>
      <w:r>
        <w:rPr>
          <w:rFonts w:ascii="Verdana" w:hAnsi="Verdana" w:cs="Arial"/>
          <w:sz w:val="16"/>
          <w:szCs w:val="16"/>
        </w:rPr>
        <w:t xml:space="preserve">planowanymi </w:t>
      </w:r>
      <w:r w:rsidRPr="000A6485">
        <w:rPr>
          <w:rFonts w:ascii="Verdana" w:hAnsi="Verdana" w:cs="Arial"/>
          <w:sz w:val="16"/>
          <w:szCs w:val="16"/>
        </w:rPr>
        <w:t>wydatkami bieżącymi</w:t>
      </w:r>
      <w:r>
        <w:rPr>
          <w:rFonts w:ascii="Verdana" w:hAnsi="Verdana" w:cs="Arial"/>
          <w:sz w:val="16"/>
          <w:szCs w:val="16"/>
        </w:rPr>
        <w:t xml:space="preserve"> -</w:t>
      </w:r>
      <w:r w:rsidRPr="000A6485">
        <w:rPr>
          <w:rFonts w:ascii="Verdana" w:hAnsi="Verdana" w:cs="Arial"/>
          <w:sz w:val="16"/>
          <w:szCs w:val="16"/>
        </w:rPr>
        <w:t xml:space="preserve"> </w:t>
      </w:r>
      <w:r>
        <w:rPr>
          <w:rFonts w:ascii="Verdana" w:hAnsi="Verdana" w:cs="Arial"/>
          <w:sz w:val="16"/>
          <w:szCs w:val="16"/>
        </w:rPr>
        <w:t xml:space="preserve">w 2022 r. dzięki wykorzystaniu tzw. wolnych środków i nadwyżki budżetu, w pozostałych latach planowane jest generowanie nadwyżek operacyjnych </w:t>
      </w:r>
      <w:r w:rsidRPr="000A6485">
        <w:rPr>
          <w:rFonts w:ascii="Verdana" w:hAnsi="Verdana" w:cs="Arial"/>
          <w:sz w:val="16"/>
          <w:szCs w:val="16"/>
        </w:rPr>
        <w:t>- której najniższa wartość wynosi</w:t>
      </w:r>
      <w:r>
        <w:rPr>
          <w:rFonts w:ascii="Verdana" w:hAnsi="Verdana" w:cs="Arial"/>
          <w:sz w:val="16"/>
          <w:szCs w:val="16"/>
        </w:rPr>
        <w:t xml:space="preserve"> </w:t>
      </w:r>
      <w:r>
        <w:rPr>
          <w:rFonts w:ascii="Verdana" w:hAnsi="Verdana" w:cs="Arial"/>
          <w:b/>
          <w:sz w:val="16"/>
          <w:szCs w:val="16"/>
        </w:rPr>
        <w:t>289</w:t>
      </w:r>
      <w:r w:rsidRPr="00775069">
        <w:rPr>
          <w:rFonts w:ascii="Verdana" w:hAnsi="Verdana" w:cs="Arial"/>
          <w:b/>
          <w:sz w:val="16"/>
          <w:szCs w:val="16"/>
        </w:rPr>
        <w:t xml:space="preserve"> mln zł</w:t>
      </w:r>
      <w:r>
        <w:rPr>
          <w:rFonts w:ascii="Verdana" w:hAnsi="Verdana" w:cs="Arial"/>
          <w:sz w:val="16"/>
          <w:szCs w:val="16"/>
        </w:rPr>
        <w:t xml:space="preserve"> </w:t>
      </w:r>
      <w:r>
        <w:rPr>
          <w:rFonts w:ascii="Verdana" w:hAnsi="Verdana" w:cs="Arial"/>
          <w:sz w:val="16"/>
          <w:szCs w:val="16"/>
        </w:rPr>
        <w:br/>
        <w:t>w 2023 r.</w:t>
      </w:r>
      <w:r w:rsidRPr="000A6485">
        <w:rPr>
          <w:rFonts w:ascii="Verdana" w:hAnsi="Verdana" w:cs="Arial"/>
          <w:sz w:val="16"/>
          <w:szCs w:val="16"/>
        </w:rPr>
        <w:t xml:space="preserve"> - </w:t>
      </w:r>
      <w:r w:rsidRPr="000A6485">
        <w:rPr>
          <w:rFonts w:ascii="Verdana" w:hAnsi="Verdana" w:cs="Arial"/>
          <w:b/>
          <w:sz w:val="16"/>
          <w:szCs w:val="16"/>
        </w:rPr>
        <w:t>co oznacza spełnienie reguły wydatkowej w zakresie wydatków bieżących</w:t>
      </w:r>
      <w:r w:rsidRPr="000A6485">
        <w:rPr>
          <w:rFonts w:ascii="Verdana" w:hAnsi="Verdana" w:cs="Arial"/>
          <w:sz w:val="16"/>
          <w:szCs w:val="16"/>
        </w:rPr>
        <w:t xml:space="preserve"> </w:t>
      </w:r>
      <w:r w:rsidRPr="000A6485">
        <w:rPr>
          <w:rFonts w:ascii="Verdana" w:hAnsi="Verdana" w:cs="Arial"/>
          <w:b/>
          <w:sz w:val="16"/>
          <w:szCs w:val="16"/>
        </w:rPr>
        <w:t xml:space="preserve">w całym okresie </w:t>
      </w:r>
      <w:r>
        <w:rPr>
          <w:rFonts w:ascii="Verdana" w:hAnsi="Verdana" w:cs="Arial"/>
          <w:b/>
          <w:sz w:val="16"/>
          <w:szCs w:val="16"/>
        </w:rPr>
        <w:t xml:space="preserve">WPF </w:t>
      </w:r>
      <w:r w:rsidRPr="0090283F">
        <w:rPr>
          <w:rFonts w:ascii="Verdana" w:hAnsi="Verdana" w:cs="Arial"/>
          <w:b/>
          <w:sz w:val="16"/>
          <w:szCs w:val="16"/>
        </w:rPr>
        <w:t>2022</w:t>
      </w:r>
      <w:r w:rsidRPr="000A6485">
        <w:rPr>
          <w:rFonts w:ascii="Verdana" w:hAnsi="Verdana" w:cs="Arial"/>
          <w:b/>
          <w:sz w:val="16"/>
          <w:szCs w:val="16"/>
        </w:rPr>
        <w:t>-2050.</w:t>
      </w:r>
    </w:p>
    <w:p w:rsidR="007F07DD" w:rsidRPr="000A6485" w:rsidRDefault="007F07DD" w:rsidP="007F07DD">
      <w:pPr>
        <w:spacing w:before="240" w:after="240"/>
        <w:rPr>
          <w:rFonts w:ascii="Verdana" w:hAnsi="Verdana"/>
          <w:b/>
          <w:bCs/>
          <w:sz w:val="20"/>
          <w:szCs w:val="20"/>
        </w:rPr>
      </w:pPr>
      <w:r w:rsidRPr="000A6485">
        <w:rPr>
          <w:rFonts w:ascii="Verdana" w:hAnsi="Verdana"/>
          <w:b/>
          <w:bCs/>
          <w:sz w:val="20"/>
          <w:szCs w:val="20"/>
        </w:rPr>
        <w:t>8.2 Reguła indywidualnego limitu obsługi długu</w:t>
      </w:r>
    </w:p>
    <w:p w:rsidR="007F07DD" w:rsidRPr="000A6485" w:rsidRDefault="007F07DD" w:rsidP="007F07DD">
      <w:pPr>
        <w:spacing w:before="60" w:after="60"/>
        <w:ind w:firstLine="567"/>
        <w:jc w:val="both"/>
        <w:rPr>
          <w:rFonts w:ascii="Verdana" w:hAnsi="Verdana"/>
          <w:iCs/>
          <w:sz w:val="16"/>
          <w:szCs w:val="16"/>
        </w:rPr>
      </w:pPr>
      <w:r w:rsidRPr="000A6485">
        <w:rPr>
          <w:rFonts w:ascii="Verdana" w:hAnsi="Verdana" w:cs="Arial"/>
          <w:bCs/>
          <w:sz w:val="16"/>
          <w:szCs w:val="16"/>
        </w:rPr>
        <w:t>Szczegółowo reguła została omówiona w pkt 4.1.2.</w:t>
      </w:r>
    </w:p>
    <w:p w:rsidR="007F07DD" w:rsidRPr="000A66C4" w:rsidRDefault="007F07DD" w:rsidP="007F07DD">
      <w:pPr>
        <w:spacing w:before="60" w:after="60"/>
        <w:jc w:val="both"/>
        <w:rPr>
          <w:rFonts w:ascii="Verdana" w:hAnsi="Verdana"/>
          <w:b/>
          <w:iCs/>
          <w:sz w:val="16"/>
          <w:szCs w:val="16"/>
        </w:rPr>
      </w:pPr>
      <w:r w:rsidRPr="000A6485">
        <w:rPr>
          <w:rFonts w:ascii="Verdana" w:hAnsi="Verdana"/>
          <w:iCs/>
          <w:sz w:val="16"/>
          <w:szCs w:val="16"/>
        </w:rPr>
        <w:t xml:space="preserve">Zgodnie z art. 243 </w:t>
      </w:r>
      <w:r w:rsidRPr="000A6485">
        <w:rPr>
          <w:rFonts w:ascii="Verdana" w:hAnsi="Verdana"/>
          <w:bCs/>
          <w:sz w:val="16"/>
          <w:szCs w:val="16"/>
        </w:rPr>
        <w:t>ustawy o finansach publicznych organ stanowiący jednostki samorządu terytorialnego nie może uchwalić budżetu, którego realizacja spowoduje, że w roku budżetowym oraz w każdym roku następującym po roku budżetowym,</w:t>
      </w:r>
      <w:r w:rsidRPr="000A6485">
        <w:rPr>
          <w:rFonts w:ascii="Verdana" w:hAnsi="Verdana"/>
          <w:iCs/>
          <w:sz w:val="16"/>
          <w:szCs w:val="16"/>
        </w:rPr>
        <w:t xml:space="preserve"> co do </w:t>
      </w:r>
      <w:r w:rsidRPr="000A66C4">
        <w:rPr>
          <w:rFonts w:ascii="Verdana" w:hAnsi="Verdana"/>
          <w:b/>
          <w:iCs/>
          <w:sz w:val="16"/>
          <w:szCs w:val="16"/>
        </w:rPr>
        <w:t>zasady wysokość obciążeń budżetu związanych z obsługą zadłużenia (kapitał i odsetki) i udzielonymi poręczeniami i gwarancjami w relacji do dochodów bieżących przekroczy historycznie ukształtowany średni poziom relacji nadwyżki dochodów bieżących nad wydatkami bieżącymi do dochodów bieżących.</w:t>
      </w:r>
    </w:p>
    <w:p w:rsidR="007F07DD" w:rsidRPr="000A6485" w:rsidRDefault="007F07DD" w:rsidP="007F07DD">
      <w:pPr>
        <w:spacing w:before="60" w:after="60"/>
        <w:jc w:val="both"/>
        <w:rPr>
          <w:rFonts w:ascii="Verdana" w:hAnsi="Verdana"/>
          <w:iCs/>
          <w:sz w:val="16"/>
          <w:szCs w:val="16"/>
        </w:rPr>
      </w:pPr>
      <w:r w:rsidRPr="000A6485">
        <w:rPr>
          <w:rFonts w:ascii="Verdana" w:hAnsi="Verdana"/>
          <w:iCs/>
          <w:sz w:val="16"/>
          <w:szCs w:val="16"/>
        </w:rPr>
        <w:t xml:space="preserve">Dla </w:t>
      </w:r>
      <w:r>
        <w:rPr>
          <w:rFonts w:ascii="Verdana" w:hAnsi="Verdana"/>
          <w:b/>
          <w:iCs/>
          <w:sz w:val="16"/>
          <w:szCs w:val="16"/>
        </w:rPr>
        <w:t>lat 2022</w:t>
      </w:r>
      <w:r w:rsidRPr="000A6485">
        <w:rPr>
          <w:rFonts w:ascii="Verdana" w:hAnsi="Verdana"/>
          <w:b/>
          <w:iCs/>
          <w:sz w:val="16"/>
          <w:szCs w:val="16"/>
        </w:rPr>
        <w:t>-2025</w:t>
      </w:r>
      <w:r w:rsidRPr="000A6485">
        <w:rPr>
          <w:rFonts w:ascii="Verdana" w:hAnsi="Verdana"/>
          <w:iCs/>
          <w:sz w:val="16"/>
          <w:szCs w:val="16"/>
        </w:rPr>
        <w:t xml:space="preserve"> okres, na podstawie którego obliczany jest przeciętny poziom relacji nadwyżki dochodów bieżących nad wydatkami bieżącymi do dochodów bieżących, obejmuje </w:t>
      </w:r>
      <w:r w:rsidRPr="000A6485">
        <w:rPr>
          <w:rFonts w:ascii="Verdana" w:hAnsi="Verdana"/>
          <w:b/>
          <w:iCs/>
          <w:sz w:val="16"/>
          <w:szCs w:val="16"/>
        </w:rPr>
        <w:t>trzy lata</w:t>
      </w:r>
      <w:r w:rsidRPr="000A6485">
        <w:rPr>
          <w:rFonts w:ascii="Verdana" w:hAnsi="Verdana"/>
          <w:iCs/>
          <w:sz w:val="16"/>
          <w:szCs w:val="16"/>
        </w:rPr>
        <w:t xml:space="preserve"> poprzedzające rok, dla którego badany jest dopuszczalny poziom obciążeń budżetu związanych z obsługą długu w relacji do dochodów bieżących. Natomiast począwszy od </w:t>
      </w:r>
      <w:r w:rsidRPr="000A6485">
        <w:rPr>
          <w:rFonts w:ascii="Verdana" w:hAnsi="Verdana"/>
          <w:b/>
          <w:iCs/>
          <w:sz w:val="16"/>
          <w:szCs w:val="16"/>
        </w:rPr>
        <w:t>2026 r.</w:t>
      </w:r>
      <w:r w:rsidRPr="000A6485">
        <w:rPr>
          <w:rFonts w:ascii="Verdana" w:hAnsi="Verdana"/>
          <w:iCs/>
          <w:sz w:val="16"/>
          <w:szCs w:val="16"/>
        </w:rPr>
        <w:t xml:space="preserve"> okres ten obejmuje </w:t>
      </w:r>
      <w:r w:rsidRPr="000A6485">
        <w:rPr>
          <w:rFonts w:ascii="Verdana" w:hAnsi="Verdana"/>
          <w:b/>
          <w:iCs/>
          <w:sz w:val="16"/>
          <w:szCs w:val="16"/>
        </w:rPr>
        <w:t>siedem lat</w:t>
      </w:r>
      <w:r w:rsidRPr="000A6485">
        <w:rPr>
          <w:rFonts w:ascii="Verdana" w:hAnsi="Verdana"/>
          <w:iCs/>
          <w:sz w:val="16"/>
          <w:szCs w:val="16"/>
        </w:rPr>
        <w:t xml:space="preserve"> poprzedzających rok, dla którego ustalany jest limit obciążeń budżetu związanych z obsługą długu.</w:t>
      </w:r>
    </w:p>
    <w:p w:rsidR="007F07DD" w:rsidRDefault="007F07DD" w:rsidP="007F07DD">
      <w:pPr>
        <w:spacing w:before="60" w:after="60"/>
        <w:jc w:val="both"/>
        <w:rPr>
          <w:rFonts w:ascii="Verdana" w:hAnsi="Verdana"/>
          <w:iCs/>
          <w:sz w:val="16"/>
          <w:szCs w:val="16"/>
        </w:rPr>
      </w:pPr>
      <w:r w:rsidRPr="000A6485">
        <w:rPr>
          <w:rFonts w:ascii="Verdana" w:hAnsi="Verdana"/>
          <w:iCs/>
          <w:sz w:val="16"/>
          <w:szCs w:val="16"/>
        </w:rPr>
        <w:t xml:space="preserve">Przy kalkulacji limitu obciążeń budżetu związanych z obsługą długu dla </w:t>
      </w:r>
      <w:r>
        <w:rPr>
          <w:rFonts w:ascii="Verdana" w:hAnsi="Verdana"/>
          <w:b/>
          <w:iCs/>
          <w:sz w:val="16"/>
          <w:szCs w:val="16"/>
        </w:rPr>
        <w:t>lat 2022</w:t>
      </w:r>
      <w:r w:rsidRPr="000A6485">
        <w:rPr>
          <w:rFonts w:ascii="Verdana" w:hAnsi="Verdana"/>
          <w:b/>
          <w:iCs/>
          <w:sz w:val="16"/>
          <w:szCs w:val="16"/>
        </w:rPr>
        <w:t>-2025</w:t>
      </w:r>
      <w:r w:rsidRPr="000A6485">
        <w:rPr>
          <w:rFonts w:ascii="Verdana" w:hAnsi="Verdana"/>
          <w:iCs/>
          <w:sz w:val="16"/>
          <w:szCs w:val="16"/>
        </w:rPr>
        <w:t xml:space="preserve">, poziom nadwyżki dochodów bieżących nad wydatkami bieżącymi </w:t>
      </w:r>
      <w:r w:rsidRPr="000A6485">
        <w:rPr>
          <w:rFonts w:ascii="Verdana" w:hAnsi="Verdana"/>
          <w:b/>
          <w:iCs/>
          <w:sz w:val="16"/>
          <w:szCs w:val="16"/>
        </w:rPr>
        <w:t>powiększany jest o dochody ze sprzedaży majątku</w:t>
      </w:r>
      <w:r w:rsidRPr="000A6485">
        <w:rPr>
          <w:rFonts w:ascii="Verdana" w:hAnsi="Verdana"/>
          <w:iCs/>
          <w:sz w:val="16"/>
          <w:szCs w:val="16"/>
        </w:rPr>
        <w:t xml:space="preserve">. </w:t>
      </w:r>
    </w:p>
    <w:p w:rsidR="007F07DD" w:rsidRDefault="007F07DD" w:rsidP="007F07DD">
      <w:pPr>
        <w:spacing w:before="60" w:after="60"/>
        <w:jc w:val="both"/>
        <w:rPr>
          <w:rFonts w:ascii="Verdana" w:hAnsi="Verdana"/>
          <w:iCs/>
          <w:sz w:val="16"/>
          <w:szCs w:val="16"/>
        </w:rPr>
      </w:pPr>
      <w:r>
        <w:rPr>
          <w:rFonts w:ascii="Verdana" w:hAnsi="Verdana" w:cs="Arial"/>
          <w:sz w:val="16"/>
          <w:szCs w:val="16"/>
        </w:rPr>
        <w:lastRenderedPageBreak/>
        <w:t>Przepis art. 7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(Dz.U. </w:t>
      </w:r>
      <w:r w:rsidRPr="00E7313D">
        <w:rPr>
          <w:rFonts w:ascii="Verdana" w:hAnsi="Verdana" w:cs="Arial"/>
          <w:sz w:val="16"/>
          <w:szCs w:val="16"/>
        </w:rPr>
        <w:t>poz. 1927)</w:t>
      </w:r>
      <w:r>
        <w:rPr>
          <w:rFonts w:ascii="Verdana" w:hAnsi="Verdana" w:cs="Arial"/>
          <w:sz w:val="16"/>
          <w:szCs w:val="16"/>
        </w:rPr>
        <w:t xml:space="preserve"> dopuszcza</w:t>
      </w:r>
      <w:r w:rsidRPr="00006222">
        <w:rPr>
          <w:rFonts w:ascii="Verdana" w:hAnsi="Verdana" w:cs="Arial"/>
          <w:sz w:val="16"/>
          <w:szCs w:val="16"/>
        </w:rPr>
        <w:t xml:space="preserve"> </w:t>
      </w:r>
      <w:r>
        <w:rPr>
          <w:rFonts w:ascii="Verdana" w:hAnsi="Verdana" w:cs="Arial"/>
          <w:sz w:val="16"/>
          <w:szCs w:val="16"/>
        </w:rPr>
        <w:t xml:space="preserve">możliwość </w:t>
      </w:r>
      <w:r w:rsidRPr="00D75B39">
        <w:rPr>
          <w:rFonts w:ascii="Verdana" w:hAnsi="Verdana" w:cs="Arial"/>
          <w:b/>
          <w:sz w:val="16"/>
          <w:szCs w:val="16"/>
        </w:rPr>
        <w:t xml:space="preserve">wyznaczania indywidualnego limitu obsługi długu na lata 2022-2025 na podstawie </w:t>
      </w:r>
      <w:r w:rsidRPr="00F8491E">
        <w:rPr>
          <w:rFonts w:ascii="Verdana" w:hAnsi="Verdana" w:cs="Arial"/>
          <w:b/>
          <w:sz w:val="16"/>
          <w:szCs w:val="16"/>
        </w:rPr>
        <w:t>siedmiu</w:t>
      </w:r>
      <w:r>
        <w:rPr>
          <w:rFonts w:ascii="Verdana" w:hAnsi="Verdana" w:cs="Arial"/>
          <w:sz w:val="16"/>
          <w:szCs w:val="16"/>
        </w:rPr>
        <w:t xml:space="preserve"> </w:t>
      </w:r>
      <w:r w:rsidRPr="00D75B39">
        <w:rPr>
          <w:rFonts w:ascii="Verdana" w:hAnsi="Verdana" w:cs="Arial"/>
          <w:b/>
          <w:sz w:val="16"/>
          <w:szCs w:val="16"/>
        </w:rPr>
        <w:t>poprzednich lat</w:t>
      </w:r>
      <w:r>
        <w:rPr>
          <w:rFonts w:ascii="Verdana" w:hAnsi="Verdana" w:cs="Arial"/>
          <w:sz w:val="16"/>
          <w:szCs w:val="16"/>
        </w:rPr>
        <w:t xml:space="preserve"> (</w:t>
      </w:r>
      <w:r>
        <w:rPr>
          <w:rFonts w:ascii="Verdana" w:hAnsi="Verdana"/>
          <w:iCs/>
          <w:sz w:val="16"/>
          <w:szCs w:val="16"/>
        </w:rPr>
        <w:t xml:space="preserve">dla roku </w:t>
      </w:r>
      <w:r w:rsidRPr="0090283F">
        <w:rPr>
          <w:rFonts w:ascii="Verdana" w:eastAsiaTheme="minorEastAsia" w:hAnsi="Verdana" w:cs="Verdana"/>
          <w:color w:val="000000"/>
          <w:sz w:val="16"/>
          <w:szCs w:val="16"/>
        </w:rPr>
        <w:t>2022</w:t>
      </w:r>
      <w:r w:rsidRPr="00011AAA">
        <w:rPr>
          <w:rFonts w:ascii="Verdana" w:hAnsi="Verdana"/>
          <w:iCs/>
          <w:sz w:val="16"/>
          <w:szCs w:val="16"/>
        </w:rPr>
        <w:t xml:space="preserve"> br</w:t>
      </w:r>
      <w:r>
        <w:rPr>
          <w:rFonts w:ascii="Verdana" w:hAnsi="Verdana"/>
          <w:iCs/>
          <w:sz w:val="16"/>
          <w:szCs w:val="16"/>
        </w:rPr>
        <w:t>ane są pod uwagę dane z lat 2015-2021)</w:t>
      </w:r>
      <w:r>
        <w:rPr>
          <w:rFonts w:ascii="Verdana" w:hAnsi="Verdana" w:cs="Arial"/>
          <w:sz w:val="16"/>
          <w:szCs w:val="16"/>
        </w:rPr>
        <w:t xml:space="preserve"> </w:t>
      </w:r>
      <w:r w:rsidRPr="00D75B39">
        <w:rPr>
          <w:rFonts w:ascii="Verdana" w:hAnsi="Verdana" w:cs="Arial"/>
          <w:b/>
          <w:sz w:val="16"/>
          <w:szCs w:val="16"/>
        </w:rPr>
        <w:t>w miejsce poprzednio obowiązującego okresu trzyletniego</w:t>
      </w:r>
      <w:r>
        <w:rPr>
          <w:rFonts w:ascii="Verdana" w:hAnsi="Verdana" w:cs="Arial"/>
          <w:sz w:val="16"/>
          <w:szCs w:val="16"/>
        </w:rPr>
        <w:t xml:space="preserve">. </w:t>
      </w:r>
      <w:r w:rsidRPr="00006222">
        <w:rPr>
          <w:rFonts w:ascii="Verdana" w:hAnsi="Verdana" w:cs="Arial"/>
          <w:sz w:val="16"/>
          <w:szCs w:val="16"/>
        </w:rPr>
        <w:t xml:space="preserve">Zgodnie </w:t>
      </w:r>
      <w:r>
        <w:rPr>
          <w:rFonts w:ascii="Verdana" w:hAnsi="Verdana" w:cs="Arial"/>
          <w:sz w:val="16"/>
          <w:szCs w:val="16"/>
        </w:rPr>
        <w:br/>
      </w:r>
      <w:r w:rsidRPr="00006222">
        <w:rPr>
          <w:rFonts w:ascii="Verdana" w:hAnsi="Verdana" w:cs="Arial"/>
          <w:sz w:val="16"/>
          <w:szCs w:val="16"/>
        </w:rPr>
        <w:t xml:space="preserve">z </w:t>
      </w:r>
      <w:r>
        <w:rPr>
          <w:rFonts w:ascii="Verdana" w:hAnsi="Verdana" w:cs="Arial"/>
          <w:sz w:val="16"/>
          <w:szCs w:val="16"/>
        </w:rPr>
        <w:t xml:space="preserve">uchwalonym </w:t>
      </w:r>
      <w:r w:rsidRPr="00006222">
        <w:rPr>
          <w:rFonts w:ascii="Verdana" w:hAnsi="Verdana" w:cs="Arial"/>
          <w:sz w:val="16"/>
          <w:szCs w:val="16"/>
        </w:rPr>
        <w:t xml:space="preserve">przepisem okres, na podstawie którego wyznaczany jest indywidualny limit obsługi długu dla danego roku, dla lat 2022-2025 może obejmować tak jak </w:t>
      </w:r>
      <w:r>
        <w:rPr>
          <w:rFonts w:ascii="Verdana" w:hAnsi="Verdana" w:cs="Arial"/>
          <w:sz w:val="16"/>
          <w:szCs w:val="16"/>
        </w:rPr>
        <w:t>przed zmianą przepisów</w:t>
      </w:r>
      <w:r w:rsidRPr="00006222">
        <w:rPr>
          <w:rFonts w:ascii="Verdana" w:hAnsi="Verdana" w:cs="Arial"/>
          <w:sz w:val="16"/>
          <w:szCs w:val="16"/>
        </w:rPr>
        <w:t xml:space="preserve"> </w:t>
      </w:r>
      <w:r w:rsidRPr="00F8491E">
        <w:rPr>
          <w:rFonts w:ascii="Verdana" w:hAnsi="Verdana" w:cs="Arial"/>
          <w:b/>
          <w:sz w:val="16"/>
          <w:szCs w:val="16"/>
        </w:rPr>
        <w:t>trzy wcześniejsze lata lub może zostać rozciągnięty na siedem poprzedzających lat</w:t>
      </w:r>
      <w:r>
        <w:rPr>
          <w:rFonts w:ascii="Verdana" w:hAnsi="Verdana" w:cs="Arial"/>
          <w:sz w:val="16"/>
          <w:szCs w:val="16"/>
        </w:rPr>
        <w:t xml:space="preserve">. Powyższy przepis </w:t>
      </w:r>
      <w:r>
        <w:rPr>
          <w:rFonts w:ascii="Verdana" w:hAnsi="Verdana" w:cs="Arial"/>
          <w:b/>
          <w:sz w:val="16"/>
          <w:szCs w:val="16"/>
        </w:rPr>
        <w:t>zobowiązał</w:t>
      </w:r>
      <w:r w:rsidRPr="00AC1B12">
        <w:rPr>
          <w:rFonts w:ascii="Verdana" w:hAnsi="Verdana" w:cs="Arial"/>
          <w:b/>
          <w:sz w:val="16"/>
          <w:szCs w:val="16"/>
        </w:rPr>
        <w:t xml:space="preserve"> organ wykonawczy jednostki samorządu terytorialnego do dokonania </w:t>
      </w:r>
      <w:r>
        <w:rPr>
          <w:rFonts w:ascii="Verdana" w:hAnsi="Verdana" w:cs="Arial"/>
          <w:b/>
          <w:sz w:val="16"/>
          <w:szCs w:val="16"/>
        </w:rPr>
        <w:t xml:space="preserve">w terminie do 31 grudnia 2021 r. </w:t>
      </w:r>
      <w:r w:rsidRPr="00AC1B12">
        <w:rPr>
          <w:rFonts w:ascii="Verdana" w:hAnsi="Verdana" w:cs="Arial"/>
          <w:b/>
          <w:sz w:val="16"/>
          <w:szCs w:val="16"/>
        </w:rPr>
        <w:t>wyboru dla lat 2022-2025 długości okresu stosowanego w badaniu spełnienia reguły indywidualnego limitu obsługi długu JST</w:t>
      </w:r>
      <w:r w:rsidRPr="00006222">
        <w:rPr>
          <w:rFonts w:ascii="Verdana" w:hAnsi="Verdana" w:cs="Arial"/>
          <w:sz w:val="16"/>
          <w:szCs w:val="16"/>
        </w:rPr>
        <w:t xml:space="preserve"> </w:t>
      </w:r>
      <w:r>
        <w:rPr>
          <w:rFonts w:ascii="Verdana" w:hAnsi="Verdana" w:cs="Arial"/>
          <w:sz w:val="16"/>
          <w:szCs w:val="16"/>
        </w:rPr>
        <w:t>i następnie przekazania informacji</w:t>
      </w:r>
      <w:r w:rsidRPr="00006222">
        <w:rPr>
          <w:rFonts w:ascii="Verdana" w:hAnsi="Verdana" w:cs="Arial"/>
          <w:sz w:val="16"/>
          <w:szCs w:val="16"/>
        </w:rPr>
        <w:t xml:space="preserve"> w tym </w:t>
      </w:r>
      <w:r>
        <w:rPr>
          <w:rFonts w:ascii="Verdana" w:hAnsi="Verdana" w:cs="Arial"/>
          <w:sz w:val="16"/>
          <w:szCs w:val="16"/>
        </w:rPr>
        <w:t>względzie</w:t>
      </w:r>
      <w:r w:rsidRPr="00006222">
        <w:rPr>
          <w:rFonts w:ascii="Verdana" w:hAnsi="Verdana" w:cs="Arial"/>
          <w:sz w:val="16"/>
          <w:szCs w:val="16"/>
        </w:rPr>
        <w:t xml:space="preserve"> właściwej regionalnej izbie obrachunkowej oraz organowi stanowiącemu. </w:t>
      </w:r>
      <w:r w:rsidRPr="00E339B7">
        <w:rPr>
          <w:rFonts w:ascii="Verdana" w:hAnsi="Verdana" w:cs="Arial"/>
          <w:b/>
          <w:sz w:val="16"/>
          <w:szCs w:val="16"/>
        </w:rPr>
        <w:t xml:space="preserve">Prezydent m.st. Warszawy jako organ wykonawczy dokonał dla lat 2022-2025 wyboru 7-letniego okresu stosowanego do wyliczenia relacji, o której mowa </w:t>
      </w:r>
      <w:r>
        <w:rPr>
          <w:rFonts w:ascii="Verdana" w:hAnsi="Verdana" w:cs="Arial"/>
          <w:b/>
          <w:sz w:val="16"/>
          <w:szCs w:val="16"/>
        </w:rPr>
        <w:br/>
      </w:r>
      <w:r w:rsidRPr="00E339B7">
        <w:rPr>
          <w:rFonts w:ascii="Verdana" w:hAnsi="Verdana" w:cs="Arial"/>
          <w:b/>
          <w:sz w:val="16"/>
          <w:szCs w:val="16"/>
        </w:rPr>
        <w:t>w art. 243 ustawy o finansach publicznych</w:t>
      </w:r>
      <w:r w:rsidRPr="00011AAA">
        <w:rPr>
          <w:rStyle w:val="Odwoanieprzypisudolnego"/>
          <w:rFonts w:ascii="Verdana" w:hAnsi="Verdana"/>
          <w:bCs/>
          <w:iCs/>
          <w:color w:val="000000"/>
          <w:sz w:val="16"/>
          <w:szCs w:val="16"/>
        </w:rPr>
        <w:footnoteReference w:id="11"/>
      </w:r>
      <w:r>
        <w:rPr>
          <w:rFonts w:ascii="Verdana" w:hAnsi="Verdana" w:cs="Arial"/>
          <w:b/>
          <w:sz w:val="16"/>
          <w:szCs w:val="16"/>
        </w:rPr>
        <w:t xml:space="preserve"> oraz poinformował o wyborze Regionalną Izbę Obrachunkową w Warszawie w piśmie z 26 listopada 2021 r. nr GP-OR.0050.1795.2021 i Radę </w:t>
      </w:r>
      <w:r>
        <w:rPr>
          <w:rFonts w:ascii="Verdana" w:hAnsi="Verdana" w:cs="Arial"/>
          <w:b/>
          <w:sz w:val="16"/>
          <w:szCs w:val="16"/>
        </w:rPr>
        <w:br/>
        <w:t>m.st. Warszawy w piśmie z 26 listopada 2021 r. nr DR-7-OW.3150.6.2021.KPI</w:t>
      </w:r>
      <w:r w:rsidRPr="00E339B7">
        <w:rPr>
          <w:rFonts w:ascii="Verdana" w:hAnsi="Verdana" w:cs="Arial"/>
          <w:b/>
          <w:sz w:val="16"/>
          <w:szCs w:val="16"/>
        </w:rPr>
        <w:t>.</w:t>
      </w:r>
    </w:p>
    <w:p w:rsidR="007F07DD" w:rsidRPr="000A6485" w:rsidRDefault="007F07DD" w:rsidP="007F07DD">
      <w:pPr>
        <w:spacing w:before="60" w:after="60"/>
        <w:jc w:val="both"/>
        <w:rPr>
          <w:rFonts w:ascii="Verdana" w:hAnsi="Verdana"/>
          <w:iCs/>
          <w:sz w:val="16"/>
          <w:szCs w:val="16"/>
        </w:rPr>
      </w:pPr>
      <w:r>
        <w:rPr>
          <w:rFonts w:ascii="Verdana" w:hAnsi="Verdana"/>
          <w:iCs/>
          <w:sz w:val="16"/>
          <w:szCs w:val="16"/>
        </w:rPr>
        <w:t>N</w:t>
      </w:r>
      <w:r w:rsidRPr="000A6485">
        <w:rPr>
          <w:rFonts w:ascii="Verdana" w:hAnsi="Verdana"/>
          <w:iCs/>
          <w:sz w:val="16"/>
          <w:szCs w:val="16"/>
        </w:rPr>
        <w:t>adwyżka dochodów bieżących nad</w:t>
      </w:r>
      <w:r>
        <w:rPr>
          <w:rFonts w:ascii="Verdana" w:hAnsi="Verdana"/>
          <w:iCs/>
          <w:sz w:val="16"/>
          <w:szCs w:val="16"/>
        </w:rPr>
        <w:t xml:space="preserve"> wydatkami</w:t>
      </w:r>
      <w:r w:rsidRPr="000A6485">
        <w:rPr>
          <w:rFonts w:ascii="Verdana" w:hAnsi="Verdana"/>
          <w:iCs/>
          <w:sz w:val="16"/>
          <w:szCs w:val="16"/>
        </w:rPr>
        <w:t xml:space="preserve"> </w:t>
      </w:r>
      <w:r w:rsidRPr="000A6485">
        <w:rPr>
          <w:rFonts w:ascii="Verdana" w:hAnsi="Verdana"/>
          <w:b/>
          <w:iCs/>
          <w:sz w:val="16"/>
          <w:szCs w:val="16"/>
        </w:rPr>
        <w:t xml:space="preserve">korygowana jest o wydatki związane ze spłatą </w:t>
      </w:r>
      <w:r>
        <w:rPr>
          <w:rFonts w:ascii="Verdana" w:hAnsi="Verdana"/>
          <w:b/>
          <w:iCs/>
          <w:sz w:val="16"/>
          <w:szCs w:val="16"/>
        </w:rPr>
        <w:br/>
      </w:r>
      <w:r w:rsidRPr="000A6485">
        <w:rPr>
          <w:rFonts w:ascii="Verdana" w:hAnsi="Verdana"/>
          <w:b/>
          <w:iCs/>
          <w:sz w:val="16"/>
          <w:szCs w:val="16"/>
        </w:rPr>
        <w:t>i obsługą długu</w:t>
      </w:r>
      <w:r w:rsidRPr="000A6485">
        <w:rPr>
          <w:rFonts w:ascii="Verdana" w:hAnsi="Verdana"/>
          <w:iCs/>
          <w:sz w:val="16"/>
          <w:szCs w:val="16"/>
        </w:rPr>
        <w:t>.</w:t>
      </w:r>
    </w:p>
    <w:p w:rsidR="007F07DD" w:rsidRDefault="007F07DD" w:rsidP="007F07DD">
      <w:pPr>
        <w:spacing w:before="60" w:after="60"/>
        <w:jc w:val="both"/>
        <w:rPr>
          <w:rFonts w:ascii="Verdana" w:hAnsi="Verdana" w:cs="Verdana"/>
          <w:color w:val="000000"/>
          <w:sz w:val="16"/>
          <w:szCs w:val="16"/>
        </w:rPr>
      </w:pPr>
      <w:r w:rsidRPr="000A6485">
        <w:rPr>
          <w:rFonts w:ascii="Verdana" w:hAnsi="Verdana" w:cs="Verdana"/>
          <w:color w:val="000000"/>
          <w:sz w:val="16"/>
          <w:szCs w:val="16"/>
        </w:rPr>
        <w:t>Do ograniczeń poziomu obsługi długu mają zastosowanie wyłączenia, które zasadniczo dotyczą zobowiązań dłużnych zaciąganych na realizację inwestycji współfinansowanych ze środków unijnych oraz wcześniejszej spłaty długu</w:t>
      </w:r>
      <w:r>
        <w:rPr>
          <w:rFonts w:ascii="Verdana" w:hAnsi="Verdana" w:cs="Verdana"/>
          <w:color w:val="000000"/>
          <w:sz w:val="16"/>
          <w:szCs w:val="16"/>
        </w:rPr>
        <w:t xml:space="preserve">, a także wyłącza się dług wraz z odsetkami pochodzący z lat 2020-2021 zaciągany z przeznaczeniem na pokrycie ubytku dochodów podatkowych </w:t>
      </w:r>
      <w:r w:rsidRPr="00001F1B">
        <w:rPr>
          <w:rFonts w:ascii="Verdana" w:hAnsi="Verdana" w:cs="Arial"/>
          <w:sz w:val="16"/>
          <w:szCs w:val="16"/>
        </w:rPr>
        <w:t>będącego skutkiem wystąpienia COVID-19</w:t>
      </w:r>
      <w:r>
        <w:rPr>
          <w:rFonts w:ascii="Verdana" w:hAnsi="Verdana" w:cs="Arial"/>
          <w:sz w:val="16"/>
          <w:szCs w:val="16"/>
        </w:rPr>
        <w:t>.</w:t>
      </w:r>
    </w:p>
    <w:p w:rsidR="007F07DD" w:rsidRPr="000A6485" w:rsidRDefault="007F07DD" w:rsidP="007F07DD">
      <w:pPr>
        <w:tabs>
          <w:tab w:val="left" w:pos="0"/>
        </w:tabs>
        <w:spacing w:before="60" w:after="60"/>
        <w:ind w:firstLine="567"/>
        <w:jc w:val="both"/>
        <w:rPr>
          <w:rFonts w:ascii="Verdana" w:hAnsi="Verdana" w:cs="Arial"/>
          <w:sz w:val="16"/>
          <w:szCs w:val="16"/>
        </w:rPr>
      </w:pPr>
      <w:r w:rsidRPr="000A6485">
        <w:rPr>
          <w:rFonts w:ascii="Verdana" w:hAnsi="Verdana" w:cs="Arial"/>
          <w:sz w:val="16"/>
          <w:szCs w:val="16"/>
        </w:rPr>
        <w:t xml:space="preserve">Wykres </w:t>
      </w:r>
      <w:r>
        <w:rPr>
          <w:rFonts w:ascii="Verdana" w:hAnsi="Verdana" w:cs="Arial"/>
          <w:sz w:val="16"/>
          <w:szCs w:val="16"/>
        </w:rPr>
        <w:t>nr 36</w:t>
      </w:r>
      <w:r w:rsidRPr="000A6485">
        <w:rPr>
          <w:rFonts w:ascii="Verdana" w:hAnsi="Verdana" w:cs="Arial"/>
          <w:sz w:val="16"/>
          <w:szCs w:val="16"/>
        </w:rPr>
        <w:t xml:space="preserve"> prezentuje kształtowanie się </w:t>
      </w:r>
      <w:r>
        <w:rPr>
          <w:rFonts w:ascii="Verdana" w:hAnsi="Verdana" w:cs="Arial"/>
          <w:sz w:val="16"/>
          <w:szCs w:val="16"/>
        </w:rPr>
        <w:t>ustawowej reguły obsługi długu</w:t>
      </w:r>
      <w:r w:rsidRPr="000A6485">
        <w:rPr>
          <w:rFonts w:ascii="Verdana" w:hAnsi="Verdana" w:cs="Arial"/>
          <w:sz w:val="16"/>
          <w:szCs w:val="16"/>
        </w:rPr>
        <w:t xml:space="preserve"> w perspektywie objętej </w:t>
      </w:r>
      <w:r>
        <w:rPr>
          <w:rFonts w:ascii="Verdana" w:hAnsi="Verdana" w:cs="Arial"/>
          <w:sz w:val="16"/>
          <w:szCs w:val="16"/>
        </w:rPr>
        <w:br/>
      </w:r>
      <w:r>
        <w:rPr>
          <w:rFonts w:ascii="Verdana" w:hAnsi="Verdana" w:cs="Verdana"/>
          <w:sz w:val="16"/>
          <w:szCs w:val="16"/>
        </w:rPr>
        <w:t>WPF 2022-2050</w:t>
      </w:r>
      <w:r w:rsidRPr="000A6485">
        <w:rPr>
          <w:rFonts w:ascii="Verdana" w:hAnsi="Verdana" w:cs="Arial"/>
          <w:sz w:val="16"/>
          <w:szCs w:val="16"/>
        </w:rPr>
        <w:t xml:space="preserve">, </w:t>
      </w:r>
      <w:r>
        <w:rPr>
          <w:rFonts w:ascii="Verdana" w:hAnsi="Verdana" w:cs="Arial"/>
          <w:sz w:val="16"/>
          <w:szCs w:val="16"/>
        </w:rPr>
        <w:t>przy limicie obsługi długu obliczonym</w:t>
      </w:r>
      <w:r w:rsidRPr="000A6485">
        <w:rPr>
          <w:rFonts w:ascii="Verdana" w:hAnsi="Verdana" w:cs="Arial"/>
          <w:sz w:val="16"/>
          <w:szCs w:val="16"/>
        </w:rPr>
        <w:t xml:space="preserve"> w oparciu o plan </w:t>
      </w:r>
      <w:r>
        <w:rPr>
          <w:rFonts w:ascii="Verdana" w:hAnsi="Verdana" w:cs="Arial"/>
          <w:sz w:val="16"/>
          <w:szCs w:val="16"/>
        </w:rPr>
        <w:t>na 2021 r. wg stanu na koniec trzeciego</w:t>
      </w:r>
      <w:r>
        <w:rPr>
          <w:rFonts w:ascii="Verdana" w:hAnsi="Verdana"/>
          <w:sz w:val="16"/>
          <w:szCs w:val="16"/>
        </w:rPr>
        <w:t xml:space="preserve"> kwartału</w:t>
      </w:r>
      <w:r w:rsidRPr="000A6485">
        <w:rPr>
          <w:rFonts w:ascii="Verdana" w:hAnsi="Verdana"/>
          <w:sz w:val="16"/>
          <w:szCs w:val="16"/>
        </w:rPr>
        <w:t>, z uwzględnieniem ustawowych wyłączeń</w:t>
      </w:r>
      <w:r w:rsidRPr="000A6485">
        <w:rPr>
          <w:rFonts w:ascii="Verdana" w:hAnsi="Verdana" w:cs="Arial"/>
          <w:sz w:val="16"/>
          <w:szCs w:val="16"/>
        </w:rPr>
        <w:t>.</w:t>
      </w:r>
    </w:p>
    <w:p w:rsidR="007F07DD" w:rsidRDefault="007F07DD" w:rsidP="007F07DD">
      <w:pPr>
        <w:tabs>
          <w:tab w:val="left" w:pos="851"/>
        </w:tabs>
        <w:spacing w:before="120" w:after="120" w:line="240" w:lineRule="auto"/>
        <w:rPr>
          <w:rFonts w:ascii="Verdana" w:hAnsi="Verdana" w:cs="Arial"/>
          <w:bCs/>
          <w:sz w:val="14"/>
          <w:szCs w:val="14"/>
        </w:rPr>
      </w:pPr>
      <w:r w:rsidRPr="000A6485">
        <w:rPr>
          <w:rFonts w:ascii="Verdana" w:hAnsi="Verdana" w:cs="Arial"/>
          <w:b/>
          <w:bCs/>
          <w:sz w:val="14"/>
          <w:szCs w:val="14"/>
        </w:rPr>
        <w:t xml:space="preserve">WYK.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Wyk. \* ARABIC </w:instrText>
      </w:r>
      <w:r w:rsidRPr="000A6485">
        <w:rPr>
          <w:rFonts w:ascii="Verdana" w:hAnsi="Verdana" w:cs="Arial"/>
          <w:b/>
          <w:bCs/>
          <w:sz w:val="14"/>
          <w:szCs w:val="14"/>
        </w:rPr>
        <w:fldChar w:fldCharType="separate"/>
      </w:r>
      <w:r>
        <w:rPr>
          <w:rFonts w:ascii="Verdana" w:hAnsi="Verdana" w:cs="Arial"/>
          <w:b/>
          <w:bCs/>
          <w:noProof/>
          <w:sz w:val="14"/>
          <w:szCs w:val="14"/>
        </w:rPr>
        <w:t>36</w:t>
      </w:r>
      <w:r w:rsidRPr="000A6485">
        <w:rPr>
          <w:rFonts w:ascii="Verdana" w:hAnsi="Verdana" w:cs="Arial"/>
          <w:b/>
          <w:bCs/>
          <w:sz w:val="14"/>
          <w:szCs w:val="14"/>
        </w:rPr>
        <w:fldChar w:fldCharType="end"/>
      </w:r>
      <w:r w:rsidRPr="000A6485">
        <w:rPr>
          <w:rFonts w:ascii="Verdana" w:hAnsi="Verdana" w:cs="Arial"/>
          <w:b/>
          <w:bCs/>
          <w:sz w:val="14"/>
          <w:szCs w:val="14"/>
        </w:rPr>
        <w:t xml:space="preserve">  PROGNOZA DOPUSZCZALNEGO USTAWOWO I RZECZYWISTEGO POZIOMU WYDATKÓW I ROZCHODÓW </w:t>
      </w:r>
      <w:r w:rsidRPr="000A6485">
        <w:rPr>
          <w:rFonts w:ascii="Verdana" w:hAnsi="Verdana" w:cs="Arial"/>
          <w:b/>
          <w:bCs/>
          <w:sz w:val="14"/>
          <w:szCs w:val="14"/>
        </w:rPr>
        <w:br/>
        <w:t xml:space="preserve">                ZWIĄZANYCH Z OBSŁUGĄ ZADŁUŻENIA I PORĘCZENIAMI I GWARANCJAMI W RELACJI DO DOCHODÓW </w:t>
      </w:r>
      <w:r w:rsidRPr="000A6485">
        <w:rPr>
          <w:rFonts w:ascii="Verdana" w:hAnsi="Verdana" w:cs="Arial"/>
          <w:b/>
          <w:bCs/>
          <w:sz w:val="14"/>
          <w:szCs w:val="14"/>
        </w:rPr>
        <w:br/>
        <w:t xml:space="preserve">                BIEŻACYCH POMNIEJSZONYCH O DOTACJE I ŚRODKI PRZEZNACZONE NA CELE BIEŻĄCE </w:t>
      </w:r>
      <w:r>
        <w:rPr>
          <w:rFonts w:ascii="Verdana" w:hAnsi="Verdana" w:cs="Arial"/>
          <w:b/>
          <w:bCs/>
          <w:sz w:val="14"/>
          <w:szCs w:val="14"/>
        </w:rPr>
        <w:br/>
        <w:t xml:space="preserve">                W M.ST. WARSZAWA NA LATA </w:t>
      </w:r>
      <w:r w:rsidRPr="0090283F">
        <w:rPr>
          <w:rFonts w:ascii="Verdana" w:hAnsi="Verdana" w:cs="Arial"/>
          <w:b/>
          <w:bCs/>
          <w:sz w:val="14"/>
          <w:szCs w:val="14"/>
        </w:rPr>
        <w:t>2022</w:t>
      </w:r>
      <w:r w:rsidRPr="000A6485">
        <w:rPr>
          <w:rFonts w:ascii="Verdana" w:hAnsi="Verdana" w:cs="Arial"/>
          <w:b/>
          <w:bCs/>
          <w:sz w:val="14"/>
          <w:szCs w:val="14"/>
        </w:rPr>
        <w:t xml:space="preserve">-2050 – Z UWZGLĘDNIENIEM USTAWOWYCH WYŁĄCZEŃ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tabs>
          <w:tab w:val="left" w:pos="851"/>
        </w:tabs>
        <w:spacing w:before="120" w:after="120" w:line="240" w:lineRule="auto"/>
        <w:rPr>
          <w:rFonts w:ascii="Verdana" w:hAnsi="Verdana"/>
          <w:b/>
          <w:bCs/>
          <w:sz w:val="22"/>
          <w:szCs w:val="22"/>
        </w:rPr>
      </w:pPr>
      <w:r>
        <w:rPr>
          <w:rFonts w:ascii="Verdana" w:hAnsi="Verdana"/>
          <w:b/>
          <w:bCs/>
          <w:noProof/>
          <w:sz w:val="22"/>
          <w:szCs w:val="22"/>
        </w:rPr>
        <w:pict>
          <v:shape id="_x0000_i1056" type="#_x0000_t75" style="width:449.5pt;height:230.25pt">
            <v:imagedata r:id="rId50" o:title=""/>
          </v:shape>
        </w:pict>
      </w:r>
    </w:p>
    <w:p w:rsidR="007F07DD" w:rsidRDefault="007F07DD" w:rsidP="007F07DD">
      <w:pPr>
        <w:tabs>
          <w:tab w:val="left" w:pos="0"/>
        </w:tabs>
        <w:spacing w:before="60" w:after="60"/>
        <w:jc w:val="both"/>
        <w:rPr>
          <w:rFonts w:ascii="Verdana" w:hAnsi="Verdana" w:cs="Arial"/>
          <w:sz w:val="16"/>
          <w:szCs w:val="16"/>
        </w:rPr>
      </w:pPr>
      <w:r w:rsidRPr="000A6485">
        <w:rPr>
          <w:rFonts w:ascii="Verdana" w:hAnsi="Verdana" w:cs="Arial"/>
          <w:sz w:val="16"/>
          <w:szCs w:val="16"/>
        </w:rPr>
        <w:lastRenderedPageBreak/>
        <w:t xml:space="preserve">W każdym z lat objętych prognozą występuje dodatnia różnica między limitem obciążeń budżetu związanych </w:t>
      </w:r>
      <w:r w:rsidRPr="000A6485">
        <w:rPr>
          <w:rFonts w:ascii="Verdana" w:hAnsi="Verdana" w:cs="Arial"/>
          <w:sz w:val="16"/>
          <w:szCs w:val="16"/>
        </w:rPr>
        <w:br/>
        <w:t xml:space="preserve">z obsługą zadłużenia a wskaźnikiem obsługi zadłużenia z uwzględnieniem wyłączeń ustawowych - której najniższa wartość wynosi </w:t>
      </w:r>
      <w:r>
        <w:rPr>
          <w:rFonts w:ascii="Verdana" w:hAnsi="Verdana" w:cs="Arial"/>
          <w:b/>
          <w:sz w:val="16"/>
          <w:szCs w:val="16"/>
        </w:rPr>
        <w:t>+0,70 pkt</w:t>
      </w:r>
      <w:r w:rsidRPr="000A6485">
        <w:rPr>
          <w:rFonts w:ascii="Verdana" w:hAnsi="Verdana" w:cs="Arial"/>
          <w:b/>
          <w:sz w:val="16"/>
          <w:szCs w:val="16"/>
        </w:rPr>
        <w:t xml:space="preserve"> proc.</w:t>
      </w:r>
      <w:r w:rsidRPr="000A6485">
        <w:rPr>
          <w:rFonts w:ascii="Verdana" w:hAnsi="Verdana" w:cs="Arial"/>
          <w:sz w:val="16"/>
          <w:szCs w:val="16"/>
        </w:rPr>
        <w:t xml:space="preserve"> w 202</w:t>
      </w:r>
      <w:r>
        <w:rPr>
          <w:rFonts w:ascii="Verdana" w:hAnsi="Verdana" w:cs="Arial"/>
          <w:sz w:val="16"/>
          <w:szCs w:val="16"/>
        </w:rPr>
        <w:t>6</w:t>
      </w:r>
      <w:r w:rsidRPr="000A6485">
        <w:rPr>
          <w:rFonts w:ascii="Verdana" w:hAnsi="Verdana" w:cs="Arial"/>
          <w:sz w:val="16"/>
          <w:szCs w:val="16"/>
        </w:rPr>
        <w:t xml:space="preserve"> r.</w:t>
      </w:r>
      <w:r>
        <w:rPr>
          <w:rFonts w:ascii="Verdana" w:hAnsi="Verdana" w:cs="Arial"/>
          <w:sz w:val="16"/>
          <w:szCs w:val="16"/>
        </w:rPr>
        <w:t xml:space="preserve">, </w:t>
      </w:r>
      <w:r w:rsidRPr="000A6485">
        <w:rPr>
          <w:rFonts w:ascii="Verdana" w:hAnsi="Verdana" w:cs="Arial"/>
          <w:b/>
          <w:sz w:val="16"/>
          <w:szCs w:val="16"/>
        </w:rPr>
        <w:t>+0,</w:t>
      </w:r>
      <w:r>
        <w:rPr>
          <w:rFonts w:ascii="Verdana" w:hAnsi="Verdana" w:cs="Arial"/>
          <w:b/>
          <w:sz w:val="16"/>
          <w:szCs w:val="16"/>
        </w:rPr>
        <w:t>25 pkt</w:t>
      </w:r>
      <w:r w:rsidRPr="000A6485">
        <w:rPr>
          <w:rFonts w:ascii="Verdana" w:hAnsi="Verdana" w:cs="Arial"/>
          <w:b/>
          <w:sz w:val="16"/>
          <w:szCs w:val="16"/>
        </w:rPr>
        <w:t xml:space="preserve"> proc.</w:t>
      </w:r>
      <w:r w:rsidRPr="000A6485">
        <w:rPr>
          <w:rFonts w:ascii="Verdana" w:hAnsi="Verdana" w:cs="Arial"/>
          <w:sz w:val="16"/>
          <w:szCs w:val="16"/>
        </w:rPr>
        <w:t xml:space="preserve"> w 202</w:t>
      </w:r>
      <w:r>
        <w:rPr>
          <w:rFonts w:ascii="Verdana" w:hAnsi="Verdana" w:cs="Arial"/>
          <w:sz w:val="16"/>
          <w:szCs w:val="16"/>
        </w:rPr>
        <w:t xml:space="preserve">7 r., </w:t>
      </w:r>
      <w:r>
        <w:rPr>
          <w:rFonts w:ascii="Verdana" w:hAnsi="Verdana" w:cs="Arial"/>
          <w:b/>
          <w:sz w:val="16"/>
          <w:szCs w:val="16"/>
        </w:rPr>
        <w:t>+0,97 pkt</w:t>
      </w:r>
      <w:r w:rsidRPr="000A6485">
        <w:rPr>
          <w:rFonts w:ascii="Verdana" w:hAnsi="Verdana" w:cs="Arial"/>
          <w:b/>
          <w:sz w:val="16"/>
          <w:szCs w:val="16"/>
        </w:rPr>
        <w:t xml:space="preserve"> proc.</w:t>
      </w:r>
      <w:r w:rsidRPr="000A6485">
        <w:rPr>
          <w:rFonts w:ascii="Verdana" w:hAnsi="Verdana" w:cs="Arial"/>
          <w:sz w:val="16"/>
          <w:szCs w:val="16"/>
        </w:rPr>
        <w:t xml:space="preserve"> w 202</w:t>
      </w:r>
      <w:r>
        <w:rPr>
          <w:rFonts w:ascii="Verdana" w:hAnsi="Verdana" w:cs="Arial"/>
          <w:sz w:val="16"/>
          <w:szCs w:val="16"/>
        </w:rPr>
        <w:t>8</w:t>
      </w:r>
      <w:r w:rsidRPr="000A6485">
        <w:rPr>
          <w:rFonts w:ascii="Verdana" w:hAnsi="Verdana" w:cs="Arial"/>
          <w:sz w:val="16"/>
          <w:szCs w:val="16"/>
        </w:rPr>
        <w:t xml:space="preserve"> r.</w:t>
      </w:r>
      <w:r>
        <w:rPr>
          <w:rFonts w:ascii="Verdana" w:hAnsi="Verdana" w:cs="Arial"/>
          <w:sz w:val="16"/>
          <w:szCs w:val="16"/>
        </w:rPr>
        <w:t xml:space="preserve"> </w:t>
      </w:r>
      <w:r>
        <w:rPr>
          <w:rFonts w:ascii="Verdana" w:hAnsi="Verdana" w:cs="Arial"/>
          <w:sz w:val="16"/>
          <w:szCs w:val="16"/>
        </w:rPr>
        <w:br/>
      </w:r>
      <w:r w:rsidRPr="000A6485">
        <w:rPr>
          <w:rFonts w:ascii="Verdana" w:hAnsi="Verdana" w:cs="Arial"/>
          <w:sz w:val="16"/>
          <w:szCs w:val="16"/>
        </w:rPr>
        <w:t xml:space="preserve">- co oznacza </w:t>
      </w:r>
      <w:r w:rsidRPr="000A6485">
        <w:rPr>
          <w:rFonts w:ascii="Verdana" w:hAnsi="Verdana" w:cs="Arial"/>
          <w:b/>
          <w:sz w:val="16"/>
          <w:szCs w:val="16"/>
        </w:rPr>
        <w:t xml:space="preserve">spełnienie reguły ustawowej odnoszącej się do indywidualnego limitu obsługi długu </w:t>
      </w:r>
      <w:r>
        <w:rPr>
          <w:rFonts w:ascii="Verdana" w:hAnsi="Verdana" w:cs="Arial"/>
          <w:b/>
          <w:sz w:val="16"/>
          <w:szCs w:val="16"/>
        </w:rPr>
        <w:br/>
      </w:r>
      <w:r w:rsidRPr="000A6485">
        <w:rPr>
          <w:rFonts w:ascii="Verdana" w:hAnsi="Verdana" w:cs="Arial"/>
          <w:b/>
          <w:sz w:val="16"/>
          <w:szCs w:val="16"/>
        </w:rPr>
        <w:t xml:space="preserve">w całym okresie </w:t>
      </w:r>
      <w:r>
        <w:rPr>
          <w:rFonts w:ascii="Verdana" w:hAnsi="Verdana" w:cs="Arial"/>
          <w:b/>
          <w:sz w:val="16"/>
          <w:szCs w:val="16"/>
        </w:rPr>
        <w:t xml:space="preserve">WPF </w:t>
      </w:r>
      <w:r w:rsidRPr="0090283F">
        <w:rPr>
          <w:rFonts w:ascii="Verdana" w:hAnsi="Verdana" w:cs="Arial"/>
          <w:b/>
          <w:sz w:val="16"/>
          <w:szCs w:val="16"/>
        </w:rPr>
        <w:t>2022</w:t>
      </w:r>
      <w:r w:rsidRPr="000A6485">
        <w:rPr>
          <w:rFonts w:ascii="Verdana" w:hAnsi="Verdana" w:cs="Arial"/>
          <w:b/>
          <w:sz w:val="16"/>
          <w:szCs w:val="16"/>
        </w:rPr>
        <w:t>-2050</w:t>
      </w:r>
    </w:p>
    <w:p w:rsidR="007F07DD" w:rsidRPr="000A6485" w:rsidRDefault="007F07DD" w:rsidP="007F07DD">
      <w:pPr>
        <w:tabs>
          <w:tab w:val="left" w:pos="0"/>
        </w:tabs>
        <w:spacing w:before="240" w:after="60"/>
        <w:ind w:firstLine="567"/>
        <w:jc w:val="both"/>
        <w:rPr>
          <w:rFonts w:ascii="Verdana" w:hAnsi="Verdana" w:cs="Arial"/>
          <w:sz w:val="18"/>
          <w:szCs w:val="18"/>
        </w:rPr>
      </w:pPr>
      <w:r>
        <w:rPr>
          <w:rFonts w:ascii="Verdana" w:hAnsi="Verdana" w:cs="Arial"/>
          <w:sz w:val="16"/>
          <w:szCs w:val="16"/>
        </w:rPr>
        <w:t>Tabela nr 4</w:t>
      </w:r>
      <w:r w:rsidRPr="000A6485">
        <w:rPr>
          <w:rFonts w:ascii="Verdana" w:hAnsi="Verdana" w:cs="Arial"/>
          <w:sz w:val="16"/>
          <w:szCs w:val="16"/>
        </w:rPr>
        <w:t xml:space="preserve"> prezentuje prognozowane kształtowanie </w:t>
      </w:r>
      <w:r>
        <w:rPr>
          <w:rFonts w:ascii="Verdana" w:hAnsi="Verdana" w:cs="Arial"/>
          <w:sz w:val="16"/>
          <w:szCs w:val="16"/>
        </w:rPr>
        <w:t xml:space="preserve">się w latach </w:t>
      </w:r>
      <w:r w:rsidRPr="0090283F">
        <w:rPr>
          <w:rFonts w:ascii="Verdana" w:hAnsi="Verdana" w:cs="Arial"/>
          <w:sz w:val="16"/>
          <w:szCs w:val="16"/>
        </w:rPr>
        <w:t>2022</w:t>
      </w:r>
      <w:r w:rsidRPr="000A6485">
        <w:rPr>
          <w:rFonts w:ascii="Verdana" w:hAnsi="Verdana" w:cs="Arial"/>
          <w:sz w:val="16"/>
          <w:szCs w:val="16"/>
        </w:rPr>
        <w:t xml:space="preserve">-2050 wskaźnika i limitu wydatków i rozchodów związanych z obsługą długu </w:t>
      </w:r>
      <w:r w:rsidRPr="000A6485">
        <w:rPr>
          <w:rFonts w:ascii="Verdana" w:hAnsi="Verdana" w:cs="Arial"/>
          <w:b/>
          <w:sz w:val="16"/>
          <w:szCs w:val="16"/>
        </w:rPr>
        <w:t>bez uwzględnienia ustawowych wyłączeń</w:t>
      </w:r>
      <w:r w:rsidRPr="000A6485">
        <w:rPr>
          <w:rFonts w:ascii="Verdana" w:hAnsi="Verdana" w:cs="Arial"/>
          <w:sz w:val="16"/>
          <w:szCs w:val="16"/>
        </w:rPr>
        <w:t>.</w:t>
      </w:r>
    </w:p>
    <w:p w:rsidR="007F07DD" w:rsidRPr="000A6485" w:rsidRDefault="007F07DD" w:rsidP="007F07DD">
      <w:pPr>
        <w:tabs>
          <w:tab w:val="left" w:pos="0"/>
        </w:tabs>
        <w:spacing w:before="120" w:after="120" w:line="240" w:lineRule="auto"/>
        <w:rPr>
          <w:rFonts w:ascii="Verdana" w:hAnsi="Verdana" w:cs="Arial"/>
          <w:b/>
          <w:bCs/>
          <w:sz w:val="14"/>
          <w:szCs w:val="14"/>
        </w:rPr>
      </w:pPr>
      <w:r w:rsidRPr="000A6485">
        <w:rPr>
          <w:rFonts w:ascii="Verdana" w:hAnsi="Verdana" w:cs="Arial"/>
          <w:b/>
          <w:bCs/>
          <w:sz w:val="14"/>
          <w:szCs w:val="14"/>
        </w:rPr>
        <w:t xml:space="preserve">TAB. </w:t>
      </w:r>
      <w:r w:rsidRPr="000A6485">
        <w:rPr>
          <w:rFonts w:ascii="Verdana" w:hAnsi="Verdana" w:cs="Arial"/>
          <w:b/>
          <w:bCs/>
          <w:sz w:val="14"/>
          <w:szCs w:val="14"/>
        </w:rPr>
        <w:fldChar w:fldCharType="begin"/>
      </w:r>
      <w:r w:rsidRPr="000A6485">
        <w:rPr>
          <w:rFonts w:ascii="Verdana" w:hAnsi="Verdana" w:cs="Arial"/>
          <w:b/>
          <w:bCs/>
          <w:sz w:val="14"/>
          <w:szCs w:val="14"/>
        </w:rPr>
        <w:instrText xml:space="preserve"> SEQ Tab. \* ARABIC </w:instrText>
      </w:r>
      <w:r w:rsidRPr="000A6485">
        <w:rPr>
          <w:rFonts w:ascii="Verdana" w:hAnsi="Verdana" w:cs="Arial"/>
          <w:b/>
          <w:bCs/>
          <w:sz w:val="14"/>
          <w:szCs w:val="14"/>
        </w:rPr>
        <w:fldChar w:fldCharType="separate"/>
      </w:r>
      <w:r>
        <w:rPr>
          <w:rFonts w:ascii="Verdana" w:hAnsi="Verdana" w:cs="Arial"/>
          <w:b/>
          <w:bCs/>
          <w:noProof/>
          <w:sz w:val="14"/>
          <w:szCs w:val="14"/>
        </w:rPr>
        <w:t>4</w:t>
      </w:r>
      <w:r w:rsidRPr="000A6485">
        <w:rPr>
          <w:rFonts w:ascii="Verdana" w:hAnsi="Verdana" w:cs="Arial"/>
          <w:b/>
          <w:bCs/>
          <w:sz w:val="14"/>
          <w:szCs w:val="14"/>
        </w:rPr>
        <w:fldChar w:fldCharType="end"/>
      </w:r>
      <w:r w:rsidRPr="000A6485">
        <w:rPr>
          <w:rFonts w:ascii="Verdana" w:hAnsi="Verdana" w:cs="Arial"/>
          <w:b/>
          <w:bCs/>
          <w:sz w:val="14"/>
          <w:szCs w:val="14"/>
        </w:rPr>
        <w:t xml:space="preserve">. PROGNOZA DOPUSZCZALNEGO USTAWOWO I RZECZYWISTEGO POZIOMU WYDATKÓW I ROZCHODÓW </w:t>
      </w:r>
      <w:r w:rsidRPr="000A6485">
        <w:rPr>
          <w:rFonts w:ascii="Verdana" w:hAnsi="Verdana" w:cs="Arial"/>
          <w:b/>
          <w:bCs/>
          <w:sz w:val="14"/>
          <w:szCs w:val="14"/>
        </w:rPr>
        <w:br/>
        <w:t xml:space="preserve">             ZWIĄZANYCH Z OBSŁUGĄ ZADŁUŻENIA I PORĘCZENIAMI I GWARANCJAMI W RELACJI DO DOCHODÓW  </w:t>
      </w:r>
      <w:r w:rsidRPr="000A6485">
        <w:rPr>
          <w:rFonts w:ascii="Verdana" w:hAnsi="Verdana" w:cs="Arial"/>
          <w:b/>
          <w:bCs/>
          <w:sz w:val="14"/>
          <w:szCs w:val="14"/>
        </w:rPr>
        <w:br/>
        <w:t xml:space="preserve">          </w:t>
      </w:r>
      <w:r>
        <w:rPr>
          <w:rFonts w:ascii="Verdana" w:hAnsi="Verdana" w:cs="Arial"/>
          <w:b/>
          <w:bCs/>
          <w:sz w:val="14"/>
          <w:szCs w:val="14"/>
        </w:rPr>
        <w:t xml:space="preserve">   W M.ST. WARSZAWA NA LATA </w:t>
      </w:r>
      <w:r w:rsidRPr="0090283F">
        <w:rPr>
          <w:rFonts w:ascii="Verdana" w:hAnsi="Verdana" w:cs="Arial"/>
          <w:b/>
          <w:bCs/>
          <w:sz w:val="14"/>
          <w:szCs w:val="14"/>
        </w:rPr>
        <w:t>2022</w:t>
      </w:r>
      <w:r w:rsidRPr="000A6485">
        <w:rPr>
          <w:rFonts w:ascii="Verdana" w:hAnsi="Verdana" w:cs="Arial"/>
          <w:b/>
          <w:bCs/>
          <w:sz w:val="14"/>
          <w:szCs w:val="14"/>
        </w:rPr>
        <w:t xml:space="preserve">-2050 – BEZ UWZGLĘDNIENIA USTAWOWYCH WYŁĄCZEŃ </w:t>
      </w:r>
      <w:r>
        <w:rPr>
          <w:rFonts w:ascii="Verdana" w:hAnsi="Verdana" w:cs="Arial"/>
          <w:bCs/>
          <w:sz w:val="14"/>
          <w:szCs w:val="14"/>
        </w:rPr>
        <w:t xml:space="preserve">[w </w:t>
      </w:r>
      <w:r w:rsidRPr="000A6485">
        <w:rPr>
          <w:rFonts w:ascii="Verdana" w:hAnsi="Verdana" w:cs="Arial"/>
          <w:bCs/>
          <w:sz w:val="14"/>
          <w:szCs w:val="14"/>
        </w:rPr>
        <w:t>%]</w:t>
      </w:r>
    </w:p>
    <w:p w:rsidR="007F07DD" w:rsidRPr="000A6485" w:rsidRDefault="00F33C94" w:rsidP="007F07DD">
      <w:pPr>
        <w:tabs>
          <w:tab w:val="left" w:pos="0"/>
        </w:tabs>
        <w:spacing w:before="120" w:after="120"/>
        <w:rPr>
          <w:rFonts w:ascii="Verdana" w:hAnsi="Verdana"/>
          <w:b/>
          <w:bCs/>
          <w:noProof/>
          <w:sz w:val="22"/>
          <w:szCs w:val="22"/>
        </w:rPr>
      </w:pPr>
      <w:r>
        <w:rPr>
          <w:rFonts w:ascii="Verdana" w:hAnsi="Verdana"/>
          <w:b/>
          <w:bCs/>
          <w:noProof/>
          <w:sz w:val="22"/>
          <w:szCs w:val="22"/>
        </w:rPr>
        <w:pict>
          <v:shape id="_x0000_i1057" type="#_x0000_t75" style="width:487.8pt;height:114.15pt">
            <v:imagedata r:id="rId51" o:title=""/>
          </v:shape>
        </w:pict>
      </w:r>
    </w:p>
    <w:p w:rsidR="007F07DD" w:rsidRPr="000A6485" w:rsidRDefault="007F07DD" w:rsidP="007F07DD">
      <w:pPr>
        <w:tabs>
          <w:tab w:val="left" w:pos="0"/>
        </w:tabs>
        <w:spacing w:before="360" w:after="120"/>
        <w:ind w:firstLine="567"/>
        <w:jc w:val="both"/>
        <w:rPr>
          <w:rFonts w:ascii="Verdana" w:hAnsi="Verdana" w:cs="Arial"/>
          <w:sz w:val="16"/>
          <w:szCs w:val="16"/>
        </w:rPr>
      </w:pPr>
      <w:r>
        <w:rPr>
          <w:rFonts w:ascii="Verdana" w:hAnsi="Verdana" w:cs="Arial"/>
          <w:sz w:val="16"/>
          <w:szCs w:val="16"/>
        </w:rPr>
        <w:t>Tabela nr 5</w:t>
      </w:r>
      <w:r w:rsidRPr="000A6485">
        <w:rPr>
          <w:rFonts w:ascii="Verdana" w:hAnsi="Verdana" w:cs="Arial"/>
          <w:sz w:val="16"/>
          <w:szCs w:val="16"/>
        </w:rPr>
        <w:t xml:space="preserve"> prezentuje prognozowane</w:t>
      </w:r>
      <w:r>
        <w:rPr>
          <w:rFonts w:ascii="Verdana" w:hAnsi="Verdana" w:cs="Arial"/>
          <w:sz w:val="16"/>
          <w:szCs w:val="16"/>
        </w:rPr>
        <w:t xml:space="preserve"> kształtowanie się w latach </w:t>
      </w:r>
      <w:r w:rsidRPr="0090283F">
        <w:rPr>
          <w:rFonts w:ascii="Verdana" w:hAnsi="Verdana" w:cs="Arial"/>
          <w:sz w:val="16"/>
          <w:szCs w:val="16"/>
        </w:rPr>
        <w:t>2022</w:t>
      </w:r>
      <w:r w:rsidRPr="000A6485">
        <w:rPr>
          <w:rFonts w:ascii="Verdana" w:hAnsi="Verdana" w:cs="Arial"/>
          <w:sz w:val="16"/>
          <w:szCs w:val="16"/>
        </w:rPr>
        <w:t xml:space="preserve">-2050 wskaźnika i limitu wydatków i rozchodów związanych z obsługą długu </w:t>
      </w:r>
      <w:r w:rsidRPr="000A6485">
        <w:rPr>
          <w:rFonts w:ascii="Verdana" w:hAnsi="Verdana" w:cs="Arial"/>
          <w:b/>
          <w:sz w:val="16"/>
          <w:szCs w:val="16"/>
        </w:rPr>
        <w:t>po uwzględnieniu ustawowych wyłączeń</w:t>
      </w:r>
      <w:r w:rsidRPr="000A6485">
        <w:rPr>
          <w:rFonts w:ascii="Verdana" w:hAnsi="Verdana" w:cs="Arial"/>
          <w:sz w:val="16"/>
          <w:szCs w:val="16"/>
        </w:rPr>
        <w:t>.</w:t>
      </w:r>
    </w:p>
    <w:p w:rsidR="007F07DD" w:rsidRPr="000A6485" w:rsidRDefault="007F07DD" w:rsidP="007F07DD">
      <w:pPr>
        <w:pStyle w:val="Legenda"/>
        <w:keepNext/>
        <w:spacing w:before="60" w:after="120"/>
        <w:rPr>
          <w:rFonts w:ascii="Verdana" w:hAnsi="Verdana" w:cs="Arial"/>
          <w:iCs/>
        </w:rPr>
      </w:pPr>
      <w:r w:rsidRPr="000A6485">
        <w:rPr>
          <w:rFonts w:ascii="Verdana" w:hAnsi="Verdana" w:cs="Arial"/>
          <w:sz w:val="14"/>
          <w:szCs w:val="14"/>
        </w:rPr>
        <w:t xml:space="preserve">TAB. </w:t>
      </w:r>
      <w:r w:rsidRPr="000A6485">
        <w:rPr>
          <w:rFonts w:ascii="Verdana" w:hAnsi="Verdana" w:cs="Arial"/>
          <w:sz w:val="14"/>
          <w:szCs w:val="14"/>
        </w:rPr>
        <w:fldChar w:fldCharType="begin"/>
      </w:r>
      <w:r w:rsidRPr="000A6485">
        <w:rPr>
          <w:rFonts w:ascii="Verdana" w:hAnsi="Verdana" w:cs="Arial"/>
          <w:sz w:val="14"/>
          <w:szCs w:val="14"/>
        </w:rPr>
        <w:instrText xml:space="preserve"> SEQ Tab. \* ARABIC </w:instrText>
      </w:r>
      <w:r w:rsidRPr="000A6485">
        <w:rPr>
          <w:rFonts w:ascii="Verdana" w:hAnsi="Verdana" w:cs="Arial"/>
          <w:sz w:val="14"/>
          <w:szCs w:val="14"/>
        </w:rPr>
        <w:fldChar w:fldCharType="separate"/>
      </w:r>
      <w:r>
        <w:rPr>
          <w:rFonts w:ascii="Verdana" w:hAnsi="Verdana" w:cs="Arial"/>
          <w:noProof/>
          <w:sz w:val="14"/>
          <w:szCs w:val="14"/>
        </w:rPr>
        <w:t>5</w:t>
      </w:r>
      <w:r w:rsidRPr="000A6485">
        <w:rPr>
          <w:rFonts w:ascii="Verdana" w:hAnsi="Verdana" w:cs="Arial"/>
          <w:sz w:val="14"/>
          <w:szCs w:val="14"/>
        </w:rPr>
        <w:fldChar w:fldCharType="end"/>
      </w:r>
      <w:r w:rsidRPr="000A6485">
        <w:rPr>
          <w:rFonts w:ascii="Verdana" w:hAnsi="Verdana" w:cs="Arial"/>
          <w:sz w:val="14"/>
          <w:szCs w:val="14"/>
        </w:rPr>
        <w:t xml:space="preserve">. </w:t>
      </w:r>
      <w:r w:rsidRPr="000A6485">
        <w:rPr>
          <w:rFonts w:ascii="Verdana" w:hAnsi="Verdana" w:cs="Arial"/>
          <w:bCs w:val="0"/>
          <w:sz w:val="14"/>
          <w:szCs w:val="14"/>
        </w:rPr>
        <w:t xml:space="preserve">PROGNOZA DOPUSZCZALNEGO USTAWOWO I RZECZYWISTEGO POZIOMU WYDATKÓW I ROZCHODÓW </w:t>
      </w:r>
      <w:r w:rsidRPr="000A6485">
        <w:rPr>
          <w:rFonts w:ascii="Verdana" w:hAnsi="Verdana" w:cs="Arial"/>
          <w:bCs w:val="0"/>
          <w:sz w:val="14"/>
          <w:szCs w:val="14"/>
        </w:rPr>
        <w:br/>
        <w:t xml:space="preserve">             ZWIĄZANYCH Z OBSŁUGĄ ZADŁUŻENIA I PORĘCZENIAMI I GWARANCJAMI W RELACJI DO DOCHODÓW  </w:t>
      </w:r>
      <w:r w:rsidRPr="000A6485">
        <w:rPr>
          <w:rFonts w:ascii="Verdana" w:hAnsi="Verdana" w:cs="Arial"/>
          <w:bCs w:val="0"/>
          <w:sz w:val="14"/>
          <w:szCs w:val="14"/>
        </w:rPr>
        <w:br/>
        <w:t xml:space="preserve">          </w:t>
      </w:r>
      <w:r>
        <w:rPr>
          <w:rFonts w:ascii="Verdana" w:hAnsi="Verdana" w:cs="Arial"/>
          <w:bCs w:val="0"/>
          <w:sz w:val="14"/>
          <w:szCs w:val="14"/>
        </w:rPr>
        <w:t xml:space="preserve">   W M.ST. WARSZAWA NA LATA </w:t>
      </w:r>
      <w:r w:rsidRPr="0090283F">
        <w:rPr>
          <w:rFonts w:ascii="Verdana" w:hAnsi="Verdana" w:cs="Arial"/>
          <w:bCs w:val="0"/>
          <w:sz w:val="14"/>
          <w:szCs w:val="14"/>
        </w:rPr>
        <w:t>2022</w:t>
      </w:r>
      <w:r w:rsidRPr="000A6485">
        <w:rPr>
          <w:rFonts w:ascii="Verdana" w:hAnsi="Verdana" w:cs="Arial"/>
          <w:bCs w:val="0"/>
          <w:sz w:val="14"/>
          <w:szCs w:val="14"/>
        </w:rPr>
        <w:t xml:space="preserve">-2050 </w:t>
      </w:r>
      <w:r w:rsidRPr="000A6485">
        <w:rPr>
          <w:rFonts w:ascii="Verdana" w:hAnsi="Verdana" w:cs="Arial"/>
          <w:sz w:val="14"/>
          <w:szCs w:val="14"/>
        </w:rPr>
        <w:t xml:space="preserve">– PO UWZGLĘDNIENIU USTAWOWYCH WYŁĄCZEŃ </w:t>
      </w:r>
      <w:r>
        <w:rPr>
          <w:rFonts w:ascii="Verdana" w:hAnsi="Verdana" w:cs="Arial"/>
          <w:b w:val="0"/>
          <w:sz w:val="14"/>
          <w:szCs w:val="14"/>
        </w:rPr>
        <w:t xml:space="preserve">[w </w:t>
      </w:r>
      <w:r w:rsidRPr="000A6485">
        <w:rPr>
          <w:rFonts w:ascii="Verdana" w:hAnsi="Verdana" w:cs="Arial"/>
          <w:b w:val="0"/>
          <w:sz w:val="14"/>
          <w:szCs w:val="14"/>
        </w:rPr>
        <w:t>%]</w:t>
      </w:r>
      <w:r w:rsidRPr="000A6485">
        <w:rPr>
          <w:rFonts w:ascii="Verdana" w:hAnsi="Verdana" w:cs="Arial"/>
          <w:b w:val="0"/>
          <w:sz w:val="16"/>
          <w:szCs w:val="16"/>
        </w:rPr>
        <w:br/>
      </w:r>
      <w:r w:rsidRPr="000A6485">
        <w:rPr>
          <w:rFonts w:ascii="Verdana" w:hAnsi="Verdana"/>
          <w:b w:val="0"/>
          <w:bCs w:val="0"/>
          <w:sz w:val="12"/>
          <w:szCs w:val="12"/>
        </w:rPr>
        <w:t xml:space="preserve">  </w:t>
      </w:r>
      <w:r w:rsidR="00F33C94">
        <w:rPr>
          <w:rFonts w:ascii="Verdana" w:hAnsi="Verdana" w:cs="Arial"/>
          <w:iCs/>
          <w:noProof/>
        </w:rPr>
        <w:pict>
          <v:shape id="_x0000_i1058" type="#_x0000_t75" style="width:485.2pt;height:173.85pt">
            <v:imagedata r:id="rId52" o:title=""/>
          </v:shape>
        </w:pict>
      </w:r>
    </w:p>
    <w:p w:rsidR="007F07DD" w:rsidRDefault="007F07DD" w:rsidP="007F07DD">
      <w:pPr>
        <w:tabs>
          <w:tab w:val="num" w:pos="1273"/>
        </w:tabs>
        <w:spacing w:before="240" w:after="120"/>
        <w:rPr>
          <w:rFonts w:ascii="Verdana" w:hAnsi="Verdana"/>
          <w:b/>
          <w:bCs/>
          <w:sz w:val="22"/>
          <w:szCs w:val="22"/>
        </w:rPr>
      </w:pPr>
      <w:r>
        <w:rPr>
          <w:rFonts w:ascii="Verdana" w:hAnsi="Verdana"/>
          <w:b/>
          <w:bCs/>
          <w:sz w:val="22"/>
          <w:szCs w:val="22"/>
        </w:rPr>
        <w:br w:type="page"/>
      </w:r>
    </w:p>
    <w:p w:rsidR="007F07DD" w:rsidRPr="000A6485" w:rsidRDefault="007F07DD" w:rsidP="007F07DD">
      <w:pPr>
        <w:tabs>
          <w:tab w:val="num" w:pos="1273"/>
        </w:tabs>
        <w:spacing w:before="240" w:after="120"/>
        <w:rPr>
          <w:rFonts w:ascii="Verdana" w:hAnsi="Verdana"/>
          <w:b/>
          <w:bCs/>
          <w:sz w:val="22"/>
          <w:szCs w:val="22"/>
        </w:rPr>
      </w:pPr>
      <w:r w:rsidRPr="000A6485">
        <w:rPr>
          <w:rFonts w:ascii="Verdana" w:hAnsi="Verdana"/>
          <w:b/>
          <w:bCs/>
          <w:sz w:val="22"/>
          <w:szCs w:val="22"/>
        </w:rPr>
        <w:lastRenderedPageBreak/>
        <w:t>9. Zestawienie przedsięwzięć wieloletnich</w:t>
      </w:r>
    </w:p>
    <w:p w:rsidR="007F07DD" w:rsidRPr="000A6485" w:rsidRDefault="007F07DD" w:rsidP="007F07DD">
      <w:pPr>
        <w:spacing w:before="60" w:after="60"/>
        <w:ind w:firstLine="540"/>
        <w:jc w:val="both"/>
        <w:rPr>
          <w:rFonts w:ascii="Verdana" w:hAnsi="Verdana"/>
          <w:bCs/>
          <w:sz w:val="16"/>
          <w:szCs w:val="16"/>
        </w:rPr>
      </w:pPr>
      <w:r w:rsidRPr="000A6485">
        <w:rPr>
          <w:rFonts w:ascii="Verdana" w:hAnsi="Verdana"/>
          <w:bCs/>
          <w:sz w:val="16"/>
          <w:szCs w:val="16"/>
        </w:rPr>
        <w:t xml:space="preserve">Załącznikiem do uchwały w sprawie WPF </w:t>
      </w:r>
      <w:r w:rsidRPr="0090283F">
        <w:rPr>
          <w:rFonts w:ascii="Verdana" w:hAnsi="Verdana" w:cs="Arial"/>
          <w:sz w:val="16"/>
          <w:szCs w:val="16"/>
        </w:rPr>
        <w:t>2022</w:t>
      </w:r>
      <w:r w:rsidRPr="000A6485">
        <w:rPr>
          <w:rFonts w:ascii="Verdana" w:hAnsi="Verdana"/>
          <w:bCs/>
          <w:sz w:val="16"/>
          <w:szCs w:val="16"/>
        </w:rPr>
        <w:t xml:space="preserve">-2050 jest wykaz wieloletnich przedsięwzięć bieżących </w:t>
      </w:r>
      <w:r>
        <w:rPr>
          <w:rFonts w:ascii="Verdana" w:hAnsi="Verdana"/>
          <w:bCs/>
          <w:sz w:val="16"/>
          <w:szCs w:val="16"/>
        </w:rPr>
        <w:br/>
      </w:r>
      <w:r w:rsidRPr="000A6485">
        <w:rPr>
          <w:rFonts w:ascii="Verdana" w:hAnsi="Verdana"/>
          <w:bCs/>
          <w:sz w:val="16"/>
          <w:szCs w:val="16"/>
        </w:rPr>
        <w:t xml:space="preserve">i majątkowych, w tym realizowanych ze środków Unii Europejskiej i innych bezzwrotnych źródeł zagranicznych. </w:t>
      </w:r>
    </w:p>
    <w:p w:rsidR="007F07DD" w:rsidRPr="00D55680" w:rsidRDefault="007F07DD" w:rsidP="007F07DD">
      <w:pPr>
        <w:spacing w:before="60" w:after="60"/>
        <w:jc w:val="both"/>
        <w:rPr>
          <w:rFonts w:ascii="Verdana" w:hAnsi="Verdana"/>
          <w:bCs/>
          <w:sz w:val="16"/>
          <w:szCs w:val="16"/>
        </w:rPr>
      </w:pPr>
      <w:r w:rsidRPr="00D55680">
        <w:rPr>
          <w:rFonts w:ascii="Verdana" w:hAnsi="Verdana"/>
          <w:bCs/>
          <w:sz w:val="16"/>
          <w:szCs w:val="16"/>
        </w:rPr>
        <w:t xml:space="preserve">Wykaz obejmuje </w:t>
      </w:r>
      <w:r w:rsidRPr="00D55680">
        <w:rPr>
          <w:rFonts w:ascii="Verdana" w:hAnsi="Verdana"/>
          <w:b/>
          <w:bCs/>
          <w:sz w:val="16"/>
          <w:szCs w:val="16"/>
        </w:rPr>
        <w:t>3.</w:t>
      </w:r>
      <w:r>
        <w:rPr>
          <w:rFonts w:ascii="Verdana" w:hAnsi="Verdana"/>
          <w:b/>
          <w:bCs/>
          <w:sz w:val="16"/>
          <w:szCs w:val="16"/>
        </w:rPr>
        <w:t>687</w:t>
      </w:r>
      <w:r w:rsidRPr="00D55680">
        <w:rPr>
          <w:rFonts w:ascii="Verdana" w:hAnsi="Verdana"/>
          <w:b/>
          <w:bCs/>
          <w:sz w:val="16"/>
          <w:szCs w:val="16"/>
        </w:rPr>
        <w:t xml:space="preserve"> </w:t>
      </w:r>
      <w:r w:rsidRPr="00D55680">
        <w:rPr>
          <w:rFonts w:ascii="Verdana" w:hAnsi="Verdana"/>
          <w:bCs/>
          <w:sz w:val="16"/>
          <w:szCs w:val="16"/>
        </w:rPr>
        <w:t>przedsięwzięć wieloletnich, w tym:</w:t>
      </w:r>
    </w:p>
    <w:p w:rsidR="007F07DD" w:rsidRPr="00D55680" w:rsidRDefault="007F07DD" w:rsidP="007F07DD">
      <w:pPr>
        <w:pStyle w:val="Akapitzlist"/>
        <w:numPr>
          <w:ilvl w:val="0"/>
          <w:numId w:val="28"/>
        </w:numPr>
        <w:spacing w:before="60" w:after="60"/>
        <w:ind w:left="709" w:hanging="283"/>
        <w:contextualSpacing w:val="0"/>
        <w:jc w:val="both"/>
        <w:rPr>
          <w:rFonts w:ascii="Verdana" w:hAnsi="Verdana"/>
          <w:bCs/>
          <w:sz w:val="16"/>
          <w:szCs w:val="16"/>
        </w:rPr>
      </w:pPr>
      <w:r w:rsidRPr="00D55680">
        <w:rPr>
          <w:rFonts w:ascii="Verdana" w:hAnsi="Verdana"/>
          <w:b/>
          <w:bCs/>
          <w:sz w:val="16"/>
          <w:szCs w:val="16"/>
        </w:rPr>
        <w:t>2.</w:t>
      </w:r>
      <w:r>
        <w:rPr>
          <w:rFonts w:ascii="Verdana" w:hAnsi="Verdana"/>
          <w:b/>
          <w:bCs/>
          <w:sz w:val="16"/>
          <w:szCs w:val="16"/>
        </w:rPr>
        <w:t>787</w:t>
      </w:r>
      <w:r w:rsidRPr="00D55680">
        <w:rPr>
          <w:rFonts w:ascii="Verdana" w:hAnsi="Verdana"/>
          <w:bCs/>
          <w:sz w:val="16"/>
          <w:szCs w:val="16"/>
        </w:rPr>
        <w:t xml:space="preserve"> przedsięwzięcia bieżące, w tym </w:t>
      </w:r>
      <w:r>
        <w:rPr>
          <w:rFonts w:ascii="Verdana" w:hAnsi="Verdana"/>
          <w:b/>
          <w:bCs/>
          <w:sz w:val="16"/>
          <w:szCs w:val="16"/>
        </w:rPr>
        <w:t>281</w:t>
      </w:r>
      <w:r w:rsidRPr="00D55680">
        <w:rPr>
          <w:rFonts w:ascii="Verdana" w:hAnsi="Verdana"/>
          <w:bCs/>
          <w:sz w:val="16"/>
          <w:szCs w:val="16"/>
        </w:rPr>
        <w:t xml:space="preserve"> z udziałem środków unijnych,</w:t>
      </w:r>
    </w:p>
    <w:p w:rsidR="007F07DD" w:rsidRPr="00D55680" w:rsidRDefault="007F07DD" w:rsidP="007F07DD">
      <w:pPr>
        <w:pStyle w:val="Akapitzlist"/>
        <w:numPr>
          <w:ilvl w:val="0"/>
          <w:numId w:val="28"/>
        </w:numPr>
        <w:spacing w:before="60" w:after="60"/>
        <w:ind w:left="709" w:hanging="283"/>
        <w:contextualSpacing w:val="0"/>
        <w:jc w:val="both"/>
        <w:rPr>
          <w:rFonts w:ascii="Verdana" w:hAnsi="Verdana"/>
          <w:bCs/>
          <w:sz w:val="16"/>
          <w:szCs w:val="16"/>
        </w:rPr>
      </w:pPr>
      <w:r>
        <w:rPr>
          <w:rFonts w:ascii="Verdana" w:hAnsi="Verdana"/>
          <w:b/>
          <w:bCs/>
          <w:sz w:val="16"/>
          <w:szCs w:val="16"/>
        </w:rPr>
        <w:t>899</w:t>
      </w:r>
      <w:r w:rsidRPr="00D55680">
        <w:rPr>
          <w:rFonts w:ascii="Verdana" w:hAnsi="Verdana"/>
          <w:bCs/>
          <w:sz w:val="16"/>
          <w:szCs w:val="16"/>
        </w:rPr>
        <w:t xml:space="preserve"> przedsięwzięcia majątkowe, w tym </w:t>
      </w:r>
      <w:r>
        <w:rPr>
          <w:rFonts w:ascii="Verdana" w:hAnsi="Verdana"/>
          <w:b/>
          <w:bCs/>
          <w:sz w:val="16"/>
          <w:szCs w:val="16"/>
        </w:rPr>
        <w:t>24</w:t>
      </w:r>
      <w:r w:rsidRPr="00D55680">
        <w:rPr>
          <w:rFonts w:ascii="Verdana" w:hAnsi="Verdana"/>
          <w:b/>
          <w:bCs/>
          <w:sz w:val="16"/>
          <w:szCs w:val="16"/>
        </w:rPr>
        <w:t xml:space="preserve"> </w:t>
      </w:r>
      <w:r w:rsidRPr="00D55680">
        <w:rPr>
          <w:rFonts w:ascii="Verdana" w:hAnsi="Verdana"/>
          <w:bCs/>
          <w:sz w:val="16"/>
          <w:szCs w:val="16"/>
        </w:rPr>
        <w:t>z udziałem środków unijnych,</w:t>
      </w:r>
    </w:p>
    <w:p w:rsidR="007F07DD" w:rsidRPr="00D55680" w:rsidRDefault="007F07DD" w:rsidP="007F07DD">
      <w:pPr>
        <w:pStyle w:val="Akapitzlist"/>
        <w:numPr>
          <w:ilvl w:val="0"/>
          <w:numId w:val="28"/>
        </w:numPr>
        <w:spacing w:before="60" w:after="60"/>
        <w:ind w:left="709" w:hanging="283"/>
        <w:contextualSpacing w:val="0"/>
        <w:jc w:val="both"/>
        <w:rPr>
          <w:rFonts w:ascii="Verdana" w:hAnsi="Verdana"/>
          <w:bCs/>
          <w:sz w:val="16"/>
          <w:szCs w:val="16"/>
        </w:rPr>
      </w:pPr>
      <w:r w:rsidRPr="00D55680">
        <w:rPr>
          <w:rFonts w:ascii="Verdana" w:hAnsi="Verdana"/>
          <w:b/>
          <w:bCs/>
          <w:sz w:val="16"/>
          <w:szCs w:val="16"/>
        </w:rPr>
        <w:t>1</w:t>
      </w:r>
      <w:r w:rsidRPr="00D55680">
        <w:rPr>
          <w:rFonts w:ascii="Verdana" w:hAnsi="Verdana"/>
          <w:bCs/>
          <w:sz w:val="16"/>
          <w:szCs w:val="16"/>
        </w:rPr>
        <w:t xml:space="preserve"> przedsięwzięcie związane z umową partnerstwa publiczno-prywatnego.</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Dla każdego z przedsięwzięć określono odrębnie:</w:t>
      </w:r>
    </w:p>
    <w:p w:rsidR="007F07DD" w:rsidRPr="000A6485" w:rsidRDefault="007F07DD" w:rsidP="007F07DD">
      <w:pPr>
        <w:numPr>
          <w:ilvl w:val="0"/>
          <w:numId w:val="3"/>
        </w:numPr>
        <w:tabs>
          <w:tab w:val="clear" w:pos="1080"/>
          <w:tab w:val="num" w:pos="709"/>
        </w:tabs>
        <w:spacing w:before="60" w:after="60"/>
        <w:ind w:left="709" w:hanging="283"/>
        <w:jc w:val="both"/>
        <w:rPr>
          <w:rFonts w:ascii="Verdana" w:hAnsi="Verdana"/>
          <w:bCs/>
          <w:sz w:val="16"/>
          <w:szCs w:val="16"/>
        </w:rPr>
      </w:pPr>
      <w:r w:rsidRPr="000A6485">
        <w:rPr>
          <w:rFonts w:ascii="Verdana" w:hAnsi="Verdana"/>
          <w:bCs/>
          <w:sz w:val="16"/>
          <w:szCs w:val="16"/>
        </w:rPr>
        <w:t>nazwę i cel,</w:t>
      </w:r>
    </w:p>
    <w:p w:rsidR="007F07DD" w:rsidRPr="000A6485" w:rsidRDefault="007F07DD" w:rsidP="007F07DD">
      <w:pPr>
        <w:numPr>
          <w:ilvl w:val="0"/>
          <w:numId w:val="3"/>
        </w:numPr>
        <w:tabs>
          <w:tab w:val="clear" w:pos="1080"/>
          <w:tab w:val="num" w:pos="709"/>
        </w:tabs>
        <w:spacing w:before="60" w:after="60"/>
        <w:ind w:left="709" w:hanging="283"/>
        <w:jc w:val="both"/>
        <w:rPr>
          <w:rFonts w:ascii="Verdana" w:hAnsi="Verdana"/>
          <w:bCs/>
          <w:sz w:val="16"/>
          <w:szCs w:val="16"/>
        </w:rPr>
      </w:pPr>
      <w:r w:rsidRPr="000A6485">
        <w:rPr>
          <w:rFonts w:ascii="Verdana" w:hAnsi="Verdana"/>
          <w:bCs/>
          <w:sz w:val="16"/>
          <w:szCs w:val="16"/>
        </w:rPr>
        <w:t>jednostkę organizacyjną odpowiedzialną za realizację lub koordynującą wykonywanie przedsięwzięcia,</w:t>
      </w:r>
    </w:p>
    <w:p w:rsidR="007F07DD" w:rsidRPr="000A6485" w:rsidRDefault="007F07DD" w:rsidP="007F07DD">
      <w:pPr>
        <w:numPr>
          <w:ilvl w:val="0"/>
          <w:numId w:val="3"/>
        </w:numPr>
        <w:tabs>
          <w:tab w:val="clear" w:pos="1080"/>
          <w:tab w:val="num" w:pos="709"/>
        </w:tabs>
        <w:spacing w:before="60" w:after="60"/>
        <w:ind w:left="709" w:hanging="283"/>
        <w:jc w:val="both"/>
        <w:rPr>
          <w:rFonts w:ascii="Verdana" w:hAnsi="Verdana"/>
          <w:bCs/>
          <w:sz w:val="16"/>
          <w:szCs w:val="16"/>
        </w:rPr>
      </w:pPr>
      <w:r w:rsidRPr="000A6485">
        <w:rPr>
          <w:rFonts w:ascii="Verdana" w:hAnsi="Verdana"/>
          <w:bCs/>
          <w:sz w:val="16"/>
          <w:szCs w:val="16"/>
        </w:rPr>
        <w:t>okres realizacji i łączne nakłady finansowe,</w:t>
      </w:r>
    </w:p>
    <w:p w:rsidR="007F07DD" w:rsidRPr="000A6485" w:rsidRDefault="007F07DD" w:rsidP="007F07DD">
      <w:pPr>
        <w:numPr>
          <w:ilvl w:val="0"/>
          <w:numId w:val="3"/>
        </w:numPr>
        <w:tabs>
          <w:tab w:val="clear" w:pos="1080"/>
          <w:tab w:val="num" w:pos="709"/>
        </w:tabs>
        <w:spacing w:before="60" w:after="60"/>
        <w:ind w:left="709" w:hanging="283"/>
        <w:jc w:val="both"/>
        <w:rPr>
          <w:rFonts w:ascii="Verdana" w:hAnsi="Verdana"/>
          <w:bCs/>
          <w:sz w:val="16"/>
          <w:szCs w:val="16"/>
        </w:rPr>
      </w:pPr>
      <w:r w:rsidRPr="000A6485">
        <w:rPr>
          <w:rFonts w:ascii="Verdana" w:hAnsi="Verdana"/>
          <w:bCs/>
          <w:sz w:val="16"/>
          <w:szCs w:val="16"/>
        </w:rPr>
        <w:t>limity wydatków w poszczególnych latach,</w:t>
      </w:r>
    </w:p>
    <w:p w:rsidR="007F07DD" w:rsidRDefault="007F07DD" w:rsidP="007F07DD">
      <w:pPr>
        <w:numPr>
          <w:ilvl w:val="0"/>
          <w:numId w:val="3"/>
        </w:numPr>
        <w:tabs>
          <w:tab w:val="clear" w:pos="1080"/>
          <w:tab w:val="num" w:pos="709"/>
        </w:tabs>
        <w:spacing w:before="60" w:after="60"/>
        <w:ind w:left="709" w:hanging="283"/>
        <w:jc w:val="both"/>
        <w:rPr>
          <w:rFonts w:ascii="Verdana" w:hAnsi="Verdana"/>
          <w:bCs/>
          <w:sz w:val="16"/>
          <w:szCs w:val="16"/>
        </w:rPr>
      </w:pPr>
      <w:r w:rsidRPr="000A6485">
        <w:rPr>
          <w:rFonts w:ascii="Verdana" w:hAnsi="Verdana"/>
          <w:bCs/>
          <w:sz w:val="16"/>
          <w:szCs w:val="16"/>
        </w:rPr>
        <w:t>limit zobowiązań.</w:t>
      </w:r>
    </w:p>
    <w:p w:rsidR="007F07DD" w:rsidRPr="000A6485" w:rsidRDefault="007F07DD" w:rsidP="007F07DD">
      <w:pPr>
        <w:spacing w:before="60" w:after="60"/>
        <w:ind w:firstLine="567"/>
        <w:jc w:val="both"/>
        <w:rPr>
          <w:rFonts w:ascii="Verdana" w:hAnsi="Verdana"/>
          <w:bCs/>
          <w:sz w:val="16"/>
          <w:szCs w:val="16"/>
        </w:rPr>
      </w:pPr>
      <w:r w:rsidRPr="000A6485">
        <w:rPr>
          <w:rFonts w:ascii="Verdana" w:hAnsi="Verdana"/>
          <w:bCs/>
          <w:sz w:val="16"/>
          <w:szCs w:val="16"/>
        </w:rPr>
        <w:t xml:space="preserve">W wykazie ujęte zostały wszystkie zadania, które będą realizowane w oparciu o środki finansowe zarezerwowane w </w:t>
      </w:r>
      <w:r>
        <w:rPr>
          <w:rFonts w:ascii="Verdana" w:hAnsi="Verdana"/>
          <w:bCs/>
          <w:sz w:val="16"/>
          <w:szCs w:val="16"/>
        </w:rPr>
        <w:t xml:space="preserve">WPF </w:t>
      </w:r>
      <w:r w:rsidRPr="0090283F">
        <w:rPr>
          <w:rFonts w:ascii="Verdana" w:hAnsi="Verdana" w:cs="Arial"/>
          <w:sz w:val="16"/>
          <w:szCs w:val="16"/>
        </w:rPr>
        <w:t>2022</w:t>
      </w:r>
      <w:r w:rsidRPr="000A6485">
        <w:rPr>
          <w:rFonts w:ascii="Verdana" w:hAnsi="Verdana"/>
          <w:bCs/>
          <w:sz w:val="16"/>
          <w:szCs w:val="16"/>
        </w:rPr>
        <w:t>-2050 i odpowiednio w budże</w:t>
      </w:r>
      <w:r>
        <w:rPr>
          <w:rFonts w:ascii="Verdana" w:hAnsi="Verdana"/>
          <w:bCs/>
          <w:sz w:val="16"/>
          <w:szCs w:val="16"/>
        </w:rPr>
        <w:t xml:space="preserve">cie na </w:t>
      </w:r>
      <w:r w:rsidRPr="0090283F">
        <w:rPr>
          <w:rFonts w:ascii="Verdana" w:hAnsi="Verdana" w:cs="Arial"/>
          <w:sz w:val="16"/>
          <w:szCs w:val="16"/>
        </w:rPr>
        <w:t>2022</w:t>
      </w:r>
      <w:r w:rsidRPr="000A6485">
        <w:rPr>
          <w:rFonts w:ascii="Verdana" w:hAnsi="Verdana"/>
          <w:bCs/>
          <w:sz w:val="16"/>
          <w:szCs w:val="16"/>
        </w:rPr>
        <w:t xml:space="preserve"> r., których real</w:t>
      </w:r>
      <w:r>
        <w:rPr>
          <w:rFonts w:ascii="Verdana" w:hAnsi="Verdana"/>
          <w:bCs/>
          <w:sz w:val="16"/>
          <w:szCs w:val="16"/>
        </w:rPr>
        <w:t xml:space="preserve">izacja rozpoczęła się przed </w:t>
      </w:r>
      <w:r w:rsidRPr="0090283F">
        <w:rPr>
          <w:rFonts w:ascii="Verdana" w:hAnsi="Verdana" w:cs="Arial"/>
          <w:sz w:val="16"/>
          <w:szCs w:val="16"/>
        </w:rPr>
        <w:t>2022</w:t>
      </w:r>
      <w:r w:rsidRPr="000A6485">
        <w:rPr>
          <w:rFonts w:ascii="Verdana" w:hAnsi="Verdana"/>
          <w:bCs/>
          <w:sz w:val="16"/>
          <w:szCs w:val="16"/>
        </w:rPr>
        <w:t xml:space="preserve"> r. lub rozpocznie się </w:t>
      </w:r>
      <w:r>
        <w:rPr>
          <w:rFonts w:ascii="Verdana" w:hAnsi="Verdana"/>
          <w:bCs/>
          <w:sz w:val="16"/>
          <w:szCs w:val="16"/>
        </w:rPr>
        <w:t xml:space="preserve">w </w:t>
      </w:r>
      <w:r w:rsidRPr="0090283F">
        <w:rPr>
          <w:rFonts w:ascii="Verdana" w:hAnsi="Verdana" w:cs="Arial"/>
          <w:sz w:val="16"/>
          <w:szCs w:val="16"/>
        </w:rPr>
        <w:t>2022</w:t>
      </w:r>
      <w:r w:rsidRPr="000A6485">
        <w:rPr>
          <w:rFonts w:ascii="Verdana" w:hAnsi="Verdana"/>
          <w:bCs/>
          <w:sz w:val="16"/>
          <w:szCs w:val="16"/>
        </w:rPr>
        <w:t xml:space="preserve"> r. oraz te zadania, które będą realizowane w okresie </w:t>
      </w:r>
      <w:r>
        <w:rPr>
          <w:rFonts w:ascii="Verdana" w:hAnsi="Verdana"/>
          <w:bCs/>
          <w:sz w:val="16"/>
          <w:szCs w:val="16"/>
        </w:rPr>
        <w:t xml:space="preserve">co najmniej lat </w:t>
      </w:r>
      <w:r w:rsidRPr="0090283F">
        <w:rPr>
          <w:rFonts w:ascii="Verdana" w:hAnsi="Verdana" w:cs="Arial"/>
          <w:sz w:val="16"/>
          <w:szCs w:val="16"/>
        </w:rPr>
        <w:t>2022</w:t>
      </w:r>
      <w:r>
        <w:rPr>
          <w:rFonts w:ascii="Verdana" w:hAnsi="Verdana"/>
          <w:bCs/>
          <w:sz w:val="16"/>
          <w:szCs w:val="16"/>
        </w:rPr>
        <w:t>-2023</w:t>
      </w:r>
      <w:r w:rsidRPr="000A6485">
        <w:rPr>
          <w:rFonts w:ascii="Verdana" w:hAnsi="Verdana"/>
          <w:bCs/>
          <w:sz w:val="16"/>
          <w:szCs w:val="16"/>
        </w:rPr>
        <w:t>.</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Podjęcie uchwały w sprawie Wieloletniej Prognozy Finansowej daje Prezydentowi m.st. Warszawy podstawę </w:t>
      </w:r>
      <w:r w:rsidRPr="000A6485">
        <w:rPr>
          <w:rFonts w:ascii="Verdana" w:hAnsi="Verdana"/>
          <w:bCs/>
          <w:sz w:val="16"/>
          <w:szCs w:val="16"/>
        </w:rPr>
        <w:br/>
        <w:t xml:space="preserve">do zaciągania zobowiązań do wysokości limitów wydatków określonych dla każdego z tych przedsięwzięć </w:t>
      </w:r>
      <w:r w:rsidRPr="000A6485">
        <w:rPr>
          <w:rFonts w:ascii="Verdana" w:hAnsi="Verdana"/>
          <w:bCs/>
          <w:sz w:val="16"/>
          <w:szCs w:val="16"/>
        </w:rPr>
        <w:br/>
        <w:t>w poszczególnych latach prognozy.</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W wykazie prezentowane są przedsięwzięcia wieloletnie dotyczące zadań realizowanych w części </w:t>
      </w:r>
      <w:proofErr w:type="spellStart"/>
      <w:r w:rsidRPr="000A6485">
        <w:rPr>
          <w:rFonts w:ascii="Verdana" w:hAnsi="Verdana"/>
          <w:bCs/>
          <w:sz w:val="16"/>
          <w:szCs w:val="16"/>
        </w:rPr>
        <w:t>ogólnomiejskiej</w:t>
      </w:r>
      <w:proofErr w:type="spellEnd"/>
      <w:r w:rsidRPr="000A6485">
        <w:rPr>
          <w:rFonts w:ascii="Verdana" w:hAnsi="Verdana"/>
          <w:bCs/>
          <w:sz w:val="16"/>
          <w:szCs w:val="16"/>
        </w:rPr>
        <w:t xml:space="preserve"> oraz w poszczególnych dzielnicach.</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W odrębnej części załącznika zaprezentowano przedsięwzięcia wieloletnie dotyczące zadań finansowanych </w:t>
      </w:r>
      <w:r w:rsidRPr="000A6485">
        <w:rPr>
          <w:rFonts w:ascii="Verdana" w:hAnsi="Verdana"/>
          <w:bCs/>
          <w:sz w:val="16"/>
          <w:szCs w:val="16"/>
        </w:rPr>
        <w:br/>
      </w:r>
      <w:r>
        <w:rPr>
          <w:rFonts w:ascii="Verdana" w:hAnsi="Verdana"/>
          <w:bCs/>
          <w:sz w:val="16"/>
          <w:szCs w:val="16"/>
        </w:rPr>
        <w:t>z udziałem środków z Unii Europejskiej oraz oddzielnie wykazano przedsięwzięcia wieloletnie związane z umowami partnerstwa publiczno-prywatnego.</w:t>
      </w:r>
    </w:p>
    <w:p w:rsidR="007F07DD" w:rsidRPr="000A6485" w:rsidRDefault="007F07DD" w:rsidP="007F07DD">
      <w:pPr>
        <w:spacing w:before="60" w:after="60"/>
        <w:jc w:val="both"/>
        <w:rPr>
          <w:rFonts w:ascii="Verdana" w:hAnsi="Verdana"/>
          <w:bCs/>
          <w:sz w:val="16"/>
          <w:szCs w:val="16"/>
        </w:rPr>
      </w:pPr>
      <w:r w:rsidRPr="000A6485">
        <w:rPr>
          <w:rFonts w:ascii="Verdana" w:hAnsi="Verdana" w:cs="Arial"/>
          <w:sz w:val="16"/>
          <w:szCs w:val="16"/>
        </w:rPr>
        <w:t>Dla każdego przedsięwzięcia, poza nazwą, określono lata realizacji, jednostkę koordynującą (realizującą), łączne nakłady finansowe, łączny limit wydatków oraz limity wydatków w poszczególnych latach. Horyzont czasowy dokumentu został wyznaczony przez najbardziej odległy termin zakończenia przedsięwzięcia, dla którego zaplanowano środki na realizację.</w:t>
      </w:r>
    </w:p>
    <w:p w:rsidR="007F07DD" w:rsidRPr="000A6485" w:rsidRDefault="007F07DD" w:rsidP="007F07DD">
      <w:pPr>
        <w:tabs>
          <w:tab w:val="num" w:pos="1273"/>
        </w:tabs>
        <w:spacing w:before="360" w:after="240"/>
        <w:rPr>
          <w:rFonts w:ascii="Verdana" w:hAnsi="Verdana"/>
          <w:b/>
          <w:bCs/>
          <w:sz w:val="22"/>
          <w:szCs w:val="22"/>
        </w:rPr>
      </w:pPr>
      <w:r w:rsidRPr="000A6485">
        <w:rPr>
          <w:rFonts w:ascii="Verdana" w:hAnsi="Verdana"/>
          <w:b/>
          <w:bCs/>
          <w:sz w:val="22"/>
          <w:szCs w:val="22"/>
        </w:rPr>
        <w:t xml:space="preserve">10. Podsumowanie </w:t>
      </w:r>
    </w:p>
    <w:p w:rsidR="007F07DD" w:rsidRPr="000A6485" w:rsidRDefault="007F07DD" w:rsidP="007F07DD">
      <w:pPr>
        <w:tabs>
          <w:tab w:val="left" w:pos="567"/>
        </w:tabs>
        <w:spacing w:before="60" w:after="60"/>
        <w:jc w:val="both"/>
        <w:rPr>
          <w:rFonts w:ascii="Verdana" w:hAnsi="Verdana"/>
          <w:sz w:val="16"/>
          <w:szCs w:val="16"/>
        </w:rPr>
      </w:pPr>
      <w:r w:rsidRPr="000A6485">
        <w:rPr>
          <w:rFonts w:ascii="Verdana" w:hAnsi="Verdana"/>
          <w:sz w:val="20"/>
          <w:szCs w:val="20"/>
        </w:rPr>
        <w:tab/>
      </w:r>
      <w:r w:rsidRPr="000A6485">
        <w:rPr>
          <w:rFonts w:ascii="Verdana" w:hAnsi="Verdana"/>
          <w:sz w:val="16"/>
          <w:szCs w:val="16"/>
        </w:rPr>
        <w:t xml:space="preserve">Szczegółowe dane prognostyczne oparte o opisane we wstępie założenia i metodologię zaprezentowano </w:t>
      </w:r>
      <w:r w:rsidRPr="000A6485">
        <w:rPr>
          <w:rFonts w:ascii="Verdana" w:hAnsi="Verdana"/>
          <w:sz w:val="16"/>
          <w:szCs w:val="16"/>
        </w:rPr>
        <w:br/>
        <w:t>w załączn</w:t>
      </w:r>
      <w:r>
        <w:rPr>
          <w:rFonts w:ascii="Verdana" w:hAnsi="Verdana"/>
          <w:sz w:val="16"/>
          <w:szCs w:val="16"/>
        </w:rPr>
        <w:t xml:space="preserve">iku nr 1, </w:t>
      </w:r>
      <w:r w:rsidRPr="000A6485">
        <w:rPr>
          <w:rFonts w:ascii="Verdana" w:hAnsi="Verdana"/>
          <w:sz w:val="16"/>
          <w:szCs w:val="16"/>
        </w:rPr>
        <w:t xml:space="preserve">będącym integralną częścią uchwały w sprawie Wieloletniej Prognozy Finansowej </w:t>
      </w:r>
      <w:r>
        <w:rPr>
          <w:rFonts w:ascii="Verdana" w:hAnsi="Verdana"/>
          <w:sz w:val="16"/>
          <w:szCs w:val="16"/>
        </w:rPr>
        <w:br/>
      </w:r>
      <w:r w:rsidRPr="000A6485">
        <w:rPr>
          <w:rFonts w:ascii="Verdana" w:hAnsi="Verdana"/>
          <w:sz w:val="16"/>
          <w:szCs w:val="16"/>
        </w:rPr>
        <w:t>m.st. Warszawy na lata 202</w:t>
      </w:r>
      <w:r>
        <w:rPr>
          <w:rFonts w:ascii="Verdana" w:hAnsi="Verdana"/>
          <w:sz w:val="16"/>
          <w:szCs w:val="16"/>
        </w:rPr>
        <w:t>2</w:t>
      </w:r>
      <w:r w:rsidRPr="000A6485">
        <w:rPr>
          <w:rFonts w:ascii="Verdana" w:hAnsi="Verdana"/>
          <w:sz w:val="16"/>
          <w:szCs w:val="16"/>
        </w:rPr>
        <w:t>-2050, sporządzonym zgodne ze wzorem określonym w rozporządzeniu Ministra Finansów z dnia 10 stycznia 2013 r. w sprawie wieloletniej prognozy finansowej jednostki samorządu terytorialnego (</w:t>
      </w:r>
      <w:r>
        <w:rPr>
          <w:rFonts w:ascii="Verdana" w:hAnsi="Verdana"/>
          <w:sz w:val="16"/>
          <w:szCs w:val="16"/>
        </w:rPr>
        <w:t>Dz.U.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Zestawienie tabelaryczne prognozowanych kategorii budżetowych ujętych w </w:t>
      </w:r>
      <w:r>
        <w:rPr>
          <w:rFonts w:ascii="Verdana" w:hAnsi="Verdana"/>
          <w:sz w:val="16"/>
          <w:szCs w:val="16"/>
        </w:rPr>
        <w:t>WPF 2022</w:t>
      </w:r>
      <w:r w:rsidRPr="000A6485">
        <w:rPr>
          <w:rFonts w:ascii="Verdana" w:hAnsi="Verdana"/>
          <w:sz w:val="16"/>
          <w:szCs w:val="16"/>
        </w:rPr>
        <w:t>-2050, stanowiące załącznik nr 1, składa się z 12 sekcji obejmujących:</w:t>
      </w:r>
    </w:p>
    <w:p w:rsidR="007F07DD" w:rsidRPr="000A6485" w:rsidRDefault="007F07DD" w:rsidP="007F07DD">
      <w:pPr>
        <w:spacing w:before="60" w:after="60"/>
        <w:jc w:val="both"/>
        <w:rPr>
          <w:rFonts w:ascii="Verdana" w:hAnsi="Verdana"/>
          <w:sz w:val="16"/>
          <w:szCs w:val="16"/>
        </w:rPr>
      </w:pPr>
      <w:r w:rsidRPr="000A6485">
        <w:rPr>
          <w:rFonts w:ascii="Verdana" w:hAnsi="Verdana"/>
          <w:b/>
          <w:bCs/>
          <w:sz w:val="16"/>
          <w:szCs w:val="16"/>
        </w:rPr>
        <w:t>SEKCJA 1</w:t>
      </w:r>
      <w:r w:rsidRPr="000A6485">
        <w:rPr>
          <w:rFonts w:ascii="Verdana" w:hAnsi="Verdana"/>
          <w:sz w:val="16"/>
          <w:szCs w:val="16"/>
        </w:rPr>
        <w:t xml:space="preserve"> – wybrane pozycje</w:t>
      </w:r>
      <w:r w:rsidRPr="000A6485">
        <w:rPr>
          <w:rFonts w:ascii="Verdana" w:hAnsi="Verdana"/>
          <w:b/>
          <w:sz w:val="16"/>
          <w:szCs w:val="16"/>
        </w:rPr>
        <w:t xml:space="preserve"> dochodów</w:t>
      </w:r>
    </w:p>
    <w:p w:rsidR="007F07DD" w:rsidRPr="000A6485" w:rsidRDefault="007F07DD" w:rsidP="007F07DD">
      <w:pPr>
        <w:pStyle w:val="Akapitzlist"/>
        <w:numPr>
          <w:ilvl w:val="0"/>
          <w:numId w:val="15"/>
        </w:numPr>
        <w:spacing w:before="60" w:after="60"/>
        <w:ind w:left="567" w:hanging="283"/>
        <w:jc w:val="both"/>
        <w:rPr>
          <w:rFonts w:ascii="Verdana" w:hAnsi="Verdana"/>
          <w:sz w:val="16"/>
          <w:szCs w:val="16"/>
        </w:rPr>
      </w:pPr>
      <w:r w:rsidRPr="000A6485">
        <w:rPr>
          <w:rFonts w:ascii="Verdana" w:hAnsi="Verdana"/>
          <w:sz w:val="16"/>
          <w:szCs w:val="16"/>
        </w:rPr>
        <w:t>dochody bieżące</w:t>
      </w:r>
      <w:r>
        <w:rPr>
          <w:rFonts w:ascii="Verdana" w:hAnsi="Verdana"/>
          <w:sz w:val="16"/>
          <w:szCs w:val="16"/>
        </w:rPr>
        <w:t>, z tego</w:t>
      </w:r>
      <w:r w:rsidRPr="000A6485">
        <w:rPr>
          <w:rFonts w:ascii="Verdana" w:hAnsi="Verdana"/>
          <w:sz w:val="16"/>
          <w:szCs w:val="16"/>
        </w:rPr>
        <w:t>:</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t>dochody z tytułu udziału we wpływach z podatku dochodowego od osób fizycznych</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t>dochody z tytułu udziału we wpływach z podatku dochodowego od osób prawnych</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t>z subwencji ogólnej</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lastRenderedPageBreak/>
        <w:t>z tytułu dotacji i środków przeznaczonych na cele bieżące</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t>pozostałe dochody bieżące, w tym:</w:t>
      </w:r>
    </w:p>
    <w:p w:rsidR="007F07DD" w:rsidRPr="000A6485" w:rsidRDefault="007F07DD" w:rsidP="007F07DD">
      <w:pPr>
        <w:pStyle w:val="Akapitzlist"/>
        <w:numPr>
          <w:ilvl w:val="0"/>
          <w:numId w:val="17"/>
        </w:numPr>
        <w:spacing w:before="60" w:after="60"/>
        <w:ind w:left="1560" w:hanging="284"/>
        <w:jc w:val="both"/>
        <w:rPr>
          <w:rFonts w:ascii="Verdana" w:hAnsi="Verdana"/>
          <w:sz w:val="16"/>
          <w:szCs w:val="16"/>
        </w:rPr>
      </w:pPr>
      <w:r w:rsidRPr="000A6485">
        <w:rPr>
          <w:rFonts w:ascii="Verdana" w:hAnsi="Verdana"/>
          <w:sz w:val="16"/>
          <w:szCs w:val="16"/>
        </w:rPr>
        <w:t>z podatku od nieruchomości</w:t>
      </w:r>
    </w:p>
    <w:p w:rsidR="007F07DD" w:rsidRPr="000A6485" w:rsidRDefault="007F07DD" w:rsidP="007F07DD">
      <w:pPr>
        <w:pStyle w:val="Akapitzlist"/>
        <w:numPr>
          <w:ilvl w:val="0"/>
          <w:numId w:val="15"/>
        </w:numPr>
        <w:spacing w:before="60" w:after="60"/>
        <w:ind w:left="567" w:hanging="283"/>
        <w:jc w:val="both"/>
        <w:rPr>
          <w:rFonts w:ascii="Verdana" w:hAnsi="Verdana"/>
          <w:sz w:val="16"/>
          <w:szCs w:val="16"/>
        </w:rPr>
      </w:pPr>
      <w:r w:rsidRPr="000A6485">
        <w:rPr>
          <w:rFonts w:ascii="Verdana" w:hAnsi="Verdana"/>
          <w:sz w:val="16"/>
          <w:szCs w:val="16"/>
        </w:rPr>
        <w:t>dochody majątkowe, w tym:</w:t>
      </w:r>
    </w:p>
    <w:p w:rsidR="007F07DD" w:rsidRPr="000A6485" w:rsidRDefault="007F07DD" w:rsidP="007F07DD">
      <w:pPr>
        <w:pStyle w:val="Akapitzlist"/>
        <w:numPr>
          <w:ilvl w:val="0"/>
          <w:numId w:val="18"/>
        </w:numPr>
        <w:spacing w:before="60" w:after="60"/>
        <w:ind w:left="993" w:hanging="284"/>
        <w:jc w:val="both"/>
        <w:rPr>
          <w:rFonts w:ascii="Verdana" w:hAnsi="Verdana"/>
          <w:sz w:val="16"/>
          <w:szCs w:val="16"/>
        </w:rPr>
      </w:pPr>
      <w:r w:rsidRPr="000A6485">
        <w:rPr>
          <w:rFonts w:ascii="Verdana" w:hAnsi="Verdana"/>
          <w:sz w:val="16"/>
          <w:szCs w:val="16"/>
        </w:rPr>
        <w:t>ze sprzedaży majątku</w:t>
      </w:r>
    </w:p>
    <w:p w:rsidR="007F07DD" w:rsidRPr="000A6485" w:rsidRDefault="007F07DD" w:rsidP="007F07DD">
      <w:pPr>
        <w:pStyle w:val="Akapitzlist"/>
        <w:numPr>
          <w:ilvl w:val="0"/>
          <w:numId w:val="18"/>
        </w:numPr>
        <w:spacing w:before="60" w:after="60"/>
        <w:ind w:left="993" w:hanging="284"/>
        <w:jc w:val="both"/>
        <w:rPr>
          <w:rFonts w:ascii="Verdana" w:hAnsi="Verdana"/>
          <w:sz w:val="16"/>
          <w:szCs w:val="16"/>
        </w:rPr>
      </w:pPr>
      <w:r w:rsidRPr="000A6485">
        <w:rPr>
          <w:rFonts w:ascii="Verdana" w:hAnsi="Verdana"/>
          <w:sz w:val="16"/>
          <w:szCs w:val="16"/>
        </w:rPr>
        <w:t>z tytułu dotacji oraz środków przeznaczonych na inwestycje</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dochodów ogółem</w:t>
      </w: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19,210</w:t>
      </w:r>
      <w:r w:rsidRPr="005553AB">
        <w:rPr>
          <w:rFonts w:ascii="Verdana" w:eastAsiaTheme="minorEastAsia" w:hAnsi="Verdana" w:cs="Verdana"/>
          <w:b/>
          <w:bCs/>
          <w:color w:val="000000"/>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3</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18,947</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19,119</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18,722</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18,984</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spacing w:before="60" w:after="60"/>
        <w:ind w:left="567"/>
        <w:jc w:val="both"/>
        <w:rPr>
          <w:rFonts w:ascii="Verdana" w:hAnsi="Verdana"/>
          <w:sz w:val="16"/>
          <w:szCs w:val="16"/>
        </w:rPr>
      </w:pPr>
      <w:r w:rsidRPr="000A6485">
        <w:rPr>
          <w:rFonts w:ascii="Verdana" w:hAnsi="Verdana"/>
          <w:sz w:val="16"/>
          <w:szCs w:val="16"/>
        </w:rPr>
        <w:t>.</w:t>
      </w:r>
    </w:p>
    <w:p w:rsidR="007F07DD" w:rsidRDefault="007F07DD" w:rsidP="007F07DD">
      <w:pPr>
        <w:pStyle w:val="Akapitzlist"/>
        <w:numPr>
          <w:ilvl w:val="0"/>
          <w:numId w:val="19"/>
        </w:numPr>
        <w:spacing w:before="60" w:after="60"/>
        <w:ind w:left="567" w:hanging="283"/>
        <w:jc w:val="both"/>
        <w:rPr>
          <w:rFonts w:ascii="Verdana" w:hAnsi="Verdana"/>
          <w:b/>
          <w:sz w:val="16"/>
          <w:szCs w:val="16"/>
        </w:rPr>
      </w:pPr>
      <w:r w:rsidRPr="000A6485">
        <w:rPr>
          <w:rFonts w:ascii="Verdana" w:hAnsi="Verdana"/>
          <w:sz w:val="16"/>
          <w:szCs w:val="16"/>
        </w:rPr>
        <w:t xml:space="preserve">2050 r. – </w:t>
      </w:r>
      <w:r w:rsidRPr="0090283F">
        <w:rPr>
          <w:rFonts w:ascii="Verdana" w:eastAsiaTheme="minorEastAsia" w:hAnsi="Verdana" w:cs="Verdana"/>
          <w:b/>
          <w:bCs/>
          <w:color w:val="000000"/>
          <w:sz w:val="16"/>
          <w:szCs w:val="16"/>
        </w:rPr>
        <w:t>28,313</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spacing w:before="240" w:after="60"/>
        <w:jc w:val="both"/>
        <w:rPr>
          <w:rFonts w:ascii="Verdana" w:hAnsi="Verdana"/>
          <w:sz w:val="16"/>
          <w:szCs w:val="16"/>
        </w:rPr>
      </w:pPr>
      <w:r w:rsidRPr="000A6485">
        <w:rPr>
          <w:rFonts w:ascii="Verdana" w:hAnsi="Verdana"/>
          <w:b/>
          <w:bCs/>
          <w:sz w:val="16"/>
          <w:szCs w:val="16"/>
        </w:rPr>
        <w:t>SEKCJA 2</w:t>
      </w:r>
      <w:r w:rsidRPr="000A6485">
        <w:rPr>
          <w:rFonts w:ascii="Verdana" w:hAnsi="Verdana"/>
          <w:sz w:val="16"/>
          <w:szCs w:val="16"/>
        </w:rPr>
        <w:t xml:space="preserve"> – wybrane pozycje</w:t>
      </w:r>
      <w:r w:rsidRPr="000A6485">
        <w:rPr>
          <w:rFonts w:ascii="Verdana" w:hAnsi="Verdana"/>
          <w:b/>
          <w:sz w:val="16"/>
          <w:szCs w:val="16"/>
        </w:rPr>
        <w:t xml:space="preserve"> wydatków</w:t>
      </w:r>
    </w:p>
    <w:p w:rsidR="007F07DD" w:rsidRPr="000A6485" w:rsidRDefault="007F07DD" w:rsidP="007F07DD">
      <w:pPr>
        <w:pStyle w:val="Akapitzlist"/>
        <w:numPr>
          <w:ilvl w:val="0"/>
          <w:numId w:val="15"/>
        </w:numPr>
        <w:spacing w:before="60" w:after="60"/>
        <w:ind w:left="567" w:hanging="283"/>
        <w:jc w:val="both"/>
        <w:rPr>
          <w:rFonts w:ascii="Verdana" w:hAnsi="Verdana"/>
          <w:sz w:val="16"/>
          <w:szCs w:val="16"/>
        </w:rPr>
      </w:pPr>
      <w:r w:rsidRPr="000A6485">
        <w:rPr>
          <w:rFonts w:ascii="Verdana" w:hAnsi="Verdana"/>
          <w:sz w:val="16"/>
          <w:szCs w:val="16"/>
        </w:rPr>
        <w:t>wydatki bieżące, w tym:</w:t>
      </w:r>
    </w:p>
    <w:p w:rsidR="007F07DD" w:rsidRPr="000A6485" w:rsidRDefault="007F07DD" w:rsidP="007F07DD">
      <w:pPr>
        <w:pStyle w:val="Akapitzlist"/>
        <w:numPr>
          <w:ilvl w:val="0"/>
          <w:numId w:val="34"/>
        </w:numPr>
        <w:spacing w:before="60" w:after="60"/>
        <w:ind w:left="993" w:hanging="284"/>
        <w:jc w:val="both"/>
        <w:rPr>
          <w:rFonts w:ascii="Verdana" w:hAnsi="Verdana"/>
          <w:sz w:val="16"/>
          <w:szCs w:val="16"/>
        </w:rPr>
      </w:pPr>
      <w:r w:rsidRPr="000A6485">
        <w:rPr>
          <w:rFonts w:ascii="Verdana" w:hAnsi="Verdana"/>
          <w:sz w:val="16"/>
          <w:szCs w:val="16"/>
        </w:rPr>
        <w:t>na wynagrodzenia i składki od nich naliczane</w:t>
      </w:r>
    </w:p>
    <w:p w:rsidR="007F07DD" w:rsidRPr="000A6485" w:rsidRDefault="007F07DD" w:rsidP="007F07DD">
      <w:pPr>
        <w:pStyle w:val="Akapitzlist"/>
        <w:numPr>
          <w:ilvl w:val="0"/>
          <w:numId w:val="16"/>
        </w:numPr>
        <w:spacing w:before="60" w:after="60"/>
        <w:ind w:left="993" w:hanging="284"/>
        <w:jc w:val="both"/>
        <w:rPr>
          <w:rFonts w:ascii="Verdana" w:hAnsi="Verdana"/>
          <w:sz w:val="16"/>
          <w:szCs w:val="16"/>
        </w:rPr>
      </w:pPr>
      <w:r w:rsidRPr="000A6485">
        <w:rPr>
          <w:rFonts w:ascii="Verdana" w:hAnsi="Verdana"/>
          <w:sz w:val="16"/>
          <w:szCs w:val="16"/>
        </w:rPr>
        <w:t>z tytułu poręczeń i gwarancji, w tym:</w:t>
      </w:r>
    </w:p>
    <w:p w:rsidR="007F07DD" w:rsidRPr="000A6485" w:rsidRDefault="007F07DD" w:rsidP="007F07DD">
      <w:pPr>
        <w:pStyle w:val="Akapitzlist"/>
        <w:numPr>
          <w:ilvl w:val="0"/>
          <w:numId w:val="20"/>
        </w:numPr>
        <w:tabs>
          <w:tab w:val="left" w:pos="1560"/>
        </w:tabs>
        <w:spacing w:before="60" w:after="60"/>
        <w:ind w:left="1560" w:hanging="284"/>
        <w:jc w:val="both"/>
        <w:rPr>
          <w:rFonts w:ascii="Verdana" w:hAnsi="Verdana"/>
          <w:sz w:val="16"/>
          <w:szCs w:val="16"/>
        </w:rPr>
      </w:pPr>
      <w:r w:rsidRPr="000A6485">
        <w:rPr>
          <w:rFonts w:ascii="Verdana" w:hAnsi="Verdana"/>
          <w:sz w:val="16"/>
          <w:szCs w:val="16"/>
        </w:rPr>
        <w:t>gwarancje i poręczenia podlegające wyłącze</w:t>
      </w:r>
      <w:r>
        <w:rPr>
          <w:rFonts w:ascii="Verdana" w:hAnsi="Verdana"/>
          <w:sz w:val="16"/>
          <w:szCs w:val="16"/>
        </w:rPr>
        <w:t>niu z limitu spłaty zobowiązań, o którym</w:t>
      </w:r>
      <w:r w:rsidRPr="000A6485">
        <w:rPr>
          <w:rFonts w:ascii="Verdana" w:hAnsi="Verdana"/>
          <w:sz w:val="16"/>
          <w:szCs w:val="16"/>
        </w:rPr>
        <w:t xml:space="preserve"> mowa</w:t>
      </w:r>
      <w:r w:rsidRPr="000A6485">
        <w:rPr>
          <w:rFonts w:ascii="Verdana" w:hAnsi="Verdana"/>
          <w:sz w:val="16"/>
          <w:szCs w:val="16"/>
        </w:rPr>
        <w:br/>
      </w:r>
      <w:r>
        <w:rPr>
          <w:rFonts w:ascii="Verdana" w:hAnsi="Verdana"/>
          <w:sz w:val="16"/>
          <w:szCs w:val="16"/>
        </w:rPr>
        <w:t>w art. 243 ustawy</w:t>
      </w:r>
    </w:p>
    <w:p w:rsidR="007F07DD" w:rsidRPr="000A6485" w:rsidRDefault="007F07DD" w:rsidP="007F07DD">
      <w:pPr>
        <w:pStyle w:val="Akapitzlist"/>
        <w:numPr>
          <w:ilvl w:val="0"/>
          <w:numId w:val="21"/>
        </w:numPr>
        <w:spacing w:before="60" w:after="60"/>
        <w:ind w:left="993" w:hanging="284"/>
        <w:jc w:val="both"/>
        <w:rPr>
          <w:rFonts w:ascii="Verdana" w:hAnsi="Verdana"/>
          <w:sz w:val="16"/>
          <w:szCs w:val="16"/>
        </w:rPr>
      </w:pPr>
      <w:r w:rsidRPr="000A6485">
        <w:rPr>
          <w:rFonts w:ascii="Verdana" w:hAnsi="Verdana"/>
          <w:sz w:val="16"/>
          <w:szCs w:val="16"/>
        </w:rPr>
        <w:t>wydatki na obsługę długu, w tym:</w:t>
      </w:r>
    </w:p>
    <w:p w:rsidR="007F07DD" w:rsidRPr="000A6485" w:rsidRDefault="007F07DD" w:rsidP="007F07DD">
      <w:pPr>
        <w:pStyle w:val="Akapitzlist"/>
        <w:numPr>
          <w:ilvl w:val="0"/>
          <w:numId w:val="23"/>
        </w:numPr>
        <w:spacing w:before="60" w:after="60"/>
        <w:ind w:left="1560" w:hanging="284"/>
        <w:jc w:val="both"/>
        <w:rPr>
          <w:rFonts w:ascii="Verdana" w:hAnsi="Verdana"/>
          <w:sz w:val="16"/>
          <w:szCs w:val="16"/>
        </w:rPr>
      </w:pPr>
      <w:r w:rsidRPr="000A6485">
        <w:rPr>
          <w:rFonts w:ascii="Verdana" w:hAnsi="Verdana"/>
          <w:sz w:val="16"/>
          <w:szCs w:val="16"/>
        </w:rPr>
        <w:t xml:space="preserve">odsetki i dyskonto podlegające wyłączeniu z limitu spłaty zobowiązań, o którym mowa </w:t>
      </w:r>
      <w:r w:rsidRPr="000A6485">
        <w:rPr>
          <w:rFonts w:ascii="Verdana" w:hAnsi="Verdana"/>
          <w:sz w:val="16"/>
          <w:szCs w:val="16"/>
        </w:rPr>
        <w:br/>
        <w:t>w art. 243 ustawy</w:t>
      </w:r>
    </w:p>
    <w:p w:rsidR="007F07DD" w:rsidRPr="000A6485" w:rsidRDefault="007F07DD" w:rsidP="007F07DD">
      <w:pPr>
        <w:pStyle w:val="Akapitzlist"/>
        <w:numPr>
          <w:ilvl w:val="0"/>
          <w:numId w:val="15"/>
        </w:numPr>
        <w:spacing w:before="60" w:after="60"/>
        <w:ind w:left="567" w:hanging="283"/>
        <w:jc w:val="both"/>
        <w:rPr>
          <w:rFonts w:ascii="Verdana" w:hAnsi="Verdana"/>
          <w:sz w:val="16"/>
          <w:szCs w:val="16"/>
        </w:rPr>
      </w:pPr>
      <w:r w:rsidRPr="000A6485">
        <w:rPr>
          <w:rFonts w:ascii="Verdana" w:hAnsi="Verdana"/>
          <w:sz w:val="16"/>
          <w:szCs w:val="16"/>
        </w:rPr>
        <w:t>wydatki majątkowe, w tym:</w:t>
      </w:r>
    </w:p>
    <w:p w:rsidR="007F07DD" w:rsidRPr="000A6485" w:rsidRDefault="007F07DD" w:rsidP="007F07DD">
      <w:pPr>
        <w:pStyle w:val="Akapitzlist"/>
        <w:numPr>
          <w:ilvl w:val="0"/>
          <w:numId w:val="21"/>
        </w:numPr>
        <w:spacing w:before="60" w:after="60"/>
        <w:ind w:left="993" w:hanging="284"/>
        <w:jc w:val="both"/>
        <w:rPr>
          <w:rFonts w:ascii="Verdana" w:hAnsi="Verdana"/>
          <w:sz w:val="16"/>
          <w:szCs w:val="16"/>
        </w:rPr>
      </w:pPr>
      <w:r w:rsidRPr="000A6485">
        <w:rPr>
          <w:rFonts w:ascii="Verdana" w:hAnsi="Verdana"/>
          <w:sz w:val="16"/>
          <w:szCs w:val="16"/>
        </w:rPr>
        <w:t>inwestycje i zakupy inwestycyjne, o których mowa w art. 236 ust. 4 pkt 1 ustawy, w tym:</w:t>
      </w:r>
    </w:p>
    <w:p w:rsidR="007F07DD" w:rsidRPr="000A6485" w:rsidRDefault="007F07DD" w:rsidP="007F07DD">
      <w:pPr>
        <w:pStyle w:val="Akapitzlist"/>
        <w:numPr>
          <w:ilvl w:val="0"/>
          <w:numId w:val="23"/>
        </w:numPr>
        <w:spacing w:before="60" w:after="60"/>
        <w:ind w:left="1560" w:hanging="284"/>
        <w:jc w:val="both"/>
        <w:rPr>
          <w:rFonts w:ascii="Verdana" w:hAnsi="Verdana"/>
          <w:sz w:val="16"/>
          <w:szCs w:val="16"/>
        </w:rPr>
      </w:pPr>
      <w:r w:rsidRPr="000A6485">
        <w:rPr>
          <w:rFonts w:ascii="Verdana" w:hAnsi="Verdana"/>
          <w:sz w:val="16"/>
          <w:szCs w:val="16"/>
        </w:rPr>
        <w:t>wydatki o charakterze dotacyjnym na inwestycje i zakupy inwestycyjne</w:t>
      </w:r>
    </w:p>
    <w:p w:rsidR="007F07DD" w:rsidRPr="000A6485" w:rsidRDefault="007F07DD" w:rsidP="007F07DD">
      <w:pPr>
        <w:spacing w:before="24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wydatków ogółem</w:t>
      </w: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21,419</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3</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21,671</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20,235</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19,452</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19,375</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spacing w:before="60" w:after="60"/>
        <w:ind w:left="567"/>
        <w:jc w:val="both"/>
        <w:rPr>
          <w:rFonts w:ascii="Verdana" w:hAnsi="Verdana"/>
          <w:sz w:val="16"/>
          <w:szCs w:val="16"/>
        </w:rPr>
      </w:pPr>
      <w:r w:rsidRPr="000A6485">
        <w:rPr>
          <w:rFonts w:ascii="Verdana" w:hAnsi="Verdana"/>
          <w:sz w:val="16"/>
          <w:szCs w:val="16"/>
        </w:rPr>
        <w:t>.</w:t>
      </w:r>
    </w:p>
    <w:p w:rsidR="007F07DD" w:rsidRPr="000A6485" w:rsidRDefault="007F07DD" w:rsidP="007F07DD">
      <w:pPr>
        <w:pStyle w:val="Akapitzlist"/>
        <w:numPr>
          <w:ilvl w:val="0"/>
          <w:numId w:val="22"/>
        </w:numPr>
        <w:spacing w:before="60" w:after="60"/>
        <w:ind w:left="567" w:hanging="283"/>
        <w:jc w:val="both"/>
        <w:rPr>
          <w:rFonts w:ascii="Verdana" w:hAnsi="Verdana"/>
          <w:sz w:val="16"/>
          <w:szCs w:val="16"/>
        </w:rPr>
      </w:pPr>
      <w:r w:rsidRPr="000A6485">
        <w:rPr>
          <w:rFonts w:ascii="Verdana" w:hAnsi="Verdana"/>
          <w:sz w:val="16"/>
          <w:szCs w:val="16"/>
        </w:rPr>
        <w:t xml:space="preserve">2050 r. – </w:t>
      </w:r>
      <w:r w:rsidRPr="0090283F">
        <w:rPr>
          <w:rFonts w:ascii="Verdana" w:eastAsiaTheme="minorEastAsia" w:hAnsi="Verdana" w:cs="Verdana"/>
          <w:b/>
          <w:bCs/>
          <w:color w:val="000000"/>
          <w:sz w:val="16"/>
          <w:szCs w:val="16"/>
        </w:rPr>
        <w:t>28,153</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spacing w:before="24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wydatków bieżących</w:t>
      </w: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18,569</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3</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17,902</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17,661</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17,663</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17,665</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spacing w:before="60" w:after="60"/>
        <w:ind w:left="567"/>
        <w:jc w:val="both"/>
        <w:rPr>
          <w:rFonts w:ascii="Verdana" w:hAnsi="Verdana"/>
          <w:sz w:val="16"/>
          <w:szCs w:val="16"/>
        </w:rPr>
      </w:pPr>
      <w:r w:rsidRPr="000A6485">
        <w:rPr>
          <w:rFonts w:ascii="Verdana" w:hAnsi="Verdana"/>
          <w:sz w:val="16"/>
          <w:szCs w:val="16"/>
        </w:rPr>
        <w:t>.</w:t>
      </w:r>
    </w:p>
    <w:p w:rsidR="007F07DD" w:rsidRDefault="007F07DD" w:rsidP="007F07DD">
      <w:pPr>
        <w:pStyle w:val="Akapitzlist"/>
        <w:numPr>
          <w:ilvl w:val="0"/>
          <w:numId w:val="22"/>
        </w:numPr>
        <w:spacing w:before="60" w:after="60"/>
        <w:ind w:left="567" w:hanging="283"/>
        <w:jc w:val="both"/>
        <w:rPr>
          <w:rFonts w:ascii="Verdana" w:hAnsi="Verdana"/>
          <w:b/>
          <w:sz w:val="16"/>
          <w:szCs w:val="16"/>
        </w:rPr>
      </w:pPr>
      <w:r w:rsidRPr="000A6485">
        <w:rPr>
          <w:rFonts w:ascii="Verdana" w:hAnsi="Verdana"/>
          <w:sz w:val="16"/>
          <w:szCs w:val="16"/>
        </w:rPr>
        <w:t xml:space="preserve">2050 r. – </w:t>
      </w:r>
      <w:r w:rsidRPr="0090283F">
        <w:rPr>
          <w:rFonts w:ascii="Verdana" w:eastAsiaTheme="minorEastAsia" w:hAnsi="Verdana" w:cs="Verdana"/>
          <w:b/>
          <w:bCs/>
          <w:color w:val="000000"/>
          <w:sz w:val="16"/>
          <w:szCs w:val="16"/>
        </w:rPr>
        <w:t>25,317</w:t>
      </w:r>
      <w:r w:rsidRPr="000A6485">
        <w:rPr>
          <w:rFonts w:ascii="Verdana" w:hAnsi="Verdana"/>
          <w:sz w:val="16"/>
          <w:szCs w:val="16"/>
        </w:rPr>
        <w:t xml:space="preserve"> </w:t>
      </w:r>
      <w:r w:rsidRPr="000A6485">
        <w:rPr>
          <w:rFonts w:ascii="Verdana" w:hAnsi="Verdana"/>
          <w:b/>
          <w:sz w:val="16"/>
          <w:szCs w:val="16"/>
        </w:rPr>
        <w:t>mld zł</w:t>
      </w:r>
      <w:r>
        <w:rPr>
          <w:rFonts w:ascii="Verdana" w:hAnsi="Verdana"/>
          <w:b/>
          <w:sz w:val="16"/>
          <w:szCs w:val="16"/>
        </w:rPr>
        <w:br w:type="page"/>
      </w:r>
    </w:p>
    <w:p w:rsidR="007F07DD" w:rsidRPr="000A6485" w:rsidRDefault="007F07DD" w:rsidP="007F07DD">
      <w:pPr>
        <w:spacing w:before="240" w:after="60"/>
        <w:jc w:val="both"/>
        <w:rPr>
          <w:rFonts w:ascii="Verdana" w:hAnsi="Verdana"/>
          <w:sz w:val="16"/>
          <w:szCs w:val="16"/>
        </w:rPr>
      </w:pPr>
      <w:r w:rsidRPr="000A6485">
        <w:rPr>
          <w:rFonts w:ascii="Verdana" w:hAnsi="Verdana"/>
          <w:sz w:val="16"/>
          <w:szCs w:val="16"/>
        </w:rPr>
        <w:lastRenderedPageBreak/>
        <w:t xml:space="preserve">Wysokość prognozowanych </w:t>
      </w:r>
      <w:r w:rsidRPr="000A6485">
        <w:rPr>
          <w:rFonts w:ascii="Verdana" w:hAnsi="Verdana"/>
          <w:sz w:val="16"/>
          <w:szCs w:val="16"/>
          <w:u w:val="single"/>
        </w:rPr>
        <w:t>wydatków majątkowych</w:t>
      </w: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2,850</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3</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3,769</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2,574</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1,788</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0283F">
        <w:rPr>
          <w:rFonts w:ascii="Verdana" w:eastAsiaTheme="minorEastAsia" w:hAnsi="Verdana" w:cs="Verdana"/>
          <w:b/>
          <w:bCs/>
          <w:color w:val="000000"/>
          <w:sz w:val="16"/>
          <w:szCs w:val="16"/>
        </w:rPr>
        <w:t>1,710</w:t>
      </w:r>
      <w:r w:rsidRPr="000A6485">
        <w:rPr>
          <w:rFonts w:ascii="Verdana" w:hAnsi="Verdana"/>
          <w:sz w:val="16"/>
          <w:szCs w:val="16"/>
        </w:rPr>
        <w:t xml:space="preserve"> </w:t>
      </w:r>
      <w:r w:rsidRPr="000A6485">
        <w:rPr>
          <w:rFonts w:ascii="Verdana" w:hAnsi="Verdana"/>
          <w:b/>
          <w:sz w:val="16"/>
          <w:szCs w:val="16"/>
        </w:rPr>
        <w:t>mln zł</w:t>
      </w:r>
    </w:p>
    <w:p w:rsidR="007F07DD" w:rsidRPr="000A6485" w:rsidRDefault="007F07DD" w:rsidP="007F07DD">
      <w:pPr>
        <w:pStyle w:val="Akapitzlist"/>
        <w:spacing w:before="60" w:after="60"/>
        <w:ind w:left="567"/>
        <w:jc w:val="both"/>
        <w:rPr>
          <w:rFonts w:ascii="Verdana" w:hAnsi="Verdana"/>
          <w:sz w:val="16"/>
          <w:szCs w:val="16"/>
        </w:rPr>
      </w:pPr>
      <w:r w:rsidRPr="000A6485">
        <w:rPr>
          <w:rFonts w:ascii="Verdana" w:hAnsi="Verdana"/>
          <w:sz w:val="16"/>
          <w:szCs w:val="16"/>
        </w:rPr>
        <w:t>.</w:t>
      </w:r>
    </w:p>
    <w:p w:rsidR="007F07DD" w:rsidRPr="000A6485" w:rsidRDefault="007F07DD" w:rsidP="007F07DD">
      <w:pPr>
        <w:pStyle w:val="Akapitzlist"/>
        <w:numPr>
          <w:ilvl w:val="0"/>
          <w:numId w:val="22"/>
        </w:numPr>
        <w:spacing w:before="60" w:after="60"/>
        <w:ind w:left="567" w:hanging="283"/>
        <w:jc w:val="both"/>
        <w:rPr>
          <w:rFonts w:ascii="Verdana" w:hAnsi="Verdana"/>
          <w:sz w:val="16"/>
          <w:szCs w:val="16"/>
        </w:rPr>
      </w:pPr>
      <w:r w:rsidRPr="000A6485">
        <w:rPr>
          <w:rFonts w:ascii="Verdana" w:hAnsi="Verdana"/>
          <w:sz w:val="16"/>
          <w:szCs w:val="16"/>
        </w:rPr>
        <w:t xml:space="preserve">2050 r. – </w:t>
      </w:r>
      <w:r w:rsidRPr="0090283F">
        <w:rPr>
          <w:rFonts w:ascii="Verdana" w:eastAsiaTheme="minorEastAsia" w:hAnsi="Verdana" w:cs="Verdana"/>
          <w:b/>
          <w:bCs/>
          <w:color w:val="000000"/>
          <w:sz w:val="16"/>
          <w:szCs w:val="16"/>
        </w:rPr>
        <w:t>2,835</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spacing w:before="240" w:after="60"/>
        <w:jc w:val="both"/>
        <w:rPr>
          <w:rFonts w:ascii="Verdana" w:hAnsi="Verdana"/>
          <w:sz w:val="16"/>
          <w:szCs w:val="16"/>
        </w:rPr>
      </w:pPr>
      <w:r w:rsidRPr="000A6485">
        <w:rPr>
          <w:rFonts w:ascii="Verdana" w:hAnsi="Verdana"/>
          <w:b/>
          <w:bCs/>
          <w:sz w:val="16"/>
          <w:szCs w:val="16"/>
        </w:rPr>
        <w:t>SEKCJA 3</w:t>
      </w:r>
      <w:r w:rsidRPr="000A6485">
        <w:rPr>
          <w:rFonts w:ascii="Verdana" w:hAnsi="Verdana"/>
          <w:sz w:val="16"/>
          <w:szCs w:val="16"/>
        </w:rPr>
        <w:t xml:space="preserve"> – prognozowany</w:t>
      </w:r>
      <w:r w:rsidRPr="000A6485">
        <w:rPr>
          <w:rFonts w:ascii="Verdana" w:hAnsi="Verdana"/>
          <w:b/>
          <w:sz w:val="16"/>
          <w:szCs w:val="16"/>
        </w:rPr>
        <w:t xml:space="preserve"> wynik budżetu</w:t>
      </w:r>
      <w:r w:rsidRPr="000A6485">
        <w:rPr>
          <w:rFonts w:ascii="Verdana" w:hAnsi="Verdana"/>
          <w:sz w:val="16"/>
          <w:szCs w:val="16"/>
        </w:rPr>
        <w:t xml:space="preserve"> stanowiący różnicę pomiędzy prognozowanymi dochodami </w:t>
      </w:r>
      <w:r w:rsidRPr="000A6485">
        <w:rPr>
          <w:rFonts w:ascii="Verdana" w:hAnsi="Verdana"/>
          <w:sz w:val="16"/>
          <w:szCs w:val="16"/>
        </w:rPr>
        <w:br/>
        <w:t>a wydatkami, w tym wyszczególniona kwota prognozowanej nadwyżki budżetu przeznaczana na spłatę kredytów, pożyczek i wykup papierów wartościowych</w:t>
      </w:r>
    </w:p>
    <w:p w:rsidR="007F07DD" w:rsidRPr="000A6485" w:rsidRDefault="007F07DD" w:rsidP="007F07DD">
      <w:pPr>
        <w:spacing w:before="60" w:after="60"/>
        <w:jc w:val="both"/>
        <w:rPr>
          <w:rFonts w:ascii="Verdana" w:hAnsi="Verdana"/>
          <w:sz w:val="16"/>
          <w:szCs w:val="16"/>
        </w:rPr>
      </w:pPr>
      <w:r>
        <w:rPr>
          <w:rFonts w:ascii="Verdana" w:hAnsi="Verdana"/>
          <w:sz w:val="16"/>
          <w:szCs w:val="16"/>
        </w:rPr>
        <w:t>Lata</w:t>
      </w:r>
      <w:r w:rsidRPr="000A6485">
        <w:rPr>
          <w:rFonts w:ascii="Verdana" w:hAnsi="Verdana"/>
          <w:sz w:val="16"/>
          <w:szCs w:val="16"/>
        </w:rPr>
        <w:t xml:space="preserve"> </w:t>
      </w:r>
      <w:r w:rsidRPr="0090283F">
        <w:rPr>
          <w:rFonts w:ascii="Verdana" w:eastAsiaTheme="minorEastAsia" w:hAnsi="Verdana" w:cs="Verdana"/>
          <w:color w:val="000000"/>
          <w:sz w:val="16"/>
          <w:szCs w:val="16"/>
        </w:rPr>
        <w:t>2022</w:t>
      </w:r>
      <w:r w:rsidRPr="000A6485">
        <w:rPr>
          <w:rFonts w:ascii="Verdana" w:hAnsi="Verdana"/>
          <w:sz w:val="16"/>
          <w:szCs w:val="16"/>
        </w:rPr>
        <w:t>-202</w:t>
      </w:r>
      <w:r>
        <w:rPr>
          <w:rFonts w:ascii="Verdana" w:hAnsi="Verdana"/>
          <w:sz w:val="16"/>
          <w:szCs w:val="16"/>
        </w:rPr>
        <w:t xml:space="preserve">6 </w:t>
      </w:r>
      <w:r w:rsidRPr="000A6485">
        <w:rPr>
          <w:rFonts w:ascii="Verdana" w:hAnsi="Verdana"/>
          <w:sz w:val="16"/>
          <w:szCs w:val="16"/>
        </w:rPr>
        <w:t>zamyka</w:t>
      </w:r>
      <w:r>
        <w:rPr>
          <w:rFonts w:ascii="Verdana" w:hAnsi="Verdana"/>
          <w:sz w:val="16"/>
          <w:szCs w:val="16"/>
        </w:rPr>
        <w:t>ją</w:t>
      </w:r>
      <w:r w:rsidRPr="000A6485">
        <w:rPr>
          <w:rFonts w:ascii="Verdana" w:hAnsi="Verdana"/>
          <w:sz w:val="16"/>
          <w:szCs w:val="16"/>
        </w:rPr>
        <w:t xml:space="preserve"> się deficytem, począwszy od 202</w:t>
      </w:r>
      <w:r>
        <w:rPr>
          <w:rFonts w:ascii="Verdana" w:hAnsi="Verdana"/>
          <w:sz w:val="16"/>
          <w:szCs w:val="16"/>
        </w:rPr>
        <w:t>7</w:t>
      </w:r>
      <w:r w:rsidRPr="000A6485">
        <w:rPr>
          <w:rFonts w:ascii="Verdana" w:hAnsi="Verdana"/>
          <w:sz w:val="16"/>
          <w:szCs w:val="16"/>
        </w:rPr>
        <w:t xml:space="preserve"> r. do 2050 r. wynik budżetu stanowi nadwyżkę.</w:t>
      </w:r>
    </w:p>
    <w:p w:rsidR="007F07DD" w:rsidRPr="000A6485" w:rsidRDefault="007F07DD" w:rsidP="007F07DD">
      <w:pPr>
        <w:spacing w:before="60" w:after="60"/>
        <w:jc w:val="both"/>
        <w:rPr>
          <w:rFonts w:ascii="Verdana" w:hAnsi="Verdana"/>
          <w:sz w:val="16"/>
          <w:szCs w:val="16"/>
        </w:rPr>
      </w:pPr>
      <w:r w:rsidRPr="000A6485">
        <w:rPr>
          <w:rFonts w:ascii="Verdana" w:hAnsi="Verdana"/>
          <w:sz w:val="16"/>
          <w:szCs w:val="16"/>
        </w:rPr>
        <w:t xml:space="preserve">Wysokość prognozowanego </w:t>
      </w:r>
      <w:r w:rsidRPr="000A6485">
        <w:rPr>
          <w:rFonts w:ascii="Verdana" w:hAnsi="Verdana"/>
          <w:sz w:val="16"/>
          <w:szCs w:val="16"/>
          <w:u w:val="single"/>
        </w:rPr>
        <w:t>wyniku budżetu</w:t>
      </w: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2</w:t>
      </w:r>
      <w:r w:rsidRPr="000A6485">
        <w:rPr>
          <w:rFonts w:ascii="Verdana" w:hAnsi="Verdana"/>
          <w:sz w:val="16"/>
          <w:szCs w:val="16"/>
        </w:rPr>
        <w:t xml:space="preserve"> r. – deficyt w kwocie </w:t>
      </w:r>
      <w:r w:rsidRPr="0090283F">
        <w:rPr>
          <w:rFonts w:ascii="Verdana" w:eastAsiaTheme="minorEastAsia" w:hAnsi="Verdana" w:cs="Verdana"/>
          <w:b/>
          <w:bCs/>
          <w:color w:val="000000"/>
          <w:sz w:val="16"/>
          <w:szCs w:val="16"/>
        </w:rPr>
        <w:t>2,208</w:t>
      </w:r>
      <w:r w:rsidRPr="000A6485">
        <w:rPr>
          <w:rFonts w:ascii="Verdana" w:hAnsi="Verdana"/>
          <w:sz w:val="16"/>
          <w:szCs w:val="16"/>
        </w:rPr>
        <w:t xml:space="preserve"> </w:t>
      </w:r>
      <w:r>
        <w:rPr>
          <w:rFonts w:ascii="Verdana" w:hAnsi="Verdana"/>
          <w:b/>
          <w:sz w:val="16"/>
          <w:szCs w:val="16"/>
        </w:rPr>
        <w:t>mld</w:t>
      </w:r>
      <w:r w:rsidRPr="000A6485">
        <w:rPr>
          <w:rFonts w:ascii="Verdana" w:hAnsi="Verdana"/>
          <w:b/>
          <w:sz w:val="16"/>
          <w:szCs w:val="16"/>
        </w:rPr>
        <w:t xml:space="preserve">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3</w:t>
      </w:r>
      <w:r w:rsidRPr="000A6485">
        <w:rPr>
          <w:rFonts w:ascii="Verdana" w:hAnsi="Verdana"/>
          <w:sz w:val="16"/>
          <w:szCs w:val="16"/>
        </w:rPr>
        <w:t xml:space="preserve"> r. – deficyt w kwocie </w:t>
      </w:r>
      <w:r w:rsidRPr="0090283F">
        <w:rPr>
          <w:rFonts w:ascii="Verdana" w:eastAsiaTheme="minorEastAsia" w:hAnsi="Verdana" w:cs="Verdana"/>
          <w:b/>
          <w:bCs/>
          <w:color w:val="000000"/>
          <w:sz w:val="16"/>
          <w:szCs w:val="16"/>
        </w:rPr>
        <w:t>2,724</w:t>
      </w:r>
      <w:r w:rsidRPr="000A6485">
        <w:rPr>
          <w:rFonts w:ascii="Verdana" w:hAnsi="Verdana"/>
          <w:sz w:val="16"/>
          <w:szCs w:val="16"/>
        </w:rPr>
        <w:t xml:space="preserve"> </w:t>
      </w:r>
      <w:r w:rsidRPr="000A6485">
        <w:rPr>
          <w:rFonts w:ascii="Verdana" w:hAnsi="Verdana"/>
          <w:b/>
          <w:sz w:val="16"/>
          <w:szCs w:val="16"/>
        </w:rPr>
        <w:t>mld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4</w:t>
      </w:r>
      <w:r w:rsidRPr="000A6485">
        <w:rPr>
          <w:rFonts w:ascii="Verdana" w:hAnsi="Verdana"/>
          <w:sz w:val="16"/>
          <w:szCs w:val="16"/>
        </w:rPr>
        <w:t xml:space="preserve"> r. – deficyt w kwocie </w:t>
      </w:r>
      <w:r w:rsidRPr="0090283F">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90283F">
        <w:rPr>
          <w:rFonts w:ascii="Verdana" w:eastAsiaTheme="minorEastAsia" w:hAnsi="Verdana" w:cs="Verdana"/>
          <w:b/>
          <w:bCs/>
          <w:color w:val="000000"/>
          <w:sz w:val="16"/>
          <w:szCs w:val="16"/>
        </w:rPr>
        <w:t>116</w:t>
      </w:r>
      <w:r w:rsidRPr="000A6485">
        <w:rPr>
          <w:rFonts w:ascii="Verdana" w:hAnsi="Verdana" w:cs="Verdana"/>
          <w:b/>
          <w:color w:val="000000"/>
          <w:sz w:val="16"/>
          <w:szCs w:val="16"/>
        </w:rPr>
        <w:t xml:space="preserve"> ml</w:t>
      </w:r>
      <w:r>
        <w:rPr>
          <w:rFonts w:ascii="Verdana" w:hAnsi="Verdana" w:cs="Verdana"/>
          <w:b/>
          <w:color w:val="000000"/>
          <w:sz w:val="16"/>
          <w:szCs w:val="16"/>
        </w:rPr>
        <w:t>d</w:t>
      </w:r>
      <w:r w:rsidRPr="000A6485">
        <w:rPr>
          <w:rFonts w:ascii="Verdana" w:hAnsi="Verdana"/>
          <w:b/>
          <w:sz w:val="16"/>
          <w:szCs w:val="16"/>
        </w:rPr>
        <w:t xml:space="preserve">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deficyt w kwocie </w:t>
      </w:r>
      <w:r w:rsidRPr="0090283F">
        <w:rPr>
          <w:rFonts w:ascii="Verdana" w:eastAsiaTheme="minorEastAsia" w:hAnsi="Verdana" w:cs="Verdana"/>
          <w:b/>
          <w:bCs/>
          <w:color w:val="000000"/>
          <w:sz w:val="16"/>
          <w:szCs w:val="16"/>
        </w:rPr>
        <w:t>730</w:t>
      </w:r>
      <w:r w:rsidRPr="000A6485">
        <w:rPr>
          <w:rFonts w:ascii="Verdana" w:hAnsi="Verdana" w:cs="Verdana"/>
          <w:b/>
          <w:color w:val="000000"/>
          <w:sz w:val="16"/>
          <w:szCs w:val="16"/>
        </w:rPr>
        <w:t xml:space="preserve"> mln</w:t>
      </w:r>
      <w:r w:rsidRPr="000A6485">
        <w:rPr>
          <w:rFonts w:ascii="Verdana" w:hAnsi="Verdana"/>
          <w:b/>
          <w:sz w:val="16"/>
          <w:szCs w:val="16"/>
        </w:rPr>
        <w:t xml:space="preserve"> zł</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Pr>
          <w:rFonts w:ascii="Verdana" w:hAnsi="Verdana"/>
          <w:sz w:val="16"/>
          <w:szCs w:val="16"/>
        </w:rPr>
        <w:t>deficyt</w:t>
      </w:r>
      <w:r w:rsidRPr="000A6485">
        <w:rPr>
          <w:rFonts w:ascii="Verdana" w:hAnsi="Verdana"/>
          <w:sz w:val="16"/>
          <w:szCs w:val="16"/>
        </w:rPr>
        <w:t xml:space="preserve"> w kwocie </w:t>
      </w:r>
      <w:r w:rsidRPr="0090283F">
        <w:rPr>
          <w:rFonts w:ascii="Verdana" w:eastAsiaTheme="minorEastAsia" w:hAnsi="Verdana" w:cs="Verdana"/>
          <w:b/>
          <w:bCs/>
          <w:color w:val="000000"/>
          <w:sz w:val="16"/>
          <w:szCs w:val="16"/>
        </w:rPr>
        <w:t>391</w:t>
      </w:r>
      <w:r w:rsidRPr="000A6485">
        <w:rPr>
          <w:rFonts w:ascii="Verdana" w:hAnsi="Verdana"/>
          <w:sz w:val="16"/>
          <w:szCs w:val="16"/>
        </w:rPr>
        <w:t xml:space="preserve"> </w:t>
      </w:r>
      <w:r w:rsidRPr="000A6485">
        <w:rPr>
          <w:rFonts w:ascii="Verdana" w:hAnsi="Verdana"/>
          <w:b/>
          <w:sz w:val="16"/>
          <w:szCs w:val="16"/>
        </w:rPr>
        <w:t>mln zł</w:t>
      </w:r>
    </w:p>
    <w:p w:rsidR="007F07DD" w:rsidRPr="000A6485" w:rsidRDefault="007F07DD" w:rsidP="007F07DD">
      <w:pPr>
        <w:pStyle w:val="Akapitzlist"/>
        <w:spacing w:before="60" w:after="60"/>
        <w:ind w:left="567"/>
        <w:jc w:val="both"/>
        <w:rPr>
          <w:rFonts w:ascii="Verdana" w:hAnsi="Verdana"/>
          <w:sz w:val="16"/>
          <w:szCs w:val="16"/>
        </w:rPr>
      </w:pPr>
      <w:r w:rsidRPr="000A6485">
        <w:rPr>
          <w:rFonts w:ascii="Verdana" w:hAnsi="Verdana"/>
          <w:sz w:val="16"/>
          <w:szCs w:val="16"/>
        </w:rPr>
        <w:t>.</w:t>
      </w:r>
    </w:p>
    <w:p w:rsidR="007F07DD" w:rsidRPr="000A6485" w:rsidRDefault="007F07DD" w:rsidP="007F07DD">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 xml:space="preserve">2050 r. – </w:t>
      </w:r>
      <w:r>
        <w:rPr>
          <w:rFonts w:ascii="Verdana" w:hAnsi="Verdana"/>
          <w:sz w:val="16"/>
          <w:szCs w:val="16"/>
        </w:rPr>
        <w:t xml:space="preserve">nadwyżka </w:t>
      </w:r>
      <w:r w:rsidRPr="000A6485">
        <w:rPr>
          <w:rFonts w:ascii="Verdana" w:hAnsi="Verdana"/>
          <w:sz w:val="16"/>
          <w:szCs w:val="16"/>
        </w:rPr>
        <w:t xml:space="preserve">w kwocie </w:t>
      </w:r>
      <w:r w:rsidRPr="0090283F">
        <w:rPr>
          <w:rFonts w:ascii="Verdana" w:eastAsiaTheme="minorEastAsia" w:hAnsi="Verdana" w:cs="Verdana"/>
          <w:b/>
          <w:bCs/>
          <w:color w:val="000000"/>
          <w:sz w:val="16"/>
          <w:szCs w:val="16"/>
        </w:rPr>
        <w:t>160</w:t>
      </w:r>
      <w:r w:rsidRPr="000A6485">
        <w:rPr>
          <w:rFonts w:ascii="Verdana" w:hAnsi="Verdana"/>
          <w:b/>
          <w:sz w:val="16"/>
          <w:szCs w:val="16"/>
        </w:rPr>
        <w:t xml:space="preserve"> mln zł</w:t>
      </w:r>
    </w:p>
    <w:p w:rsidR="007F07DD" w:rsidRPr="000A6485" w:rsidRDefault="007F07DD" w:rsidP="007F07DD">
      <w:pPr>
        <w:spacing w:before="240" w:after="60"/>
        <w:jc w:val="both"/>
        <w:rPr>
          <w:rFonts w:ascii="Verdana" w:hAnsi="Verdana"/>
          <w:sz w:val="16"/>
          <w:szCs w:val="16"/>
        </w:rPr>
      </w:pPr>
      <w:r w:rsidRPr="000A6485">
        <w:rPr>
          <w:rFonts w:ascii="Verdana" w:hAnsi="Verdana"/>
          <w:b/>
          <w:bCs/>
          <w:sz w:val="16"/>
          <w:szCs w:val="16"/>
        </w:rPr>
        <w:t>SEKCJA 4</w:t>
      </w:r>
      <w:r w:rsidRPr="000A6485">
        <w:rPr>
          <w:rFonts w:ascii="Verdana" w:hAnsi="Verdana"/>
          <w:sz w:val="16"/>
          <w:szCs w:val="16"/>
        </w:rPr>
        <w:t xml:space="preserve"> – zagregowane główne kategorie </w:t>
      </w:r>
      <w:r w:rsidRPr="000A6485">
        <w:rPr>
          <w:rFonts w:ascii="Verdana" w:hAnsi="Verdana"/>
          <w:b/>
          <w:sz w:val="16"/>
          <w:szCs w:val="16"/>
        </w:rPr>
        <w:t xml:space="preserve">przychodów </w:t>
      </w:r>
      <w:r w:rsidRPr="000A6485">
        <w:rPr>
          <w:rFonts w:ascii="Verdana" w:hAnsi="Verdana"/>
          <w:sz w:val="16"/>
          <w:szCs w:val="16"/>
        </w:rPr>
        <w:t>z wyszczególnieniem sposobu pokrycia deficytu</w:t>
      </w:r>
    </w:p>
    <w:p w:rsidR="007F07DD" w:rsidRDefault="007F07DD" w:rsidP="007F07DD">
      <w:pPr>
        <w:spacing w:before="60" w:after="60"/>
        <w:jc w:val="both"/>
        <w:rPr>
          <w:rFonts w:ascii="Verdana" w:hAnsi="Verdana"/>
          <w:sz w:val="16"/>
          <w:szCs w:val="16"/>
        </w:rPr>
      </w:pPr>
      <w:r w:rsidRPr="000A6485">
        <w:rPr>
          <w:rFonts w:ascii="Verdana" w:hAnsi="Verdana"/>
          <w:sz w:val="16"/>
          <w:szCs w:val="16"/>
        </w:rPr>
        <w:t>Prognozowane przychody będą stanowiły zaciągane kredyty</w:t>
      </w:r>
      <w:r>
        <w:rPr>
          <w:rFonts w:ascii="Verdana" w:hAnsi="Verdana"/>
          <w:sz w:val="16"/>
          <w:szCs w:val="16"/>
        </w:rPr>
        <w:t xml:space="preserve"> i pożyczki</w:t>
      </w:r>
      <w:r w:rsidRPr="000A6485">
        <w:rPr>
          <w:rFonts w:ascii="Verdana" w:hAnsi="Verdana"/>
          <w:sz w:val="16"/>
          <w:szCs w:val="16"/>
        </w:rPr>
        <w:t xml:space="preserve"> lub emitowane obligacje oraz wolne środki na rachunku bieżącym budżetu </w:t>
      </w:r>
      <w:r w:rsidRPr="000A6485">
        <w:rPr>
          <w:rFonts w:ascii="Verdana" w:hAnsi="Verdana" w:cs="Arial"/>
          <w:iCs/>
          <w:sz w:val="16"/>
          <w:szCs w:val="16"/>
        </w:rPr>
        <w:t xml:space="preserve">wynikające z rozliczeń wyemitowanych papierów wartościowych oraz kredytów </w:t>
      </w:r>
      <w:r>
        <w:rPr>
          <w:rFonts w:ascii="Verdana" w:hAnsi="Verdana" w:cs="Arial"/>
          <w:iCs/>
          <w:sz w:val="16"/>
          <w:szCs w:val="16"/>
        </w:rPr>
        <w:br/>
      </w:r>
      <w:r w:rsidRPr="000A6485">
        <w:rPr>
          <w:rFonts w:ascii="Verdana" w:hAnsi="Verdana" w:cs="Arial"/>
          <w:iCs/>
          <w:sz w:val="16"/>
          <w:szCs w:val="16"/>
        </w:rPr>
        <w:t>i pożyczek z lat ubiegłych</w:t>
      </w:r>
      <w:r>
        <w:rPr>
          <w:rFonts w:ascii="Verdana" w:hAnsi="Verdana" w:cs="Arial"/>
          <w:iCs/>
          <w:sz w:val="16"/>
          <w:szCs w:val="16"/>
        </w:rPr>
        <w:t xml:space="preserve"> i nadwyżka budżetu z lat ubiegłych</w:t>
      </w:r>
      <w:r w:rsidRPr="000A6485">
        <w:rPr>
          <w:rFonts w:ascii="Verdana" w:hAnsi="Verdana"/>
          <w:sz w:val="16"/>
          <w:szCs w:val="16"/>
        </w:rPr>
        <w:t xml:space="preserve">. Przychody zostaną przeznaczone na finansowanie deficytu budżetu oraz rozchodów stanowiących spłatę rat kredytów i pożyczek oraz wykup wyemitowanych obligacji. </w:t>
      </w:r>
    </w:p>
    <w:p w:rsidR="007F07DD" w:rsidRDefault="007F07DD" w:rsidP="007F07DD">
      <w:pPr>
        <w:autoSpaceDE w:val="0"/>
        <w:autoSpaceDN w:val="0"/>
        <w:adjustRightInd w:val="0"/>
        <w:spacing w:before="60" w:after="60"/>
        <w:jc w:val="both"/>
        <w:rPr>
          <w:rFonts w:ascii="Verdana" w:hAnsi="Verdana" w:cs="Verdana"/>
          <w:sz w:val="16"/>
          <w:szCs w:val="16"/>
        </w:rPr>
      </w:pPr>
      <w:r w:rsidRPr="00D162B5">
        <w:rPr>
          <w:rFonts w:ascii="Verdana" w:hAnsi="Verdana" w:cs="Verdana"/>
          <w:sz w:val="16"/>
          <w:szCs w:val="16"/>
        </w:rPr>
        <w:t xml:space="preserve">W ramach </w:t>
      </w:r>
      <w:r>
        <w:rPr>
          <w:rFonts w:ascii="Verdana" w:hAnsi="Verdana" w:cs="Verdana"/>
          <w:sz w:val="16"/>
          <w:szCs w:val="16"/>
        </w:rPr>
        <w:t>przychodów</w:t>
      </w:r>
      <w:r w:rsidRPr="00D162B5">
        <w:rPr>
          <w:rFonts w:ascii="Verdana" w:hAnsi="Verdana" w:cs="Verdana"/>
          <w:sz w:val="16"/>
          <w:szCs w:val="16"/>
        </w:rPr>
        <w:t xml:space="preserve"> uwzględniono dofinansowanie w formie </w:t>
      </w:r>
      <w:r>
        <w:rPr>
          <w:rFonts w:ascii="Verdana" w:hAnsi="Verdana" w:cs="Verdana"/>
          <w:sz w:val="16"/>
          <w:szCs w:val="16"/>
        </w:rPr>
        <w:t>planowanych pożyczek</w:t>
      </w:r>
      <w:r w:rsidRPr="00D162B5">
        <w:rPr>
          <w:rFonts w:ascii="Verdana" w:hAnsi="Verdana" w:cs="Verdana"/>
          <w:sz w:val="16"/>
          <w:szCs w:val="16"/>
        </w:rPr>
        <w:t xml:space="preserve"> z Narodowego Funduszu Ochrony Środowiska i Gospodarki Wodnej do</w:t>
      </w:r>
      <w:r>
        <w:rPr>
          <w:rFonts w:ascii="Verdana" w:hAnsi="Verdana" w:cs="Verdana"/>
          <w:sz w:val="16"/>
          <w:szCs w:val="16"/>
        </w:rPr>
        <w:t xml:space="preserve"> następujących zadań:</w:t>
      </w:r>
    </w:p>
    <w:p w:rsidR="007F07DD" w:rsidRDefault="005F685F"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Pr>
          <w:rFonts w:ascii="Verdana" w:hAnsi="Verdana" w:cs="Verdana"/>
          <w:sz w:val="16"/>
          <w:szCs w:val="16"/>
        </w:rPr>
        <w:t>"EKO</w:t>
      </w:r>
      <w:r w:rsidR="007F07DD" w:rsidRPr="00D162B5">
        <w:rPr>
          <w:rFonts w:ascii="Verdana" w:hAnsi="Verdana" w:cs="Verdana"/>
          <w:sz w:val="16"/>
          <w:szCs w:val="16"/>
        </w:rPr>
        <w:t xml:space="preserve"> P+R Połczyńska" - pożyczka w kwocie 10.000.000 zł w latach 2023-2024</w:t>
      </w:r>
      <w:r>
        <w:rPr>
          <w:rFonts w:ascii="Verdana" w:hAnsi="Verdana" w:cs="Verdana"/>
          <w:sz w:val="16"/>
          <w:szCs w:val="16"/>
        </w:rPr>
        <w:t xml:space="preserve"> </w:t>
      </w:r>
      <w:r w:rsidR="007F07DD" w:rsidRPr="00D162B5">
        <w:rPr>
          <w:rFonts w:ascii="Verdana" w:hAnsi="Verdana" w:cs="Verdana"/>
          <w:sz w:val="16"/>
          <w:szCs w:val="16"/>
        </w:rPr>
        <w:t>z planowaną spłatą w latach 2025-2038,</w:t>
      </w:r>
    </w:p>
    <w:p w:rsidR="007F07DD" w:rsidRPr="00D162B5" w:rsidRDefault="007F07DD"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sidRPr="00D162B5">
        <w:rPr>
          <w:rFonts w:ascii="Verdana" w:hAnsi="Verdana" w:cs="Verdana"/>
          <w:sz w:val="16"/>
          <w:szCs w:val="16"/>
        </w:rPr>
        <w:t>"Zakup 12 autobusów niskoemisyjnych dla m.st. Warszawy" - pożyczka w kwocie 24.960.000 zł w latach 2024-2025 z planowaną spłatą w latach 2026-2036.</w:t>
      </w:r>
    </w:p>
    <w:p w:rsidR="007F07DD" w:rsidRPr="000A6485" w:rsidRDefault="007F07DD" w:rsidP="007F07DD">
      <w:pPr>
        <w:spacing w:before="240" w:after="60"/>
        <w:jc w:val="both"/>
        <w:rPr>
          <w:rFonts w:ascii="Verdana" w:hAnsi="Verdana"/>
          <w:sz w:val="16"/>
          <w:szCs w:val="16"/>
        </w:rPr>
      </w:pPr>
      <w:r w:rsidRPr="000A6485">
        <w:rPr>
          <w:rFonts w:ascii="Verdana" w:hAnsi="Verdana"/>
          <w:b/>
          <w:bCs/>
          <w:sz w:val="16"/>
          <w:szCs w:val="16"/>
        </w:rPr>
        <w:t>SEKCJA 5</w:t>
      </w:r>
      <w:r w:rsidRPr="000A6485">
        <w:rPr>
          <w:rFonts w:ascii="Verdana" w:hAnsi="Verdana"/>
          <w:sz w:val="16"/>
          <w:szCs w:val="16"/>
        </w:rPr>
        <w:t xml:space="preserve"> – zagregowane główne kategorie </w:t>
      </w:r>
      <w:r w:rsidRPr="000A6485">
        <w:rPr>
          <w:rFonts w:ascii="Verdana" w:hAnsi="Verdana"/>
          <w:b/>
          <w:sz w:val="16"/>
          <w:szCs w:val="16"/>
        </w:rPr>
        <w:t xml:space="preserve">rozchodów </w:t>
      </w:r>
      <w:r w:rsidRPr="000A6485">
        <w:rPr>
          <w:rFonts w:ascii="Verdana" w:hAnsi="Verdana"/>
          <w:sz w:val="16"/>
          <w:szCs w:val="16"/>
        </w:rPr>
        <w:t xml:space="preserve">z wyszczególnieniem kwot przypadających </w:t>
      </w:r>
      <w:r w:rsidRPr="000A6485">
        <w:rPr>
          <w:rFonts w:ascii="Verdana" w:hAnsi="Verdana"/>
          <w:sz w:val="16"/>
          <w:szCs w:val="16"/>
        </w:rPr>
        <w:br/>
        <w:t xml:space="preserve">na dany rok wyłączeń </w:t>
      </w:r>
      <w:r>
        <w:rPr>
          <w:rFonts w:ascii="Verdana" w:hAnsi="Verdana"/>
          <w:sz w:val="16"/>
          <w:szCs w:val="16"/>
        </w:rPr>
        <w:t>z limitu</w:t>
      </w:r>
      <w:r w:rsidRPr="000A6485">
        <w:rPr>
          <w:rFonts w:ascii="Verdana" w:hAnsi="Verdana"/>
          <w:sz w:val="16"/>
          <w:szCs w:val="16"/>
        </w:rPr>
        <w:t xml:space="preserve"> spłaty zobowiązań</w:t>
      </w:r>
      <w:r>
        <w:rPr>
          <w:rFonts w:ascii="Verdana" w:hAnsi="Verdana"/>
          <w:sz w:val="16"/>
          <w:szCs w:val="16"/>
        </w:rPr>
        <w:t>, o którym mowa w</w:t>
      </w:r>
      <w:r w:rsidRPr="000A6485">
        <w:rPr>
          <w:rFonts w:ascii="Verdana" w:hAnsi="Verdana"/>
          <w:sz w:val="16"/>
          <w:szCs w:val="16"/>
        </w:rPr>
        <w:t xml:space="preserve"> art. 243 ust. 3, 3a i 3b </w:t>
      </w:r>
      <w:r>
        <w:rPr>
          <w:rFonts w:ascii="Verdana" w:hAnsi="Verdana"/>
          <w:sz w:val="16"/>
          <w:szCs w:val="16"/>
        </w:rPr>
        <w:t>ustawy oraz pozostałych wyłączeń</w:t>
      </w:r>
    </w:p>
    <w:p w:rsidR="007F07DD" w:rsidRDefault="007F07DD" w:rsidP="007F07DD">
      <w:pPr>
        <w:spacing w:before="60" w:after="60"/>
        <w:jc w:val="both"/>
        <w:rPr>
          <w:rFonts w:ascii="Verdana" w:hAnsi="Verdana"/>
          <w:sz w:val="16"/>
          <w:szCs w:val="16"/>
        </w:rPr>
      </w:pPr>
      <w:r w:rsidRPr="000A6485">
        <w:rPr>
          <w:rFonts w:ascii="Verdana" w:hAnsi="Verdana"/>
          <w:sz w:val="16"/>
          <w:szCs w:val="16"/>
        </w:rPr>
        <w:t>Prognozowane rozchody stanowią wyłącznie środki przeznaczone na spłatę zobowiązań dłużnych, w tym spłatę rat kapitałowych zaciągniętych kredytów i pożyczek oraz wykup wyemitowanych obligacji.</w:t>
      </w:r>
    </w:p>
    <w:p w:rsidR="007F07DD" w:rsidRDefault="007F07DD" w:rsidP="007F07DD">
      <w:pPr>
        <w:autoSpaceDE w:val="0"/>
        <w:autoSpaceDN w:val="0"/>
        <w:adjustRightInd w:val="0"/>
        <w:spacing w:before="60" w:after="60"/>
        <w:jc w:val="both"/>
        <w:rPr>
          <w:rFonts w:ascii="Verdana" w:hAnsi="Verdana" w:cs="Verdana"/>
          <w:sz w:val="16"/>
          <w:szCs w:val="16"/>
        </w:rPr>
      </w:pPr>
      <w:r w:rsidRPr="00D162B5">
        <w:rPr>
          <w:rFonts w:ascii="Verdana" w:hAnsi="Verdana" w:cs="Verdana"/>
          <w:sz w:val="16"/>
          <w:szCs w:val="16"/>
        </w:rPr>
        <w:t xml:space="preserve">W ramach </w:t>
      </w:r>
      <w:r>
        <w:rPr>
          <w:rFonts w:ascii="Verdana" w:hAnsi="Verdana" w:cs="Verdana"/>
          <w:sz w:val="16"/>
          <w:szCs w:val="16"/>
        </w:rPr>
        <w:t>rozchodów</w:t>
      </w:r>
      <w:r w:rsidRPr="00D162B5">
        <w:rPr>
          <w:rFonts w:ascii="Verdana" w:hAnsi="Verdana" w:cs="Verdana"/>
          <w:sz w:val="16"/>
          <w:szCs w:val="16"/>
        </w:rPr>
        <w:t xml:space="preserve"> uwzględniono </w:t>
      </w:r>
      <w:r>
        <w:rPr>
          <w:rFonts w:ascii="Verdana" w:hAnsi="Verdana" w:cs="Verdana"/>
          <w:sz w:val="16"/>
          <w:szCs w:val="16"/>
        </w:rPr>
        <w:t>spłatę zobowiązań wynikającą z dofinansowania w formie planowanych pożyczek</w:t>
      </w:r>
      <w:r w:rsidRPr="00D162B5">
        <w:rPr>
          <w:rFonts w:ascii="Verdana" w:hAnsi="Verdana" w:cs="Verdana"/>
          <w:sz w:val="16"/>
          <w:szCs w:val="16"/>
        </w:rPr>
        <w:t xml:space="preserve"> z Narodowego Funduszu Ochrony Środowiska i Gospodarki Wodnej do</w:t>
      </w:r>
      <w:r>
        <w:rPr>
          <w:rFonts w:ascii="Verdana" w:hAnsi="Verdana" w:cs="Verdana"/>
          <w:sz w:val="16"/>
          <w:szCs w:val="16"/>
        </w:rPr>
        <w:t xml:space="preserve"> następujących zadań:</w:t>
      </w:r>
    </w:p>
    <w:p w:rsidR="007F07DD" w:rsidRDefault="007F07DD"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sidRPr="00D162B5">
        <w:rPr>
          <w:rFonts w:ascii="Verdana" w:hAnsi="Verdana" w:cs="Verdana"/>
          <w:sz w:val="16"/>
          <w:szCs w:val="16"/>
        </w:rPr>
        <w:t>"</w:t>
      </w:r>
      <w:r w:rsidR="005F685F">
        <w:rPr>
          <w:rFonts w:ascii="Verdana" w:hAnsi="Verdana" w:cs="Verdana"/>
          <w:sz w:val="16"/>
          <w:szCs w:val="16"/>
        </w:rPr>
        <w:t>EKO</w:t>
      </w:r>
      <w:r w:rsidRPr="00D162B5">
        <w:rPr>
          <w:rFonts w:ascii="Verdana" w:hAnsi="Verdana" w:cs="Verdana"/>
          <w:sz w:val="16"/>
          <w:szCs w:val="16"/>
        </w:rPr>
        <w:t xml:space="preserve"> P+R Połczyńska" - pożyczka w kwocie 10.000.000 zł w latach 2023-2024 z planowaną spłatą w latach 2025-2038,</w:t>
      </w:r>
    </w:p>
    <w:p w:rsidR="007F07DD" w:rsidRDefault="007F07DD" w:rsidP="007F07DD">
      <w:pPr>
        <w:pStyle w:val="Akapitzlist"/>
        <w:numPr>
          <w:ilvl w:val="0"/>
          <w:numId w:val="69"/>
        </w:numPr>
        <w:autoSpaceDE w:val="0"/>
        <w:autoSpaceDN w:val="0"/>
        <w:adjustRightInd w:val="0"/>
        <w:spacing w:before="60" w:after="60"/>
        <w:ind w:left="568" w:hanging="284"/>
        <w:contextualSpacing w:val="0"/>
        <w:jc w:val="both"/>
        <w:rPr>
          <w:rFonts w:ascii="Verdana" w:hAnsi="Verdana" w:cs="Verdana"/>
          <w:sz w:val="16"/>
          <w:szCs w:val="16"/>
        </w:rPr>
      </w:pPr>
      <w:r w:rsidRPr="00D162B5">
        <w:rPr>
          <w:rFonts w:ascii="Verdana" w:hAnsi="Verdana" w:cs="Verdana"/>
          <w:sz w:val="16"/>
          <w:szCs w:val="16"/>
        </w:rPr>
        <w:t>"Zakup 12 autobusów niskoemisyjnych dla m.st. Warszawy" - pożyczka w kwocie 24.960.000 zł w latach 2024-2025 z planowaną spłatą w latach 2026-2036.</w:t>
      </w:r>
      <w:r>
        <w:rPr>
          <w:rFonts w:ascii="Verdana" w:hAnsi="Verdana" w:cs="Verdana"/>
          <w:sz w:val="16"/>
          <w:szCs w:val="16"/>
        </w:rPr>
        <w:br w:type="page"/>
      </w:r>
    </w:p>
    <w:p w:rsidR="007F07DD" w:rsidRPr="000A6485" w:rsidRDefault="007F07DD" w:rsidP="007F07DD">
      <w:pPr>
        <w:spacing w:before="240" w:after="60"/>
        <w:jc w:val="both"/>
        <w:rPr>
          <w:rFonts w:ascii="Verdana" w:hAnsi="Verdana"/>
          <w:bCs/>
          <w:sz w:val="16"/>
          <w:szCs w:val="16"/>
        </w:rPr>
      </w:pPr>
      <w:r w:rsidRPr="000A6485">
        <w:rPr>
          <w:rFonts w:ascii="Verdana" w:hAnsi="Verdana"/>
          <w:b/>
          <w:bCs/>
          <w:sz w:val="16"/>
          <w:szCs w:val="16"/>
        </w:rPr>
        <w:lastRenderedPageBreak/>
        <w:t>SEKCJA 6</w:t>
      </w:r>
      <w:r w:rsidRPr="000A6485">
        <w:rPr>
          <w:rFonts w:ascii="Verdana" w:hAnsi="Verdana"/>
          <w:sz w:val="16"/>
          <w:szCs w:val="16"/>
        </w:rPr>
        <w:t xml:space="preserve"> – prognoza </w:t>
      </w:r>
      <w:r w:rsidRPr="000A6485">
        <w:rPr>
          <w:rFonts w:ascii="Verdana" w:hAnsi="Verdana"/>
          <w:b/>
          <w:sz w:val="16"/>
          <w:szCs w:val="16"/>
        </w:rPr>
        <w:t>kwoty długu</w:t>
      </w:r>
      <w:r w:rsidRPr="000A6485">
        <w:rPr>
          <w:rFonts w:ascii="Verdana" w:hAnsi="Verdana"/>
          <w:sz w:val="16"/>
          <w:szCs w:val="16"/>
        </w:rPr>
        <w:t xml:space="preserve"> wg stanu na 31 XII, z wyszczególnieniem kwoty długu, którego planowana spłata dokona się z wydatków</w:t>
      </w:r>
    </w:p>
    <w:p w:rsidR="007F07DD" w:rsidRPr="000A6485" w:rsidRDefault="007F07DD" w:rsidP="007F07DD">
      <w:pPr>
        <w:spacing w:before="240" w:after="60"/>
        <w:jc w:val="both"/>
        <w:rPr>
          <w:rFonts w:ascii="Verdana" w:hAnsi="Verdana"/>
          <w:b/>
          <w:bCs/>
          <w:sz w:val="16"/>
          <w:szCs w:val="16"/>
        </w:rPr>
      </w:pPr>
      <w:r w:rsidRPr="000A6485">
        <w:rPr>
          <w:rFonts w:ascii="Verdana" w:hAnsi="Verdana"/>
          <w:b/>
          <w:bCs/>
          <w:sz w:val="16"/>
          <w:szCs w:val="16"/>
        </w:rPr>
        <w:t>SEKCJA 7</w:t>
      </w:r>
      <w:r w:rsidRPr="000A6485">
        <w:rPr>
          <w:rFonts w:ascii="Verdana" w:hAnsi="Verdana"/>
          <w:sz w:val="16"/>
          <w:szCs w:val="16"/>
        </w:rPr>
        <w:t xml:space="preserve"> – reguła wydatkowa w zakresie </w:t>
      </w:r>
      <w:r w:rsidRPr="000A6485">
        <w:rPr>
          <w:rFonts w:ascii="Verdana" w:hAnsi="Verdana"/>
          <w:b/>
          <w:sz w:val="16"/>
          <w:szCs w:val="16"/>
        </w:rPr>
        <w:t>wydatków bieżących</w:t>
      </w:r>
      <w:r w:rsidRPr="000A6485">
        <w:rPr>
          <w:rFonts w:ascii="Verdana" w:hAnsi="Verdana"/>
          <w:sz w:val="16"/>
          <w:szCs w:val="16"/>
        </w:rPr>
        <w:t xml:space="preserve">, o której mowa w art. 242 ustawy </w:t>
      </w:r>
      <w:r w:rsidRPr="000A6485">
        <w:rPr>
          <w:rFonts w:ascii="Verdana" w:hAnsi="Verdana"/>
          <w:sz w:val="16"/>
          <w:szCs w:val="16"/>
        </w:rPr>
        <w:br/>
        <w:t>o finansach publicznych</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W całym okresie objętym </w:t>
      </w:r>
      <w:r>
        <w:rPr>
          <w:rFonts w:ascii="Verdana" w:hAnsi="Verdana"/>
          <w:bCs/>
          <w:sz w:val="16"/>
          <w:szCs w:val="16"/>
        </w:rPr>
        <w:t xml:space="preserve">WPF </w:t>
      </w:r>
      <w:r w:rsidRPr="0090283F">
        <w:rPr>
          <w:rFonts w:ascii="Verdana" w:eastAsiaTheme="minorEastAsia" w:hAnsi="Verdana" w:cs="Verdana"/>
          <w:color w:val="000000"/>
          <w:sz w:val="16"/>
          <w:szCs w:val="16"/>
        </w:rPr>
        <w:t>2022</w:t>
      </w:r>
      <w:r>
        <w:rPr>
          <w:rFonts w:ascii="Verdana" w:hAnsi="Verdana"/>
          <w:bCs/>
          <w:sz w:val="16"/>
          <w:szCs w:val="16"/>
        </w:rPr>
        <w:t>-2050</w:t>
      </w:r>
      <w:r w:rsidRPr="000A6485">
        <w:rPr>
          <w:rFonts w:ascii="Verdana" w:hAnsi="Verdana"/>
          <w:bCs/>
          <w:sz w:val="16"/>
          <w:szCs w:val="16"/>
        </w:rPr>
        <w:t xml:space="preserve"> </w:t>
      </w:r>
      <w:r>
        <w:rPr>
          <w:rFonts w:ascii="Verdana" w:hAnsi="Verdana"/>
          <w:bCs/>
          <w:sz w:val="16"/>
          <w:szCs w:val="16"/>
        </w:rPr>
        <w:t>prognozuje</w:t>
      </w:r>
      <w:r w:rsidRPr="000A6485">
        <w:rPr>
          <w:rFonts w:ascii="Verdana" w:hAnsi="Verdana"/>
          <w:bCs/>
          <w:sz w:val="16"/>
          <w:szCs w:val="16"/>
        </w:rPr>
        <w:t xml:space="preserve"> się, że </w:t>
      </w:r>
      <w:r>
        <w:rPr>
          <w:rFonts w:ascii="Verdana" w:hAnsi="Verdana"/>
          <w:bCs/>
          <w:sz w:val="16"/>
          <w:szCs w:val="16"/>
        </w:rPr>
        <w:t>limit wydatków bieżących</w:t>
      </w:r>
      <w:r w:rsidRPr="000A6485">
        <w:rPr>
          <w:rFonts w:ascii="Verdana" w:hAnsi="Verdana"/>
          <w:bCs/>
          <w:sz w:val="16"/>
          <w:szCs w:val="16"/>
        </w:rPr>
        <w:t xml:space="preserve"> </w:t>
      </w:r>
      <w:r>
        <w:rPr>
          <w:rFonts w:ascii="Verdana" w:hAnsi="Verdana"/>
          <w:bCs/>
          <w:sz w:val="16"/>
          <w:szCs w:val="16"/>
        </w:rPr>
        <w:t>będzie wyższy od planowanych wydatków bieżących</w:t>
      </w:r>
      <w:r w:rsidRPr="000A6485">
        <w:rPr>
          <w:rFonts w:ascii="Verdana" w:hAnsi="Verdana"/>
          <w:bCs/>
          <w:sz w:val="16"/>
          <w:szCs w:val="16"/>
        </w:rPr>
        <w:t>, co oznacza spełnienie przedmiotowej reguły ustawowej.</w:t>
      </w:r>
    </w:p>
    <w:p w:rsidR="007F07DD" w:rsidRPr="000A6485" w:rsidRDefault="007F07DD" w:rsidP="007F07DD">
      <w:pPr>
        <w:spacing w:before="60" w:after="60"/>
        <w:jc w:val="both"/>
        <w:rPr>
          <w:rFonts w:ascii="Verdana" w:hAnsi="Verdana"/>
          <w:bCs/>
          <w:sz w:val="16"/>
          <w:szCs w:val="16"/>
        </w:rPr>
      </w:pPr>
      <w:r>
        <w:rPr>
          <w:rFonts w:ascii="Verdana" w:hAnsi="Verdana"/>
          <w:bCs/>
          <w:sz w:val="16"/>
          <w:szCs w:val="16"/>
        </w:rPr>
        <w:t>Tabela nr 6</w:t>
      </w:r>
      <w:r w:rsidRPr="000A6485">
        <w:rPr>
          <w:rFonts w:ascii="Verdana" w:hAnsi="Verdana"/>
          <w:bCs/>
          <w:sz w:val="16"/>
          <w:szCs w:val="16"/>
        </w:rPr>
        <w:t xml:space="preserve"> prezentuje kształtowanie się ustawowej reguły wydatkowej w zakresie wydatków bieżących </w:t>
      </w:r>
      <w:r w:rsidRPr="000A6485">
        <w:rPr>
          <w:rFonts w:ascii="Verdana" w:hAnsi="Verdana"/>
          <w:bCs/>
          <w:sz w:val="16"/>
          <w:szCs w:val="16"/>
        </w:rPr>
        <w:br/>
        <w:t xml:space="preserve">w perspektywie objętej </w:t>
      </w:r>
      <w:r>
        <w:rPr>
          <w:rFonts w:ascii="Verdana" w:hAnsi="Verdana"/>
          <w:bCs/>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bCs/>
          <w:sz w:val="16"/>
          <w:szCs w:val="16"/>
        </w:rPr>
        <w:t>-2050.</w:t>
      </w:r>
    </w:p>
    <w:p w:rsidR="007F07DD" w:rsidRPr="000A6485" w:rsidRDefault="007F07DD" w:rsidP="007F07DD">
      <w:pPr>
        <w:pStyle w:val="Legenda"/>
        <w:keepNext/>
        <w:spacing w:before="120" w:after="120"/>
        <w:ind w:left="567" w:hanging="567"/>
        <w:rPr>
          <w:rFonts w:ascii="Verdana" w:hAnsi="Verdana" w:cs="Arial"/>
          <w:b w:val="0"/>
          <w:sz w:val="14"/>
          <w:szCs w:val="14"/>
        </w:rPr>
      </w:pPr>
      <w:r w:rsidRPr="000A6485">
        <w:rPr>
          <w:rFonts w:ascii="Verdana" w:hAnsi="Verdana" w:cs="Arial"/>
          <w:sz w:val="14"/>
          <w:szCs w:val="14"/>
        </w:rPr>
        <w:t xml:space="preserve">TAB. </w:t>
      </w:r>
      <w:r w:rsidRPr="000A6485">
        <w:rPr>
          <w:rFonts w:ascii="Verdana" w:hAnsi="Verdana" w:cs="Arial"/>
          <w:sz w:val="14"/>
          <w:szCs w:val="14"/>
        </w:rPr>
        <w:fldChar w:fldCharType="begin"/>
      </w:r>
      <w:r w:rsidRPr="000A6485">
        <w:rPr>
          <w:rFonts w:ascii="Verdana" w:hAnsi="Verdana" w:cs="Arial"/>
          <w:sz w:val="14"/>
          <w:szCs w:val="14"/>
        </w:rPr>
        <w:instrText xml:space="preserve"> SEQ Tab. \* ARABIC </w:instrText>
      </w:r>
      <w:r w:rsidRPr="000A6485">
        <w:rPr>
          <w:rFonts w:ascii="Verdana" w:hAnsi="Verdana" w:cs="Arial"/>
          <w:sz w:val="14"/>
          <w:szCs w:val="14"/>
        </w:rPr>
        <w:fldChar w:fldCharType="separate"/>
      </w:r>
      <w:r>
        <w:rPr>
          <w:rFonts w:ascii="Verdana" w:hAnsi="Verdana" w:cs="Arial"/>
          <w:noProof/>
          <w:sz w:val="14"/>
          <w:szCs w:val="14"/>
        </w:rPr>
        <w:t>6</w:t>
      </w:r>
      <w:r w:rsidRPr="000A6485">
        <w:rPr>
          <w:rFonts w:ascii="Verdana" w:hAnsi="Verdana" w:cs="Arial"/>
          <w:sz w:val="14"/>
          <w:szCs w:val="14"/>
        </w:rPr>
        <w:fldChar w:fldCharType="end"/>
      </w:r>
      <w:r w:rsidRPr="000A6485">
        <w:rPr>
          <w:rFonts w:ascii="Verdana" w:hAnsi="Verdana" w:cs="Arial"/>
          <w:sz w:val="14"/>
          <w:szCs w:val="14"/>
        </w:rPr>
        <w:t xml:space="preserve">. PROGNOZA REGUŁY DOPUSZCZALNEGO POZIOMU WYDATKÓW BIEŻĄCYCH W M.ST. WARSZAWA   </w:t>
      </w:r>
      <w:r w:rsidRPr="000A6485">
        <w:rPr>
          <w:rFonts w:ascii="Verdana" w:hAnsi="Verdana" w:cs="Arial"/>
          <w:sz w:val="14"/>
          <w:szCs w:val="14"/>
        </w:rPr>
        <w:br/>
        <w:t xml:space="preserve"> NA LATA </w:t>
      </w:r>
      <w:r w:rsidRPr="0090283F">
        <w:rPr>
          <w:rFonts w:ascii="Verdana" w:hAnsi="Verdana" w:cs="Arial"/>
          <w:sz w:val="14"/>
          <w:szCs w:val="14"/>
        </w:rPr>
        <w:t>2022</w:t>
      </w:r>
      <w:r w:rsidRPr="000A6485">
        <w:rPr>
          <w:rFonts w:ascii="Verdana" w:hAnsi="Verdana" w:cs="Arial"/>
          <w:sz w:val="14"/>
          <w:szCs w:val="14"/>
        </w:rPr>
        <w:t xml:space="preserve">-2050 </w:t>
      </w:r>
      <w:r>
        <w:rPr>
          <w:rFonts w:ascii="Verdana" w:hAnsi="Verdana" w:cs="Arial"/>
          <w:b w:val="0"/>
          <w:bCs w:val="0"/>
          <w:sz w:val="14"/>
          <w:szCs w:val="14"/>
        </w:rPr>
        <w:t xml:space="preserve">[w </w:t>
      </w:r>
      <w:r w:rsidRPr="000A6485">
        <w:rPr>
          <w:rFonts w:ascii="Verdana" w:hAnsi="Verdana" w:cs="Arial"/>
          <w:b w:val="0"/>
          <w:bCs w:val="0"/>
          <w:sz w:val="14"/>
          <w:szCs w:val="14"/>
        </w:rPr>
        <w:t>mln zł]</w:t>
      </w:r>
    </w:p>
    <w:p w:rsidR="007F07DD" w:rsidRPr="000A6485" w:rsidRDefault="00F33C94" w:rsidP="007F07DD">
      <w:pPr>
        <w:spacing w:before="120" w:after="120"/>
        <w:rPr>
          <w:noProof/>
        </w:rPr>
      </w:pPr>
      <w:r>
        <w:rPr>
          <w:noProof/>
        </w:rPr>
        <w:pict>
          <v:shape id="_x0000_i1059" type="#_x0000_t75" style="width:487.15pt;height:127.8pt">
            <v:imagedata r:id="rId53" o:title=""/>
          </v:shape>
        </w:pict>
      </w:r>
    </w:p>
    <w:p w:rsidR="007F07DD" w:rsidRPr="000A6485" w:rsidRDefault="007F07DD" w:rsidP="007F07DD">
      <w:pPr>
        <w:spacing w:before="120" w:after="120"/>
        <w:jc w:val="both"/>
        <w:rPr>
          <w:rFonts w:ascii="Verdana" w:hAnsi="Verdana"/>
          <w:sz w:val="16"/>
          <w:szCs w:val="16"/>
        </w:rPr>
      </w:pPr>
      <w:r w:rsidRPr="000A6485">
        <w:rPr>
          <w:rFonts w:ascii="Verdana" w:hAnsi="Verdana"/>
          <w:sz w:val="16"/>
          <w:szCs w:val="16"/>
        </w:rPr>
        <w:t xml:space="preserve">Kwoty różnic stanowią </w:t>
      </w:r>
      <w:r>
        <w:rPr>
          <w:rFonts w:ascii="Verdana" w:hAnsi="Verdana"/>
          <w:sz w:val="16"/>
          <w:szCs w:val="16"/>
        </w:rPr>
        <w:t>różnice między dochodami bieżącymi</w:t>
      </w:r>
      <w:r w:rsidRPr="000A6485">
        <w:rPr>
          <w:rFonts w:ascii="Verdana" w:hAnsi="Verdana"/>
          <w:sz w:val="16"/>
          <w:szCs w:val="16"/>
        </w:rPr>
        <w:t xml:space="preserve"> </w:t>
      </w:r>
      <w:r>
        <w:rPr>
          <w:rFonts w:ascii="Verdana" w:hAnsi="Verdana"/>
          <w:sz w:val="16"/>
          <w:szCs w:val="16"/>
        </w:rPr>
        <w:t>a</w:t>
      </w:r>
      <w:r w:rsidRPr="000A6485">
        <w:rPr>
          <w:rFonts w:ascii="Verdana" w:hAnsi="Verdana"/>
          <w:sz w:val="16"/>
          <w:szCs w:val="16"/>
        </w:rPr>
        <w:t xml:space="preserve"> wydatkami bieżącymi</w:t>
      </w:r>
      <w:r>
        <w:rPr>
          <w:rFonts w:ascii="Verdana" w:hAnsi="Verdana"/>
          <w:sz w:val="16"/>
          <w:szCs w:val="16"/>
        </w:rPr>
        <w:t>,</w:t>
      </w:r>
      <w:r w:rsidRPr="005824C4">
        <w:rPr>
          <w:rFonts w:ascii="Verdana" w:hAnsi="Verdana"/>
          <w:sz w:val="16"/>
          <w:szCs w:val="16"/>
        </w:rPr>
        <w:t xml:space="preserve"> </w:t>
      </w:r>
      <w:r w:rsidRPr="000A6485">
        <w:rPr>
          <w:rFonts w:ascii="Verdana" w:hAnsi="Verdana"/>
          <w:sz w:val="16"/>
          <w:szCs w:val="16"/>
        </w:rPr>
        <w:t>pow</w:t>
      </w:r>
      <w:r>
        <w:rPr>
          <w:rFonts w:ascii="Verdana" w:hAnsi="Verdana"/>
          <w:sz w:val="16"/>
          <w:szCs w:val="16"/>
        </w:rPr>
        <w:t>iększonymi</w:t>
      </w:r>
      <w:r w:rsidRPr="000A6485">
        <w:rPr>
          <w:rFonts w:ascii="Verdana" w:hAnsi="Verdana"/>
          <w:sz w:val="16"/>
          <w:szCs w:val="16"/>
        </w:rPr>
        <w:t xml:space="preserve"> </w:t>
      </w:r>
      <w:r>
        <w:rPr>
          <w:rFonts w:ascii="Verdana" w:hAnsi="Verdana"/>
          <w:sz w:val="16"/>
          <w:szCs w:val="16"/>
        </w:rPr>
        <w:t xml:space="preserve">w </w:t>
      </w:r>
      <w:r w:rsidRPr="0090283F">
        <w:rPr>
          <w:rFonts w:ascii="Verdana" w:eastAsiaTheme="minorEastAsia" w:hAnsi="Verdana" w:cs="Verdana"/>
          <w:color w:val="000000"/>
          <w:sz w:val="16"/>
          <w:szCs w:val="16"/>
        </w:rPr>
        <w:t>2022</w:t>
      </w:r>
      <w:r>
        <w:rPr>
          <w:rFonts w:ascii="Verdana" w:hAnsi="Verdana"/>
          <w:sz w:val="16"/>
          <w:szCs w:val="16"/>
        </w:rPr>
        <w:t xml:space="preserve"> r. </w:t>
      </w:r>
      <w:r>
        <w:rPr>
          <w:rFonts w:ascii="Verdana" w:hAnsi="Verdana"/>
          <w:sz w:val="16"/>
          <w:szCs w:val="16"/>
        </w:rPr>
        <w:br/>
        <w:t xml:space="preserve">o nadwyżkę budżetową z lat ubiegłych i tzw. </w:t>
      </w:r>
      <w:r w:rsidRPr="000A6485">
        <w:rPr>
          <w:rFonts w:ascii="Verdana" w:hAnsi="Verdana"/>
          <w:sz w:val="16"/>
          <w:szCs w:val="16"/>
        </w:rPr>
        <w:t xml:space="preserve">wolne środki </w:t>
      </w:r>
      <w:r>
        <w:rPr>
          <w:rFonts w:ascii="Verdana" w:hAnsi="Verdana"/>
          <w:sz w:val="16"/>
          <w:szCs w:val="16"/>
        </w:rPr>
        <w:t>(poz. 4.2 i 4.3</w:t>
      </w:r>
      <w:r w:rsidRPr="000A6485">
        <w:rPr>
          <w:rFonts w:ascii="Verdana" w:hAnsi="Verdana"/>
          <w:sz w:val="16"/>
          <w:szCs w:val="16"/>
        </w:rPr>
        <w:t xml:space="preserve"> wzoru WPF – załącznik nr 1).</w:t>
      </w:r>
    </w:p>
    <w:p w:rsidR="007F07DD" w:rsidRPr="000A6485" w:rsidRDefault="007F07DD" w:rsidP="007F07DD">
      <w:pPr>
        <w:spacing w:before="240" w:after="120"/>
        <w:jc w:val="both"/>
        <w:rPr>
          <w:rFonts w:ascii="Verdana" w:hAnsi="Verdana"/>
          <w:sz w:val="16"/>
          <w:szCs w:val="16"/>
        </w:rPr>
      </w:pPr>
      <w:r w:rsidRPr="000A6485">
        <w:rPr>
          <w:rFonts w:ascii="Verdana" w:hAnsi="Verdana"/>
          <w:b/>
          <w:bCs/>
          <w:sz w:val="16"/>
          <w:szCs w:val="16"/>
        </w:rPr>
        <w:t>SEKCJA 8</w:t>
      </w:r>
      <w:r w:rsidRPr="000A6485">
        <w:rPr>
          <w:rFonts w:ascii="Verdana" w:hAnsi="Verdana"/>
          <w:sz w:val="16"/>
          <w:szCs w:val="16"/>
        </w:rPr>
        <w:t xml:space="preserve"> – ustawowe </w:t>
      </w:r>
      <w:r w:rsidRPr="000A6485">
        <w:rPr>
          <w:rFonts w:ascii="Verdana" w:hAnsi="Verdana"/>
          <w:b/>
          <w:sz w:val="16"/>
          <w:szCs w:val="16"/>
        </w:rPr>
        <w:t>wskaźniki spłaty zobowiązań</w:t>
      </w:r>
    </w:p>
    <w:p w:rsidR="007F07DD" w:rsidRPr="000A6485" w:rsidRDefault="007F07DD" w:rsidP="007F07DD">
      <w:pPr>
        <w:pStyle w:val="Akapitzlist"/>
        <w:numPr>
          <w:ilvl w:val="0"/>
          <w:numId w:val="15"/>
        </w:numPr>
        <w:spacing w:before="60" w:after="60"/>
        <w:ind w:left="567" w:hanging="283"/>
        <w:contextualSpacing w:val="0"/>
        <w:jc w:val="both"/>
        <w:rPr>
          <w:rFonts w:ascii="Verdana" w:hAnsi="Verdana"/>
          <w:sz w:val="16"/>
          <w:szCs w:val="16"/>
        </w:rPr>
      </w:pPr>
      <w:r w:rsidRPr="000A6485">
        <w:rPr>
          <w:rFonts w:ascii="Verdana" w:hAnsi="Verdana"/>
          <w:sz w:val="16"/>
          <w:szCs w:val="16"/>
        </w:rPr>
        <w:t xml:space="preserve">ustawowy wskaźnik spłaty zobowiązań określony w art. 243 ust. 1 ustawy o finansach publicznych (lewa strona wzoru – pkt 4.1.2), po uwzględnieniu zobowiązań związku współtworzonego przez jednostkę samorządu terytorialnego oraz po uwzględnieniu wyłączeń, o których mowa w art. 243 ust. 3, 3a i 3b ustawy o finansach publicznych i w art. 121a ustawy z 27 sierpnia 2009 r. - Przepisy wprowadzające ustawę o finansach publicznych </w:t>
      </w:r>
      <w:r>
        <w:rPr>
          <w:rFonts w:ascii="Verdana" w:hAnsi="Verdana"/>
          <w:sz w:val="16"/>
          <w:szCs w:val="16"/>
        </w:rPr>
        <w:t xml:space="preserve">oraz w art. 15zob ustawy </w:t>
      </w:r>
      <w:r w:rsidRPr="003527FB">
        <w:rPr>
          <w:rFonts w:ascii="Verdana" w:hAnsi="Verdana"/>
          <w:sz w:val="16"/>
          <w:szCs w:val="16"/>
        </w:rPr>
        <w:t xml:space="preserve">z dnia 2 marca 2020 r. </w:t>
      </w:r>
      <w:r w:rsidRPr="003527FB">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3527FB">
        <w:rPr>
          <w:rFonts w:ascii="Verdana" w:hAnsi="Verdana"/>
          <w:sz w:val="16"/>
          <w:szCs w:val="16"/>
        </w:rPr>
        <w:t>(Dz.U.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w:t>
      </w:r>
      <w:r>
        <w:rPr>
          <w:rFonts w:ascii="Verdana" w:hAnsi="Verdana"/>
          <w:sz w:val="16"/>
          <w:szCs w:val="16"/>
        </w:rPr>
        <w:t xml:space="preserve"> i w </w:t>
      </w:r>
      <w:r w:rsidRPr="003527FB">
        <w:rPr>
          <w:rFonts w:ascii="Verdana" w:hAnsi="Verdana" w:cs="Arial"/>
          <w:sz w:val="16"/>
          <w:szCs w:val="16"/>
        </w:rPr>
        <w:t xml:space="preserve">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(Dz.U. z 2020 r. poz. 2400 i z 2021 r. poz. 1104</w:t>
      </w:r>
      <w:r>
        <w:rPr>
          <w:rFonts w:ascii="Verdana" w:hAnsi="Verdana"/>
          <w:sz w:val="16"/>
          <w:szCs w:val="16"/>
        </w:rPr>
        <w:t xml:space="preserve"> i 1901</w:t>
      </w:r>
      <w:r w:rsidRPr="003527FB">
        <w:rPr>
          <w:rFonts w:ascii="Verdana" w:hAnsi="Verdana"/>
          <w:sz w:val="16"/>
          <w:szCs w:val="16"/>
        </w:rPr>
        <w:t>)</w:t>
      </w:r>
    </w:p>
    <w:p w:rsidR="007F07DD" w:rsidRPr="000A6485" w:rsidRDefault="007F07DD" w:rsidP="007F07DD">
      <w:pPr>
        <w:pStyle w:val="Akapitzlist"/>
        <w:numPr>
          <w:ilvl w:val="0"/>
          <w:numId w:val="15"/>
        </w:numPr>
        <w:spacing w:before="60" w:after="60"/>
        <w:ind w:left="567" w:hanging="283"/>
        <w:contextualSpacing w:val="0"/>
        <w:jc w:val="both"/>
        <w:rPr>
          <w:rFonts w:ascii="Verdana" w:hAnsi="Verdana"/>
          <w:sz w:val="16"/>
          <w:szCs w:val="16"/>
        </w:rPr>
      </w:pPr>
      <w:r w:rsidRPr="000A6485">
        <w:rPr>
          <w:rFonts w:ascii="Verdana" w:hAnsi="Verdana"/>
          <w:sz w:val="16"/>
          <w:szCs w:val="16"/>
        </w:rPr>
        <w:t>ustawowy dopuszczalny limit spłaty zobowiązań określony w art. 243 ust 1 ustawy o finansach publicznych (prawa strona wzoru – pkt 4.1.2), obliczony w oparciu o plan 3 kwartału roku poprzedzającego pierwszy rok prognozy oraz obliczony w oparciu o wykonanie roku poprzedzającego pierwszy rok prognozy</w:t>
      </w:r>
      <w:r>
        <w:rPr>
          <w:rFonts w:ascii="Verdana" w:hAnsi="Verdana"/>
          <w:sz w:val="16"/>
          <w:szCs w:val="16"/>
        </w:rPr>
        <w:t xml:space="preserve"> </w:t>
      </w:r>
      <w:r>
        <w:rPr>
          <w:rFonts w:ascii="Verdana" w:hAnsi="Verdana"/>
          <w:sz w:val="16"/>
          <w:szCs w:val="16"/>
        </w:rPr>
        <w:br/>
        <w:t xml:space="preserve">z uwzględnieniem wyłączeń, o których mowa w art. 15zob ustawy </w:t>
      </w:r>
      <w:r w:rsidRPr="003527FB">
        <w:rPr>
          <w:rFonts w:ascii="Verdana" w:hAnsi="Verdana"/>
          <w:sz w:val="16"/>
          <w:szCs w:val="16"/>
        </w:rPr>
        <w:t xml:space="preserve">z dnia 2 marca 2020 r. </w:t>
      </w:r>
      <w:r w:rsidRPr="003527FB">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3527FB">
        <w:rPr>
          <w:rFonts w:ascii="Verdana" w:hAnsi="Verdana"/>
          <w:sz w:val="16"/>
          <w:szCs w:val="16"/>
        </w:rPr>
        <w:t>(Dz.U.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w:t>
      </w:r>
      <w:r>
        <w:rPr>
          <w:rFonts w:ascii="Verdana" w:hAnsi="Verdana"/>
          <w:sz w:val="16"/>
          <w:szCs w:val="16"/>
        </w:rPr>
        <w:t xml:space="preserve"> i w </w:t>
      </w:r>
      <w:r w:rsidRPr="003527FB">
        <w:rPr>
          <w:rFonts w:ascii="Verdana" w:hAnsi="Verdana" w:cs="Arial"/>
          <w:sz w:val="16"/>
          <w:szCs w:val="16"/>
        </w:rPr>
        <w:t xml:space="preserve">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(Dz.U. z 2020 r. poz. 2400 i z 2021 r. poz. 1104</w:t>
      </w:r>
      <w:r>
        <w:rPr>
          <w:rFonts w:ascii="Verdana" w:hAnsi="Verdana"/>
          <w:sz w:val="16"/>
          <w:szCs w:val="16"/>
        </w:rPr>
        <w:t xml:space="preserve"> i 1901</w:t>
      </w:r>
      <w:r w:rsidRPr="003527FB">
        <w:rPr>
          <w:rFonts w:ascii="Verdana" w:hAnsi="Verdana"/>
          <w:sz w:val="16"/>
          <w:szCs w:val="16"/>
        </w:rPr>
        <w:t>)</w:t>
      </w:r>
    </w:p>
    <w:p w:rsidR="007F07DD" w:rsidRDefault="007F07DD" w:rsidP="007F07DD">
      <w:pPr>
        <w:pStyle w:val="Akapitzlist"/>
        <w:numPr>
          <w:ilvl w:val="0"/>
          <w:numId w:val="15"/>
        </w:numPr>
        <w:spacing w:before="60" w:after="60"/>
        <w:ind w:left="567" w:hanging="283"/>
        <w:contextualSpacing w:val="0"/>
        <w:jc w:val="both"/>
        <w:rPr>
          <w:rFonts w:ascii="Verdana" w:hAnsi="Verdana"/>
          <w:sz w:val="16"/>
          <w:szCs w:val="16"/>
        </w:rPr>
      </w:pPr>
      <w:r>
        <w:rPr>
          <w:rFonts w:ascii="Verdana" w:hAnsi="Verdana"/>
          <w:sz w:val="16"/>
          <w:szCs w:val="16"/>
        </w:rPr>
        <w:t>informacja</w:t>
      </w:r>
      <w:r w:rsidRPr="000A6485">
        <w:rPr>
          <w:rFonts w:ascii="Verdana" w:hAnsi="Verdana"/>
          <w:sz w:val="16"/>
          <w:szCs w:val="16"/>
        </w:rPr>
        <w:t xml:space="preserve"> o spełnieniu wskaźnika spłaty zobowiązań określonego w art. 243 ust. 1 ustawy o finansach publicznych (lewa strona wzoru nie wyższa niż prawa strona wzoru – pkt 4.1.2), po uwzględnieniu zobowiązań związku współtworzonego przez jednostkę samorządu terytorialnego oraz po uwzględnieniu wyłączeń, o których mowa w art. 243 ust. 3, 3a i 3b ustawy o finansach publicznych i w art. 121a ustawy z 27 sierpnia 2009 r. - Przepisy wprowadzające ustawę o finansach publicznych </w:t>
      </w:r>
      <w:r>
        <w:rPr>
          <w:rFonts w:ascii="Verdana" w:hAnsi="Verdana"/>
          <w:sz w:val="16"/>
          <w:szCs w:val="16"/>
        </w:rPr>
        <w:t xml:space="preserve">i po uwzględnieniu </w:t>
      </w:r>
      <w:r>
        <w:rPr>
          <w:rFonts w:ascii="Verdana" w:hAnsi="Verdana"/>
          <w:sz w:val="16"/>
          <w:szCs w:val="16"/>
        </w:rPr>
        <w:lastRenderedPageBreak/>
        <w:t xml:space="preserve">wyłączeń wskazanych w art. 15zob w art. 15zob ustawy </w:t>
      </w:r>
      <w:r w:rsidRPr="003527FB">
        <w:rPr>
          <w:rFonts w:ascii="Verdana" w:hAnsi="Verdana"/>
          <w:sz w:val="16"/>
          <w:szCs w:val="16"/>
        </w:rPr>
        <w:t xml:space="preserve">z dnia 2 marca 2020 r. </w:t>
      </w:r>
      <w:r w:rsidRPr="003527FB">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3527FB">
        <w:rPr>
          <w:rFonts w:ascii="Verdana" w:hAnsi="Verdana"/>
          <w:sz w:val="16"/>
          <w:szCs w:val="16"/>
        </w:rPr>
        <w:t>(Dz.U.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w:t>
      </w:r>
      <w:r>
        <w:rPr>
          <w:rFonts w:ascii="Verdana" w:hAnsi="Verdana"/>
          <w:sz w:val="16"/>
          <w:szCs w:val="16"/>
        </w:rPr>
        <w:t xml:space="preserve"> i w </w:t>
      </w:r>
      <w:r w:rsidRPr="003527FB">
        <w:rPr>
          <w:rFonts w:ascii="Verdana" w:hAnsi="Verdana" w:cs="Arial"/>
          <w:sz w:val="16"/>
          <w:szCs w:val="16"/>
        </w:rPr>
        <w:t xml:space="preserve">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(Dz.U. z 2020 r. poz. 2400 i z 2021 r. poz. 1104</w:t>
      </w:r>
      <w:r>
        <w:rPr>
          <w:rFonts w:ascii="Verdana" w:hAnsi="Verdana"/>
          <w:sz w:val="16"/>
          <w:szCs w:val="16"/>
        </w:rPr>
        <w:t xml:space="preserve"> i 1901</w:t>
      </w:r>
      <w:r w:rsidRPr="003527FB">
        <w:rPr>
          <w:rFonts w:ascii="Verdana" w:hAnsi="Verdana"/>
          <w:sz w:val="16"/>
          <w:szCs w:val="16"/>
        </w:rPr>
        <w:t>)</w:t>
      </w:r>
      <w:r w:rsidRPr="000A6485">
        <w:rPr>
          <w:rFonts w:ascii="Verdana" w:hAnsi="Verdana"/>
          <w:sz w:val="16"/>
          <w:szCs w:val="16"/>
        </w:rPr>
        <w:t xml:space="preserve">, obliczonego w oparciu o plan 3 kwartału roku poprzedzającego pierwszy rok prognozy oraz obliczonego </w:t>
      </w:r>
      <w:r>
        <w:rPr>
          <w:rFonts w:ascii="Verdana" w:hAnsi="Verdana"/>
          <w:sz w:val="16"/>
          <w:szCs w:val="16"/>
        </w:rPr>
        <w:br/>
      </w:r>
      <w:r w:rsidRPr="000A6485">
        <w:rPr>
          <w:rFonts w:ascii="Verdana" w:hAnsi="Verdana"/>
          <w:sz w:val="16"/>
          <w:szCs w:val="16"/>
        </w:rPr>
        <w:t>w oparciu o wykonanie roku poprzedzającego pierwszy rok prognozy</w:t>
      </w:r>
      <w:r>
        <w:rPr>
          <w:rFonts w:ascii="Verdana" w:hAnsi="Verdana"/>
          <w:sz w:val="16"/>
          <w:szCs w:val="16"/>
        </w:rPr>
        <w:t>.</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W całym okresie objętym </w:t>
      </w:r>
      <w:r>
        <w:rPr>
          <w:rFonts w:ascii="Verdana" w:hAnsi="Verdana"/>
          <w:bCs/>
          <w:sz w:val="16"/>
          <w:szCs w:val="16"/>
        </w:rPr>
        <w:t xml:space="preserve">WPF </w:t>
      </w:r>
      <w:r w:rsidRPr="0090283F">
        <w:rPr>
          <w:rFonts w:ascii="Verdana" w:eastAsiaTheme="minorEastAsia" w:hAnsi="Verdana" w:cs="Verdana"/>
          <w:color w:val="000000"/>
          <w:sz w:val="16"/>
          <w:szCs w:val="16"/>
        </w:rPr>
        <w:t>2022</w:t>
      </w:r>
      <w:r>
        <w:rPr>
          <w:rFonts w:ascii="Verdana" w:hAnsi="Verdana"/>
          <w:bCs/>
          <w:sz w:val="16"/>
          <w:szCs w:val="16"/>
        </w:rPr>
        <w:t>-2050</w:t>
      </w:r>
      <w:r w:rsidRPr="000A6485">
        <w:rPr>
          <w:rFonts w:ascii="Verdana" w:hAnsi="Verdana"/>
          <w:bCs/>
          <w:sz w:val="16"/>
          <w:szCs w:val="16"/>
        </w:rPr>
        <w:t xml:space="preserve"> planuje się spełnienie przedmiotowej reguły ustawowej określonej </w:t>
      </w:r>
      <w:r>
        <w:rPr>
          <w:rFonts w:ascii="Verdana" w:hAnsi="Verdana"/>
          <w:bCs/>
          <w:sz w:val="16"/>
          <w:szCs w:val="16"/>
        </w:rPr>
        <w:br/>
      </w:r>
      <w:r w:rsidRPr="000A6485">
        <w:rPr>
          <w:rFonts w:ascii="Verdana" w:hAnsi="Verdana"/>
          <w:bCs/>
          <w:sz w:val="16"/>
          <w:szCs w:val="16"/>
        </w:rPr>
        <w:t xml:space="preserve">w art. 243 ust. 1 </w:t>
      </w:r>
      <w:r w:rsidRPr="000A6485">
        <w:rPr>
          <w:rFonts w:ascii="Verdana" w:hAnsi="Verdana"/>
          <w:sz w:val="16"/>
          <w:szCs w:val="16"/>
        </w:rPr>
        <w:t>ustawy o finansach publicznych</w:t>
      </w:r>
      <w:r w:rsidRPr="000A6485">
        <w:rPr>
          <w:rFonts w:ascii="Verdana" w:hAnsi="Verdana"/>
          <w:bCs/>
          <w:sz w:val="16"/>
          <w:szCs w:val="16"/>
        </w:rPr>
        <w:t>.</w:t>
      </w:r>
    </w:p>
    <w:p w:rsidR="007F07DD" w:rsidRPr="000A6485" w:rsidRDefault="007F07DD" w:rsidP="007F07DD">
      <w:pPr>
        <w:spacing w:before="60" w:after="60"/>
        <w:jc w:val="both"/>
        <w:rPr>
          <w:rFonts w:ascii="Verdana" w:hAnsi="Verdana"/>
          <w:bCs/>
          <w:sz w:val="16"/>
          <w:szCs w:val="16"/>
        </w:rPr>
      </w:pPr>
      <w:r w:rsidRPr="000A6485">
        <w:rPr>
          <w:rFonts w:ascii="Verdana" w:hAnsi="Verdana"/>
          <w:bCs/>
          <w:sz w:val="16"/>
          <w:szCs w:val="16"/>
        </w:rPr>
        <w:t xml:space="preserve">Tabela </w:t>
      </w:r>
      <w:r>
        <w:rPr>
          <w:rFonts w:ascii="Verdana" w:hAnsi="Verdana"/>
          <w:bCs/>
          <w:sz w:val="16"/>
          <w:szCs w:val="16"/>
        </w:rPr>
        <w:t>nr 7</w:t>
      </w:r>
      <w:r w:rsidRPr="000A6485">
        <w:rPr>
          <w:rFonts w:ascii="Verdana" w:hAnsi="Verdana"/>
          <w:bCs/>
          <w:sz w:val="16"/>
          <w:szCs w:val="16"/>
        </w:rPr>
        <w:t xml:space="preserve"> prezentuje kształtowanie się limitu (obliczonego w oparciu o </w:t>
      </w:r>
      <w:r w:rsidRPr="000A6485">
        <w:rPr>
          <w:rFonts w:ascii="Verdana" w:hAnsi="Verdana"/>
          <w:sz w:val="16"/>
          <w:szCs w:val="16"/>
        </w:rPr>
        <w:t>plan 3 kwartałów roku poprzedzającego rok budżetowy)</w:t>
      </w:r>
      <w:r w:rsidRPr="000A6485">
        <w:rPr>
          <w:rFonts w:ascii="Verdana" w:hAnsi="Verdana"/>
          <w:bCs/>
          <w:sz w:val="16"/>
          <w:szCs w:val="16"/>
        </w:rPr>
        <w:t xml:space="preserve"> i wskaźnika spłaty zobowiązań, określonego w art. 243 ust. 1 ustawy o finansach publicznych, </w:t>
      </w:r>
      <w:r w:rsidRPr="000A6485">
        <w:rPr>
          <w:rFonts w:ascii="Verdana" w:hAnsi="Verdana"/>
          <w:bCs/>
          <w:sz w:val="16"/>
          <w:szCs w:val="16"/>
        </w:rPr>
        <w:br/>
        <w:t>w</w:t>
      </w:r>
      <w:r>
        <w:rPr>
          <w:rFonts w:ascii="Verdana" w:hAnsi="Verdana"/>
          <w:bCs/>
          <w:sz w:val="16"/>
          <w:szCs w:val="16"/>
        </w:rPr>
        <w:t xml:space="preserve"> perspektywie objętej WPF </w:t>
      </w:r>
      <w:r w:rsidRPr="0090283F">
        <w:rPr>
          <w:rFonts w:ascii="Verdana" w:eastAsiaTheme="minorEastAsia" w:hAnsi="Verdana" w:cs="Verdana"/>
          <w:color w:val="000000"/>
          <w:sz w:val="16"/>
          <w:szCs w:val="16"/>
        </w:rPr>
        <w:t>2022</w:t>
      </w:r>
      <w:r w:rsidRPr="000A6485">
        <w:rPr>
          <w:rFonts w:ascii="Verdana" w:hAnsi="Verdana"/>
          <w:bCs/>
          <w:sz w:val="16"/>
          <w:szCs w:val="16"/>
        </w:rPr>
        <w:t>-2050.</w:t>
      </w:r>
    </w:p>
    <w:p w:rsidR="007F07DD" w:rsidRPr="000A6485" w:rsidRDefault="007F07DD" w:rsidP="007F07DD">
      <w:pPr>
        <w:pStyle w:val="Legenda"/>
        <w:keepNext/>
        <w:spacing w:before="120" w:after="120"/>
        <w:rPr>
          <w:rFonts w:ascii="Verdana" w:hAnsi="Verdana" w:cs="Arial"/>
          <w:iCs/>
        </w:rPr>
      </w:pPr>
      <w:r w:rsidRPr="000A6485">
        <w:rPr>
          <w:rFonts w:ascii="Verdana" w:hAnsi="Verdana" w:cs="Arial"/>
          <w:sz w:val="14"/>
          <w:szCs w:val="14"/>
        </w:rPr>
        <w:t xml:space="preserve">TAB. </w:t>
      </w:r>
      <w:r w:rsidRPr="000A6485">
        <w:rPr>
          <w:rFonts w:ascii="Verdana" w:hAnsi="Verdana" w:cs="Arial"/>
          <w:sz w:val="14"/>
          <w:szCs w:val="14"/>
        </w:rPr>
        <w:fldChar w:fldCharType="begin"/>
      </w:r>
      <w:r w:rsidRPr="000A6485">
        <w:rPr>
          <w:rFonts w:ascii="Verdana" w:hAnsi="Verdana" w:cs="Arial"/>
          <w:sz w:val="14"/>
          <w:szCs w:val="14"/>
        </w:rPr>
        <w:instrText xml:space="preserve"> SEQ Tab. \* ARABIC </w:instrText>
      </w:r>
      <w:r w:rsidRPr="000A6485">
        <w:rPr>
          <w:rFonts w:ascii="Verdana" w:hAnsi="Verdana" w:cs="Arial"/>
          <w:sz w:val="14"/>
          <w:szCs w:val="14"/>
        </w:rPr>
        <w:fldChar w:fldCharType="separate"/>
      </w:r>
      <w:r>
        <w:rPr>
          <w:rFonts w:ascii="Verdana" w:hAnsi="Verdana" w:cs="Arial"/>
          <w:noProof/>
          <w:sz w:val="14"/>
          <w:szCs w:val="14"/>
        </w:rPr>
        <w:t>7</w:t>
      </w:r>
      <w:r w:rsidRPr="000A6485">
        <w:rPr>
          <w:rFonts w:ascii="Verdana" w:hAnsi="Verdana" w:cs="Arial"/>
          <w:sz w:val="14"/>
          <w:szCs w:val="14"/>
        </w:rPr>
        <w:fldChar w:fldCharType="end"/>
      </w:r>
      <w:r w:rsidRPr="000A6485">
        <w:rPr>
          <w:rFonts w:ascii="Verdana" w:hAnsi="Verdana" w:cs="Arial"/>
          <w:sz w:val="14"/>
          <w:szCs w:val="14"/>
        </w:rPr>
        <w:t xml:space="preserve">. </w:t>
      </w:r>
      <w:r w:rsidRPr="000A6485">
        <w:rPr>
          <w:rFonts w:ascii="Verdana" w:hAnsi="Verdana" w:cs="Arial"/>
          <w:bCs w:val="0"/>
          <w:sz w:val="14"/>
          <w:szCs w:val="14"/>
        </w:rPr>
        <w:t xml:space="preserve">PROGNOZA DOPUSZCZALNEGO USTAWOWO I RZECZYWISTEGO POZIOMU WYDATKÓW I ROZCHODÓW </w:t>
      </w:r>
      <w:r w:rsidRPr="000A6485">
        <w:rPr>
          <w:rFonts w:ascii="Verdana" w:hAnsi="Verdana" w:cs="Arial"/>
          <w:bCs w:val="0"/>
          <w:sz w:val="14"/>
          <w:szCs w:val="14"/>
        </w:rPr>
        <w:br/>
        <w:t xml:space="preserve">             ZWIĄZANYCH Z OBSŁUGĄ ZADŁUŻENIA I PORĘCZENIAMI I GWARANCJAMI W RELACJI DO DOCHODÓW  </w:t>
      </w:r>
      <w:r w:rsidRPr="000A6485">
        <w:rPr>
          <w:rFonts w:ascii="Verdana" w:hAnsi="Verdana" w:cs="Arial"/>
          <w:bCs w:val="0"/>
          <w:sz w:val="14"/>
          <w:szCs w:val="14"/>
        </w:rPr>
        <w:br/>
        <w:t xml:space="preserve">          </w:t>
      </w:r>
      <w:r>
        <w:rPr>
          <w:rFonts w:ascii="Verdana" w:hAnsi="Verdana" w:cs="Arial"/>
          <w:bCs w:val="0"/>
          <w:sz w:val="14"/>
          <w:szCs w:val="14"/>
        </w:rPr>
        <w:t xml:space="preserve">   W M.ST. WARSZAWA NA LATA </w:t>
      </w:r>
      <w:r w:rsidRPr="0090283F">
        <w:rPr>
          <w:rFonts w:ascii="Verdana" w:hAnsi="Verdana" w:cs="Arial"/>
          <w:bCs w:val="0"/>
          <w:sz w:val="14"/>
          <w:szCs w:val="14"/>
        </w:rPr>
        <w:t>2022</w:t>
      </w:r>
      <w:r w:rsidRPr="000A6485">
        <w:rPr>
          <w:rFonts w:ascii="Verdana" w:hAnsi="Verdana" w:cs="Arial"/>
          <w:bCs w:val="0"/>
          <w:sz w:val="14"/>
          <w:szCs w:val="14"/>
        </w:rPr>
        <w:t>-2050</w:t>
      </w:r>
      <w:r w:rsidRPr="000A6485">
        <w:rPr>
          <w:rFonts w:ascii="Verdana" w:hAnsi="Verdana" w:cs="Arial"/>
          <w:sz w:val="14"/>
          <w:szCs w:val="14"/>
        </w:rPr>
        <w:t xml:space="preserve"> </w:t>
      </w:r>
      <w:r w:rsidRPr="000A6485">
        <w:rPr>
          <w:rFonts w:ascii="Verdana" w:hAnsi="Verdana" w:cs="Arial"/>
          <w:b w:val="0"/>
          <w:sz w:val="14"/>
          <w:szCs w:val="14"/>
        </w:rPr>
        <w:t>[</w:t>
      </w:r>
      <w:r>
        <w:rPr>
          <w:rFonts w:ascii="Verdana" w:hAnsi="Verdana" w:cs="Arial"/>
          <w:b w:val="0"/>
          <w:sz w:val="14"/>
          <w:szCs w:val="14"/>
        </w:rPr>
        <w:t xml:space="preserve">w </w:t>
      </w:r>
      <w:r w:rsidRPr="000A6485">
        <w:rPr>
          <w:rFonts w:ascii="Verdana" w:hAnsi="Verdana" w:cs="Arial"/>
          <w:b w:val="0"/>
          <w:sz w:val="14"/>
          <w:szCs w:val="14"/>
        </w:rPr>
        <w:t>%]</w:t>
      </w:r>
      <w:r w:rsidRPr="000A6485">
        <w:rPr>
          <w:rFonts w:ascii="Verdana" w:hAnsi="Verdana" w:cs="Arial"/>
          <w:b w:val="0"/>
          <w:sz w:val="16"/>
          <w:szCs w:val="16"/>
        </w:rPr>
        <w:br/>
      </w:r>
      <w:r w:rsidRPr="000A6485">
        <w:rPr>
          <w:rFonts w:ascii="Verdana" w:hAnsi="Verdana"/>
          <w:b w:val="0"/>
          <w:bCs w:val="0"/>
          <w:sz w:val="12"/>
          <w:szCs w:val="12"/>
        </w:rPr>
        <w:t xml:space="preserve">  </w:t>
      </w:r>
      <w:r w:rsidR="00F33C94">
        <w:rPr>
          <w:rFonts w:ascii="Verdana" w:hAnsi="Verdana" w:cs="Arial"/>
          <w:iCs/>
          <w:noProof/>
        </w:rPr>
        <w:pict>
          <v:shape id="_x0000_i1060" type="#_x0000_t75" style="width:6in;height:247.8pt">
            <v:imagedata r:id="rId54" o:title=""/>
          </v:shape>
        </w:pict>
      </w:r>
    </w:p>
    <w:p w:rsidR="007F07DD" w:rsidRPr="000A6485" w:rsidRDefault="007F07DD" w:rsidP="007F07DD">
      <w:pPr>
        <w:spacing w:before="240" w:after="240"/>
        <w:jc w:val="both"/>
        <w:rPr>
          <w:rFonts w:ascii="Verdana" w:hAnsi="Verdana"/>
          <w:sz w:val="16"/>
          <w:szCs w:val="16"/>
        </w:rPr>
      </w:pPr>
      <w:r w:rsidRPr="000A6485">
        <w:rPr>
          <w:rFonts w:ascii="Verdana" w:hAnsi="Verdana"/>
          <w:b/>
          <w:bCs/>
          <w:sz w:val="16"/>
          <w:szCs w:val="16"/>
        </w:rPr>
        <w:t>SEKCJA 9</w:t>
      </w:r>
      <w:r w:rsidRPr="000A6485">
        <w:rPr>
          <w:rFonts w:ascii="Verdana" w:hAnsi="Verdana"/>
          <w:sz w:val="16"/>
          <w:szCs w:val="16"/>
        </w:rPr>
        <w:t xml:space="preserve"> – </w:t>
      </w:r>
      <w:r w:rsidRPr="000A6485">
        <w:rPr>
          <w:rFonts w:ascii="Verdana" w:hAnsi="Verdana"/>
          <w:b/>
          <w:sz w:val="16"/>
          <w:szCs w:val="16"/>
        </w:rPr>
        <w:t xml:space="preserve">finansowanie programów, projektów lub zadań realizowanych z udziałem środków, </w:t>
      </w:r>
      <w:r w:rsidRPr="000A6485">
        <w:rPr>
          <w:rFonts w:ascii="Verdana" w:hAnsi="Verdana"/>
          <w:b/>
          <w:sz w:val="16"/>
          <w:szCs w:val="16"/>
        </w:rPr>
        <w:br/>
        <w:t>o których mowa w art. 5 ust. 1 pkt 2 i 3 ustawy o finansach publicznych (środki unijne)</w:t>
      </w:r>
      <w:r w:rsidRPr="000A6485">
        <w:rPr>
          <w:rFonts w:ascii="Verdana" w:hAnsi="Verdana" w:cs="Arial"/>
          <w:iCs/>
          <w:sz w:val="16"/>
          <w:szCs w:val="16"/>
        </w:rPr>
        <w:t xml:space="preserve">, </w:t>
      </w:r>
      <w:r w:rsidRPr="000A6485">
        <w:rPr>
          <w:rFonts w:ascii="Verdana" w:hAnsi="Verdana" w:cs="Arial"/>
          <w:iCs/>
          <w:sz w:val="16"/>
          <w:szCs w:val="16"/>
        </w:rPr>
        <w:br/>
        <w:t xml:space="preserve">z wyszczególnieniem dochodów (bieżących i majątkowych) oraz wydatków (bieżących i majątkowych) </w:t>
      </w:r>
    </w:p>
    <w:p w:rsidR="007F07DD" w:rsidRPr="000A6485" w:rsidRDefault="007F07DD" w:rsidP="007F07DD">
      <w:pPr>
        <w:spacing w:before="240" w:after="120"/>
        <w:jc w:val="both"/>
        <w:rPr>
          <w:rFonts w:ascii="Verdana" w:hAnsi="Verdana"/>
          <w:sz w:val="16"/>
          <w:szCs w:val="16"/>
        </w:rPr>
      </w:pPr>
      <w:r w:rsidRPr="000A6485">
        <w:rPr>
          <w:rFonts w:ascii="Verdana" w:hAnsi="Verdana"/>
          <w:b/>
          <w:bCs/>
          <w:sz w:val="16"/>
          <w:szCs w:val="16"/>
        </w:rPr>
        <w:t>SEKCJA 10</w:t>
      </w:r>
      <w:r w:rsidRPr="000A6485">
        <w:rPr>
          <w:rFonts w:ascii="Verdana" w:hAnsi="Verdana"/>
          <w:sz w:val="16"/>
          <w:szCs w:val="16"/>
        </w:rPr>
        <w:t xml:space="preserve"> – informacje uzupełniające o wybranych kategoriach finansowych</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sidRPr="000A6485">
        <w:rPr>
          <w:rFonts w:ascii="Verdana" w:hAnsi="Verdana"/>
          <w:bCs/>
          <w:sz w:val="16"/>
          <w:szCs w:val="16"/>
        </w:rPr>
        <w:t>wydatki objęte limitem, o którym mowa w art. 226 ust. 3 pkt 4 ustawy o finansach publicznych (przedsięwzięcia wieloletnie)</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sidRPr="000A6485">
        <w:rPr>
          <w:rFonts w:ascii="Verdana" w:hAnsi="Verdana"/>
          <w:bCs/>
          <w:sz w:val="16"/>
          <w:szCs w:val="16"/>
        </w:rPr>
        <w:t>wydatki bieżące na pokrycie ujemnego wyniku finansowego samodzielnego publicznego zakładu opieki zdrowotnej</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sidRPr="000A6485">
        <w:rPr>
          <w:rFonts w:ascii="Verdana" w:hAnsi="Verdana"/>
          <w:bCs/>
          <w:sz w:val="16"/>
          <w:szCs w:val="16"/>
        </w:rPr>
        <w:t>wydatki na spłatę zobowiązań przejmowanych w związku z likwidacją lub przekształceniem samodzielnego publicznego zakładu opieki zdrowotnej</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t>kwota</w:t>
      </w:r>
      <w:r w:rsidRPr="000A6485">
        <w:rPr>
          <w:rFonts w:ascii="Verdana" w:hAnsi="Verdana"/>
          <w:bCs/>
          <w:sz w:val="16"/>
          <w:szCs w:val="16"/>
        </w:rPr>
        <w:t xml:space="preserve"> zobowiązań związku współtworzonego przez jednostkę samorządu terytorialnego przypadających do spłaty w danym roku budżetowym, podlegająca doliczeniu zgodnie z art. 244 ustawy o finansach publicznych (kwota ujmowana we wskaźniku spłaty zobowiązań określonym w art. 243 ust. 1 ustawy </w:t>
      </w:r>
      <w:r w:rsidRPr="000A6485">
        <w:rPr>
          <w:rFonts w:ascii="Verdana" w:hAnsi="Verdana"/>
          <w:bCs/>
          <w:sz w:val="16"/>
          <w:szCs w:val="16"/>
        </w:rPr>
        <w:br/>
        <w:t>o finansach publicznych)</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lastRenderedPageBreak/>
        <w:t>kwota</w:t>
      </w:r>
      <w:r w:rsidRPr="000A6485">
        <w:rPr>
          <w:rFonts w:ascii="Verdana" w:hAnsi="Verdana"/>
          <w:bCs/>
          <w:sz w:val="16"/>
          <w:szCs w:val="16"/>
        </w:rPr>
        <w:t xml:space="preserve"> zobowiązań wynikających z przejęcia przez jednostkę samorządu terytorialnego zobowiązań </w:t>
      </w:r>
      <w:r w:rsidRPr="000A6485">
        <w:rPr>
          <w:rFonts w:ascii="Verdana" w:hAnsi="Verdana"/>
          <w:bCs/>
          <w:sz w:val="16"/>
          <w:szCs w:val="16"/>
        </w:rPr>
        <w:br/>
        <w:t>po likwidowanych i przekształcanych samorządowych osobach prawnych</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sidRPr="000A6485">
        <w:rPr>
          <w:rFonts w:ascii="Verdana" w:hAnsi="Verdana"/>
          <w:bCs/>
          <w:sz w:val="16"/>
          <w:szCs w:val="16"/>
        </w:rPr>
        <w:t>spłaty zobowiązań dłużnych, o których mowa w pozycji 5.1 wzoru WPF, wynikających wyłącznie z tytułu zobowiązań już zaciągniętych</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sidRPr="000A6485">
        <w:rPr>
          <w:rFonts w:ascii="Verdana" w:hAnsi="Verdana"/>
          <w:bCs/>
          <w:sz w:val="16"/>
          <w:szCs w:val="16"/>
        </w:rPr>
        <w:t>wydatki zmniejszające dług, w tym spłata zobowiązań wymagalnych i zobowiązań zaliczanych do tytułu dłużnego – kredyt i pożyczka</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t>kwota</w:t>
      </w:r>
      <w:r w:rsidRPr="000A6485">
        <w:rPr>
          <w:rFonts w:ascii="Verdana" w:hAnsi="Verdana"/>
          <w:bCs/>
          <w:sz w:val="16"/>
          <w:szCs w:val="16"/>
        </w:rPr>
        <w:t xml:space="preserve"> wzrostu (+) / spadku(-) kwoty długu wynikającą z operacji </w:t>
      </w:r>
      <w:proofErr w:type="spellStart"/>
      <w:r w:rsidRPr="000A6485">
        <w:rPr>
          <w:rFonts w:ascii="Verdana" w:hAnsi="Verdana"/>
          <w:bCs/>
          <w:sz w:val="16"/>
          <w:szCs w:val="16"/>
        </w:rPr>
        <w:t>niekasowych</w:t>
      </w:r>
      <w:proofErr w:type="spellEnd"/>
      <w:r w:rsidRPr="000A6485">
        <w:rPr>
          <w:rFonts w:ascii="Verdana" w:hAnsi="Verdana"/>
          <w:bCs/>
          <w:sz w:val="16"/>
          <w:szCs w:val="16"/>
        </w:rPr>
        <w:t xml:space="preserve"> (m.in. umorzenia, różnice kursowe)</w:t>
      </w:r>
    </w:p>
    <w:p w:rsidR="007F07DD"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t>wcześniejsza spłata</w:t>
      </w:r>
      <w:r w:rsidRPr="000A6485">
        <w:rPr>
          <w:rFonts w:ascii="Verdana" w:hAnsi="Verdana"/>
          <w:bCs/>
          <w:sz w:val="16"/>
          <w:szCs w:val="16"/>
        </w:rPr>
        <w:t xml:space="preserve"> zobowiązań, wyłączon</w:t>
      </w:r>
      <w:r>
        <w:rPr>
          <w:rFonts w:ascii="Verdana" w:hAnsi="Verdana"/>
          <w:bCs/>
          <w:sz w:val="16"/>
          <w:szCs w:val="16"/>
        </w:rPr>
        <w:t>a</w:t>
      </w:r>
      <w:r w:rsidRPr="000A6485">
        <w:rPr>
          <w:rFonts w:ascii="Verdana" w:hAnsi="Verdana"/>
          <w:bCs/>
          <w:sz w:val="16"/>
          <w:szCs w:val="16"/>
        </w:rPr>
        <w:t xml:space="preserve"> z limi</w:t>
      </w:r>
      <w:r>
        <w:rPr>
          <w:rFonts w:ascii="Verdana" w:hAnsi="Verdana"/>
          <w:bCs/>
          <w:sz w:val="16"/>
          <w:szCs w:val="16"/>
        </w:rPr>
        <w:t>tu spłaty zobowiązań, dokonywana</w:t>
      </w:r>
      <w:r w:rsidRPr="000A6485">
        <w:rPr>
          <w:rFonts w:ascii="Verdana" w:hAnsi="Verdana"/>
          <w:bCs/>
          <w:sz w:val="16"/>
          <w:szCs w:val="16"/>
        </w:rPr>
        <w:t xml:space="preserve"> w formie wydatków budżetowych</w:t>
      </w:r>
    </w:p>
    <w:p w:rsidR="007F07DD"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t>w</w:t>
      </w:r>
      <w:r w:rsidRPr="009A439B">
        <w:rPr>
          <w:rFonts w:ascii="Verdana" w:hAnsi="Verdana"/>
          <w:bCs/>
          <w:sz w:val="16"/>
          <w:szCs w:val="16"/>
        </w:rPr>
        <w:t>ykup papierów wartościowych, spłaty rat kredytów i pożyczek wraz z należnymi odsetkami i dyskontem, odpowiednio emitowanych lub zaciąganych do równowartości kwoty ubytku w wykonanych dochodach jednostki samorządu terytorialnego będącego skutkiem wystąpienia COVID-19</w:t>
      </w:r>
    </w:p>
    <w:p w:rsidR="007F07DD" w:rsidRPr="000A6485" w:rsidRDefault="007F07DD" w:rsidP="007F07DD">
      <w:pPr>
        <w:pStyle w:val="Akapitzlist"/>
        <w:numPr>
          <w:ilvl w:val="0"/>
          <w:numId w:val="35"/>
        </w:numPr>
        <w:spacing w:before="120" w:after="120"/>
        <w:ind w:left="567" w:hanging="283"/>
        <w:jc w:val="both"/>
        <w:rPr>
          <w:rFonts w:ascii="Verdana" w:hAnsi="Verdana"/>
          <w:bCs/>
          <w:sz w:val="16"/>
          <w:szCs w:val="16"/>
        </w:rPr>
      </w:pPr>
      <w:r>
        <w:rPr>
          <w:rFonts w:ascii="Verdana" w:hAnsi="Verdana"/>
          <w:bCs/>
          <w:sz w:val="16"/>
          <w:szCs w:val="16"/>
        </w:rPr>
        <w:t>w</w:t>
      </w:r>
      <w:r w:rsidRPr="00DF2B72">
        <w:rPr>
          <w:rFonts w:ascii="Verdana" w:hAnsi="Verdana"/>
          <w:bCs/>
          <w:sz w:val="16"/>
          <w:szCs w:val="16"/>
        </w:rPr>
        <w:t>ydatki bieżące podlegające ustawowemu wyłączeniu z limitu spłaty zobowiązań</w:t>
      </w:r>
    </w:p>
    <w:p w:rsidR="007F07DD" w:rsidRPr="000A6485" w:rsidRDefault="007F07DD" w:rsidP="007F07DD">
      <w:pPr>
        <w:spacing w:before="240" w:after="240"/>
        <w:jc w:val="both"/>
        <w:rPr>
          <w:rFonts w:ascii="Verdana" w:hAnsi="Verdana"/>
          <w:b/>
          <w:sz w:val="16"/>
          <w:szCs w:val="16"/>
        </w:rPr>
      </w:pPr>
      <w:r w:rsidRPr="000A6485">
        <w:rPr>
          <w:rFonts w:ascii="Verdana" w:hAnsi="Verdana"/>
          <w:b/>
          <w:bCs/>
          <w:sz w:val="16"/>
          <w:szCs w:val="16"/>
        </w:rPr>
        <w:t>SEKCJA 11</w:t>
      </w:r>
      <w:r w:rsidRPr="000A6485">
        <w:rPr>
          <w:rFonts w:ascii="Verdana" w:hAnsi="Verdana"/>
          <w:sz w:val="16"/>
          <w:szCs w:val="16"/>
        </w:rPr>
        <w:t xml:space="preserve"> – </w:t>
      </w:r>
      <w:r w:rsidRPr="000A6485">
        <w:rPr>
          <w:rFonts w:ascii="Verdana" w:hAnsi="Verdana"/>
          <w:b/>
          <w:sz w:val="16"/>
          <w:szCs w:val="16"/>
        </w:rPr>
        <w:t>dane dotyczące emitowanych obligacji przychodowych</w:t>
      </w:r>
    </w:p>
    <w:p w:rsidR="007F07DD" w:rsidRPr="000A6485" w:rsidRDefault="007F07DD" w:rsidP="007F07DD">
      <w:pPr>
        <w:spacing w:before="120" w:after="120"/>
        <w:jc w:val="both"/>
        <w:rPr>
          <w:rFonts w:ascii="Verdana" w:hAnsi="Verdana"/>
          <w:bCs/>
          <w:sz w:val="16"/>
          <w:szCs w:val="16"/>
        </w:rPr>
      </w:pPr>
      <w:r w:rsidRPr="000A6485">
        <w:rPr>
          <w:rFonts w:ascii="Verdana" w:hAnsi="Verdana"/>
          <w:bCs/>
          <w:sz w:val="16"/>
          <w:szCs w:val="16"/>
        </w:rPr>
        <w:t xml:space="preserve">W </w:t>
      </w:r>
      <w:r>
        <w:rPr>
          <w:rFonts w:ascii="Verdana" w:hAnsi="Verdana"/>
          <w:bCs/>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bCs/>
          <w:sz w:val="16"/>
          <w:szCs w:val="16"/>
        </w:rPr>
        <w:t>-2050 nie zaplanowano emisji obligacji przychodów, nie występują również zobowiązania z tego tytułu z lat poprzednich.</w:t>
      </w:r>
    </w:p>
    <w:p w:rsidR="007F07DD" w:rsidRPr="000A6485" w:rsidRDefault="007F07DD" w:rsidP="007F07DD">
      <w:pPr>
        <w:spacing w:before="240" w:after="240"/>
        <w:jc w:val="both"/>
        <w:rPr>
          <w:rFonts w:ascii="Verdana" w:hAnsi="Verdana"/>
          <w:b/>
          <w:sz w:val="16"/>
          <w:szCs w:val="16"/>
        </w:rPr>
      </w:pPr>
      <w:r w:rsidRPr="000A6485">
        <w:rPr>
          <w:rFonts w:ascii="Verdana" w:hAnsi="Verdana"/>
          <w:b/>
          <w:bCs/>
          <w:sz w:val="16"/>
          <w:szCs w:val="16"/>
        </w:rPr>
        <w:t>SEKCJA 12</w:t>
      </w:r>
      <w:r w:rsidRPr="000A6485">
        <w:rPr>
          <w:rFonts w:ascii="Verdana" w:hAnsi="Verdana"/>
          <w:sz w:val="16"/>
          <w:szCs w:val="16"/>
        </w:rPr>
        <w:t xml:space="preserve"> – </w:t>
      </w:r>
      <w:r w:rsidRPr="000A6485">
        <w:rPr>
          <w:rFonts w:ascii="Verdana" w:hAnsi="Verdana"/>
          <w:b/>
          <w:sz w:val="16"/>
          <w:szCs w:val="16"/>
        </w:rPr>
        <w:t xml:space="preserve">stopnie niezachowania relacji określonych w art. 242-244 ustawy o finansach publicznych </w:t>
      </w:r>
    </w:p>
    <w:p w:rsidR="007F07DD" w:rsidRPr="000A6485" w:rsidRDefault="007F07DD" w:rsidP="007F07DD">
      <w:pPr>
        <w:spacing w:before="120" w:after="120"/>
        <w:jc w:val="both"/>
        <w:rPr>
          <w:rFonts w:ascii="Verdana" w:hAnsi="Verdana"/>
          <w:bCs/>
          <w:sz w:val="18"/>
          <w:szCs w:val="18"/>
        </w:rPr>
      </w:pPr>
      <w:r w:rsidRPr="000A6485">
        <w:rPr>
          <w:rFonts w:ascii="Verdana" w:hAnsi="Verdana"/>
          <w:bCs/>
          <w:sz w:val="16"/>
          <w:szCs w:val="16"/>
        </w:rPr>
        <w:t xml:space="preserve">W </w:t>
      </w:r>
      <w:r>
        <w:rPr>
          <w:rFonts w:ascii="Verdana" w:hAnsi="Verdana"/>
          <w:bCs/>
          <w:sz w:val="16"/>
          <w:szCs w:val="16"/>
        </w:rPr>
        <w:t xml:space="preserve">WPF </w:t>
      </w:r>
      <w:r w:rsidRPr="0090283F">
        <w:rPr>
          <w:rFonts w:ascii="Verdana" w:eastAsiaTheme="minorEastAsia" w:hAnsi="Verdana" w:cs="Verdana"/>
          <w:color w:val="000000"/>
          <w:sz w:val="16"/>
          <w:szCs w:val="16"/>
        </w:rPr>
        <w:t>2022</w:t>
      </w:r>
      <w:r w:rsidRPr="000A6485">
        <w:rPr>
          <w:rFonts w:ascii="Verdana" w:hAnsi="Verdana"/>
          <w:bCs/>
          <w:sz w:val="16"/>
          <w:szCs w:val="16"/>
        </w:rPr>
        <w:t xml:space="preserve">-2050 spełniona jest relacja zrównoważenia wydatków bieżących (pkt 8.1) i indywidualnego </w:t>
      </w:r>
      <w:r>
        <w:rPr>
          <w:rFonts w:ascii="Verdana" w:hAnsi="Verdana"/>
          <w:bCs/>
          <w:sz w:val="16"/>
          <w:szCs w:val="16"/>
        </w:rPr>
        <w:t>w</w:t>
      </w:r>
      <w:r w:rsidRPr="000A6485">
        <w:rPr>
          <w:rFonts w:ascii="Verdana" w:hAnsi="Verdana"/>
          <w:bCs/>
          <w:sz w:val="16"/>
          <w:szCs w:val="16"/>
        </w:rPr>
        <w:t>skaźnika spłaty zobowiązań (pkt 8.2), o których mowa w przepisach art. 242-244 ustawy o finansach publicznych.</w:t>
      </w:r>
    </w:p>
    <w:p w:rsidR="007F07DD" w:rsidRPr="000A6485" w:rsidRDefault="007F07DD" w:rsidP="007F07DD"/>
    <w:p w:rsidR="007F07DD" w:rsidRDefault="007F07DD" w:rsidP="007F07DD"/>
    <w:p w:rsidR="007F07DD" w:rsidRDefault="007F07DD" w:rsidP="007F07DD">
      <w:r w:rsidRPr="000A6485">
        <w:rPr>
          <w:rFonts w:ascii="Verdana" w:hAnsi="Verdana"/>
          <w:noProof/>
          <w:sz w:val="16"/>
          <w:szCs w:val="16"/>
        </w:rPr>
        <mc:AlternateContent>
          <mc:Choice Requires="wps">
            <w:drawing>
              <wp:anchor distT="0" distB="0" distL="114300" distR="114300" simplePos="0" relativeHeight="251702272" behindDoc="0" locked="0" layoutInCell="1" allowOverlap="1" wp14:anchorId="5C80C614" wp14:editId="533BE1A1">
                <wp:simplePos x="0" y="0"/>
                <wp:positionH relativeFrom="margin">
                  <wp:align>right</wp:align>
                </wp:positionH>
                <wp:positionV relativeFrom="paragraph">
                  <wp:posOffset>50949</wp:posOffset>
                </wp:positionV>
                <wp:extent cx="2438400" cy="6096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43105E" w:rsidRPr="007A5B45" w:rsidRDefault="0043105E" w:rsidP="007F07DD">
                            <w:pPr>
                              <w:jc w:val="center"/>
                              <w:rPr>
                                <w:rFonts w:ascii="Verdana" w:hAnsi="Verdana"/>
                                <w:sz w:val="16"/>
                                <w:szCs w:val="16"/>
                              </w:rPr>
                            </w:pPr>
                            <w:r w:rsidRPr="007A5B45">
                              <w:rPr>
                                <w:rFonts w:ascii="Verdana" w:hAnsi="Verdana"/>
                                <w:sz w:val="16"/>
                                <w:szCs w:val="16"/>
                              </w:rPr>
                              <w:t>Prezydent m.st. Warszawy</w:t>
                            </w:r>
                          </w:p>
                          <w:p w:rsidR="0043105E" w:rsidRPr="0023713D" w:rsidRDefault="0043105E" w:rsidP="007F07DD">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0C614" id="Pole tekstowe 9" o:spid="_x0000_s1029" type="#_x0000_t202" style="position:absolute;margin-left:140.8pt;margin-top:4pt;width:192pt;height:4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" fillcolor="white [3201]" stroked="f" strokeweight=".5pt">
                <v:textbox>
                  <w:txbxContent>
                    <w:p w:rsidR="0043105E" w:rsidRPr="007A5B45" w:rsidRDefault="0043105E" w:rsidP="007F07DD">
                      <w:pPr>
                        <w:jc w:val="center"/>
                        <w:rPr>
                          <w:rFonts w:ascii="Verdana" w:hAnsi="Verdana"/>
                          <w:sz w:val="16"/>
                          <w:szCs w:val="16"/>
                        </w:rPr>
                      </w:pPr>
                      <w:r w:rsidRPr="007A5B45">
                        <w:rPr>
                          <w:rFonts w:ascii="Verdana" w:hAnsi="Verdana"/>
                          <w:sz w:val="16"/>
                          <w:szCs w:val="16"/>
                        </w:rPr>
                        <w:t>Prezydent m.st. Warszawy</w:t>
                      </w:r>
                    </w:p>
                    <w:p w:rsidR="0043105E" w:rsidRPr="0023713D" w:rsidRDefault="0043105E" w:rsidP="007F07DD">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w10:wrap anchorx="margin"/>
              </v:shape>
            </w:pict>
          </mc:Fallback>
        </mc:AlternateContent>
      </w:r>
      <w:r w:rsidRPr="000A6485">
        <w:rPr>
          <w:rFonts w:ascii="Verdana" w:hAnsi="Verdana"/>
          <w:noProof/>
          <w:sz w:val="16"/>
          <w:szCs w:val="16"/>
        </w:rPr>
        <mc:AlternateContent>
          <mc:Choice Requires="wps">
            <w:drawing>
              <wp:anchor distT="0" distB="0" distL="114300" distR="114300" simplePos="0" relativeHeight="251701248" behindDoc="0" locked="0" layoutInCell="1" allowOverlap="1" wp14:anchorId="3B4BBAB3" wp14:editId="63463D5E">
                <wp:simplePos x="0" y="0"/>
                <wp:positionH relativeFrom="margin">
                  <wp:align>left</wp:align>
                </wp:positionH>
                <wp:positionV relativeFrom="paragraph">
                  <wp:posOffset>81428</wp:posOffset>
                </wp:positionV>
                <wp:extent cx="2438400" cy="60960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43105E" w:rsidRPr="007A5B45" w:rsidRDefault="0043105E" w:rsidP="007F07DD">
                            <w:pPr>
                              <w:jc w:val="center"/>
                              <w:rPr>
                                <w:rFonts w:ascii="Verdana" w:hAnsi="Verdana"/>
                                <w:sz w:val="16"/>
                                <w:szCs w:val="16"/>
                              </w:rPr>
                            </w:pPr>
                            <w:r w:rsidRPr="007A5B45">
                              <w:rPr>
                                <w:rFonts w:ascii="Verdana" w:hAnsi="Verdana"/>
                                <w:sz w:val="16"/>
                                <w:szCs w:val="16"/>
                              </w:rPr>
                              <w:t>Skarbnik m.st. Warszawy</w:t>
                            </w:r>
                          </w:p>
                          <w:p w:rsidR="0043105E" w:rsidRPr="007A5B45" w:rsidRDefault="0043105E" w:rsidP="007F07DD">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BAB3" id="Pole tekstowe 5" o:spid="_x0000_s1030" type="#_x0000_t202" style="position:absolute;margin-left:0;margin-top:6.4pt;width:192pt;height:48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" fillcolor="white [3201]" stroked="f" strokeweight=".5pt">
                <v:textbox>
                  <w:txbxContent>
                    <w:p w:rsidR="0043105E" w:rsidRPr="007A5B45" w:rsidRDefault="0043105E" w:rsidP="007F07DD">
                      <w:pPr>
                        <w:jc w:val="center"/>
                        <w:rPr>
                          <w:rFonts w:ascii="Verdana" w:hAnsi="Verdana"/>
                          <w:sz w:val="16"/>
                          <w:szCs w:val="16"/>
                        </w:rPr>
                      </w:pPr>
                      <w:r w:rsidRPr="007A5B45">
                        <w:rPr>
                          <w:rFonts w:ascii="Verdana" w:hAnsi="Verdana"/>
                          <w:sz w:val="16"/>
                          <w:szCs w:val="16"/>
                        </w:rPr>
                        <w:t>Skarbnik m.st. Warszawy</w:t>
                      </w:r>
                    </w:p>
                    <w:p w:rsidR="0043105E" w:rsidRPr="007A5B45" w:rsidRDefault="0043105E" w:rsidP="007F07DD">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v:textbox>
                <w10:wrap anchorx="margin"/>
              </v:shape>
            </w:pict>
          </mc:Fallback>
        </mc:AlternateContent>
      </w:r>
    </w:p>
    <w:p w:rsidR="005E5299" w:rsidRPr="00EC1297" w:rsidRDefault="005E5299" w:rsidP="005E5299">
      <w:pPr>
        <w:spacing w:before="120" w:after="120"/>
        <w:rPr>
          <w:rFonts w:ascii="Verdana" w:hAnsi="Verdana"/>
          <w:sz w:val="22"/>
          <w:szCs w:val="22"/>
        </w:rPr>
      </w:pPr>
    </w:p>
    <w:p w:rsidR="005E5299" w:rsidRPr="000A6485" w:rsidRDefault="005E5299" w:rsidP="005E5299"/>
    <w:p w:rsidR="005E5299" w:rsidRDefault="005E5299" w:rsidP="005E5299"/>
    <w:p w:rsidR="005E5299" w:rsidRDefault="005E5299" w:rsidP="005E5299"/>
    <w:p w:rsidR="00377CA9" w:rsidRPr="005E5299" w:rsidRDefault="00377CA9" w:rsidP="00377CA9">
      <w:pPr>
        <w:spacing w:before="120" w:after="120"/>
        <w:jc w:val="both"/>
        <w:rPr>
          <w:rFonts w:ascii="Verdana" w:hAnsi="Verdana" w:cs="Arial"/>
          <w:bCs/>
          <w:sz w:val="16"/>
          <w:szCs w:val="16"/>
        </w:rPr>
        <w:sectPr w:rsidR="00377CA9" w:rsidRPr="005E5299" w:rsidSect="00492B3A">
          <w:headerReference w:type="default" r:id="rId55"/>
          <w:type w:val="oddPage"/>
          <w:pgSz w:w="11907" w:h="16840" w:code="9"/>
          <w:pgMar w:top="1417" w:right="1417" w:bottom="1417" w:left="1417" w:header="708" w:footer="708" w:gutter="0"/>
          <w:cols w:space="708"/>
          <w:docGrid w:linePitch="360"/>
        </w:sectPr>
      </w:pPr>
    </w:p>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Default="00F95352" w:rsidP="00F95352"/>
    <w:p w:rsidR="00F95352" w:rsidRPr="0012041D" w:rsidRDefault="00F95352" w:rsidP="00F95352">
      <w:pPr>
        <w:pStyle w:val="Nagwek4"/>
      </w:pPr>
      <w:bookmarkStart w:id="6" w:name="_Toc91140294"/>
      <w:r w:rsidRPr="0012041D">
        <w:t>1.</w:t>
      </w:r>
      <w:r>
        <w:t>2. POLITYKA DŁUGU</w:t>
      </w:r>
      <w:r>
        <w:br/>
        <w:t>MIASTA STOŁECZNEGO WARSZAWY</w:t>
      </w:r>
      <w:r>
        <w:br/>
        <w:t>EDYCJA 20</w:t>
      </w:r>
      <w:r w:rsidR="0080214F">
        <w:t>2</w:t>
      </w:r>
      <w:r w:rsidR="00057881">
        <w:t>2</w:t>
      </w:r>
      <w:r>
        <w:t xml:space="preserve"> ROK</w:t>
      </w:r>
      <w:bookmarkEnd w:id="6"/>
    </w:p>
    <w:p w:rsidR="00A478E4" w:rsidRDefault="00A478E4" w:rsidP="001C799C"/>
    <w:p w:rsidR="00A478E4" w:rsidRDefault="00A478E4" w:rsidP="001C799C">
      <w:pPr>
        <w:sectPr w:rsidR="00A478E4" w:rsidSect="00492B3A">
          <w:headerReference w:type="default" r:id="rId56"/>
          <w:type w:val="oddPage"/>
          <w:pgSz w:w="11907" w:h="16840" w:code="9"/>
          <w:pgMar w:top="1417" w:right="1417" w:bottom="1417" w:left="1417" w:header="708" w:footer="708" w:gutter="0"/>
          <w:cols w:space="708"/>
          <w:docGrid w:linePitch="360"/>
        </w:sectPr>
      </w:pPr>
    </w:p>
    <w:p w:rsidR="000C0694" w:rsidRPr="00F338B2" w:rsidRDefault="000C0694" w:rsidP="000C0694">
      <w:pPr>
        <w:spacing w:before="360"/>
        <w:jc w:val="both"/>
        <w:rPr>
          <w:rFonts w:ascii="Verdana" w:hAnsi="Verdana"/>
          <w:b/>
          <w:bCs/>
        </w:rPr>
      </w:pPr>
      <w:bookmarkStart w:id="7" w:name="bookmark0"/>
      <w:r>
        <w:rPr>
          <w:rFonts w:ascii="Verdana" w:hAnsi="Verdana"/>
          <w:b/>
          <w:bCs/>
        </w:rPr>
        <w:lastRenderedPageBreak/>
        <w:t xml:space="preserve">1. </w:t>
      </w:r>
      <w:r w:rsidRPr="00F338B2">
        <w:rPr>
          <w:rFonts w:ascii="Verdana" w:hAnsi="Verdana"/>
          <w:b/>
          <w:bCs/>
        </w:rPr>
        <w:t>Wstęp</w:t>
      </w:r>
      <w:bookmarkEnd w:id="7"/>
    </w:p>
    <w:p w:rsidR="000C0694" w:rsidRPr="00383392" w:rsidRDefault="000C0694" w:rsidP="000C0694">
      <w:pPr>
        <w:spacing w:before="240"/>
        <w:jc w:val="both"/>
        <w:rPr>
          <w:rFonts w:ascii="Verdana" w:hAnsi="Verdana"/>
          <w:sz w:val="16"/>
          <w:szCs w:val="16"/>
        </w:rPr>
      </w:pPr>
      <w:r w:rsidRPr="00383392">
        <w:rPr>
          <w:rFonts w:ascii="Verdana" w:hAnsi="Verdana"/>
          <w:sz w:val="16"/>
          <w:szCs w:val="16"/>
        </w:rPr>
        <w:t>Polityka długu jest elementem polityki finansowej m.st. Warszawy. Jej celem jest określenie zasad pozyskiwania środków zwrotnych na realizację projektów rozwojowych przy minimalizacji związanych z tym kosztów i ryzyka niewypłacalności lub utraty płynności.</w:t>
      </w:r>
      <w:r w:rsidRPr="00383392">
        <w:rPr>
          <w:rFonts w:ascii="Verdana" w:hAnsi="Verdana"/>
          <w:sz w:val="16"/>
          <w:szCs w:val="16"/>
          <w:vertAlign w:val="superscript"/>
        </w:rPr>
        <w:footnoteReference w:id="12"/>
      </w:r>
      <w:r w:rsidRPr="00383392">
        <w:rPr>
          <w:rFonts w:ascii="Verdana" w:hAnsi="Verdana"/>
          <w:sz w:val="16"/>
          <w:szCs w:val="16"/>
        </w:rPr>
        <w:t xml:space="preserve"> </w:t>
      </w:r>
    </w:p>
    <w:p w:rsidR="000C0694" w:rsidRPr="00947095" w:rsidRDefault="000C0694" w:rsidP="000C0694">
      <w:pPr>
        <w:spacing w:before="120"/>
        <w:jc w:val="both"/>
        <w:rPr>
          <w:rFonts w:ascii="Verdana" w:hAnsi="Verdana"/>
          <w:sz w:val="16"/>
          <w:szCs w:val="16"/>
        </w:rPr>
      </w:pPr>
      <w:r w:rsidRPr="00383392">
        <w:rPr>
          <w:rFonts w:ascii="Verdana" w:hAnsi="Verdana"/>
          <w:sz w:val="16"/>
          <w:szCs w:val="16"/>
        </w:rPr>
        <w:t>Formalno-prawnym ograniczeniem polityki długu jest indywidualny wskaźnik obsługi długu, wynikający z art. 243 ustawy o finansach publicznych (</w:t>
      </w:r>
      <w:r>
        <w:rPr>
          <w:rFonts w:ascii="Verdana" w:hAnsi="Verdana"/>
          <w:sz w:val="16"/>
          <w:szCs w:val="16"/>
        </w:rPr>
        <w:t>Dz.</w:t>
      </w:r>
      <w:r w:rsidRPr="000A6485">
        <w:rPr>
          <w:rFonts w:ascii="Verdana" w:hAnsi="Verdana"/>
          <w:sz w:val="16"/>
          <w:szCs w:val="16"/>
        </w:rPr>
        <w:t>U. z 20</w:t>
      </w:r>
      <w:r>
        <w:rPr>
          <w:rFonts w:ascii="Verdana" w:hAnsi="Verdana"/>
          <w:sz w:val="16"/>
          <w:szCs w:val="16"/>
        </w:rPr>
        <w:t>21</w:t>
      </w:r>
      <w:r w:rsidRPr="000A6485">
        <w:rPr>
          <w:rFonts w:ascii="Verdana" w:hAnsi="Verdana"/>
          <w:sz w:val="16"/>
          <w:szCs w:val="16"/>
        </w:rPr>
        <w:t xml:space="preserve"> r. poz. </w:t>
      </w:r>
      <w:r>
        <w:rPr>
          <w:rFonts w:ascii="Verdana" w:hAnsi="Verdana"/>
          <w:sz w:val="16"/>
          <w:szCs w:val="16"/>
        </w:rPr>
        <w:t>305, 1236, 1535, 1773, 1927, 1981, 2054 i 2270</w:t>
      </w:r>
      <w:r w:rsidRPr="00383392">
        <w:rPr>
          <w:rFonts w:ascii="Verdana" w:hAnsi="Verdana"/>
          <w:sz w:val="16"/>
          <w:szCs w:val="16"/>
        </w:rPr>
        <w:t xml:space="preserve">). Opiera się </w:t>
      </w:r>
      <w:r>
        <w:rPr>
          <w:rFonts w:ascii="Verdana" w:hAnsi="Verdana"/>
          <w:sz w:val="16"/>
          <w:szCs w:val="16"/>
        </w:rPr>
        <w:t xml:space="preserve">on </w:t>
      </w:r>
      <w:r w:rsidRPr="00383392">
        <w:rPr>
          <w:rFonts w:ascii="Verdana" w:hAnsi="Verdana"/>
          <w:sz w:val="16"/>
          <w:szCs w:val="16"/>
        </w:rPr>
        <w:t>na nadwyżce bieżącej budżetu. Jego konstrukcja zakłada, że w danym roku budżetowym relacja wydatków związanych z obsługą zadłużenia (kapitał i odsetki) i udzielonymi poręczeniami i gwarancjami do dochodów bieżących, nie może być wyższa od relacji pomiędzy różnicą dochodów bieżących powiększonych o dochody ze sprzedaży majątku i wydatkami bieżącymi do dochodów bieżących</w:t>
      </w:r>
      <w:r w:rsidRPr="00C937B6">
        <w:rPr>
          <w:rFonts w:ascii="Verdana" w:hAnsi="Verdana"/>
          <w:sz w:val="16"/>
          <w:szCs w:val="16"/>
        </w:rPr>
        <w:t>, obliczanej dla trzech</w:t>
      </w:r>
      <w:r w:rsidRPr="00383392">
        <w:rPr>
          <w:rFonts w:ascii="Verdana" w:hAnsi="Verdana"/>
          <w:sz w:val="16"/>
          <w:szCs w:val="16"/>
        </w:rPr>
        <w:t xml:space="preserve"> </w:t>
      </w:r>
      <w:r>
        <w:rPr>
          <w:rFonts w:ascii="Verdana" w:hAnsi="Verdana"/>
          <w:sz w:val="16"/>
          <w:szCs w:val="16"/>
        </w:rPr>
        <w:t xml:space="preserve">lub siedmiu </w:t>
      </w:r>
      <w:r w:rsidRPr="00383392">
        <w:rPr>
          <w:rFonts w:ascii="Verdana" w:hAnsi="Verdana"/>
          <w:sz w:val="16"/>
          <w:szCs w:val="16"/>
        </w:rPr>
        <w:t xml:space="preserve">(od 2026 roku dla siedmiu) lat poprzedzających dany rok budżetowy, jako średnia arytmetyczna z tych lat. Wskaźnik ten jest bardzo wrażliwy na wahania cyklu koniunkturalnego i poziom nadwyżki bieżącej. </w:t>
      </w:r>
    </w:p>
    <w:p w:rsidR="000C0694" w:rsidRPr="00E24860" w:rsidRDefault="000C0694" w:rsidP="000C0694">
      <w:pPr>
        <w:spacing w:before="120"/>
        <w:jc w:val="both"/>
        <w:rPr>
          <w:rFonts w:ascii="Verdana" w:hAnsi="Verdana"/>
          <w:bCs/>
          <w:sz w:val="16"/>
          <w:szCs w:val="16"/>
        </w:rPr>
      </w:pPr>
      <w:r>
        <w:rPr>
          <w:rFonts w:ascii="Verdana" w:hAnsi="Verdana"/>
          <w:sz w:val="16"/>
          <w:szCs w:val="16"/>
        </w:rPr>
        <w:t xml:space="preserve">Wprowadzone ustawą z dnia 14 października 2021 r. o zmianie ustawy o dochodach jednostek samorządu terytorialnego oraz niektórych innych ustaw zmiany zakładają, że przy ustalaniu relacji określonej w art. 243 </w:t>
      </w:r>
      <w:r>
        <w:rPr>
          <w:rFonts w:ascii="Verdana" w:hAnsi="Verdana"/>
          <w:sz w:val="16"/>
          <w:szCs w:val="16"/>
        </w:rPr>
        <w:br/>
        <w:t xml:space="preserve">w latach 2022–2025 jednostki samorządu terytorialnego (JST) mają możliwość wyboru długości okresu obliczeniowego wg którego liczona jest średnia nadwyżka operacyjna - między 3-letnią a 7-letnią średnią </w:t>
      </w:r>
      <w:r w:rsidRPr="00CB32E5">
        <w:rPr>
          <w:rFonts w:ascii="Verdana" w:hAnsi="Verdana"/>
          <w:sz w:val="16"/>
          <w:szCs w:val="16"/>
        </w:rPr>
        <w:t>arytmetyczną</w:t>
      </w:r>
      <w:r w:rsidRPr="00CB32E5">
        <w:rPr>
          <w:rFonts w:ascii="Verdana" w:hAnsi="Verdana"/>
          <w:bCs/>
          <w:sz w:val="16"/>
          <w:szCs w:val="16"/>
        </w:rPr>
        <w:t xml:space="preserve">. </w:t>
      </w:r>
      <w:r w:rsidRPr="00CB32E5">
        <w:rPr>
          <w:rFonts w:ascii="Verdana" w:hAnsi="Verdana"/>
          <w:sz w:val="16"/>
          <w:szCs w:val="16"/>
        </w:rPr>
        <w:t>Na podstawie powyższych przepisów, organ wykonawczy m.st. Warszawy tj. Prezydent m.st. Warszawy postanowił, że przy ustalaniu relacji wynikającej z art. 243 od 2022 r. stosowana będzie średnia 7 letnia</w:t>
      </w:r>
      <w:r w:rsidRPr="00011AAA">
        <w:rPr>
          <w:rStyle w:val="Odwoanieprzypisudolnego"/>
          <w:rFonts w:ascii="Verdana" w:hAnsi="Verdana"/>
          <w:bCs/>
          <w:iCs/>
          <w:color w:val="000000"/>
          <w:sz w:val="16"/>
          <w:szCs w:val="16"/>
        </w:rPr>
        <w:footnoteReference w:id="13"/>
      </w:r>
      <w:r w:rsidRPr="00CB32E5">
        <w:rPr>
          <w:rFonts w:ascii="Verdana" w:hAnsi="Verdana"/>
          <w:sz w:val="16"/>
          <w:szCs w:val="16"/>
        </w:rPr>
        <w:t>.</w:t>
      </w:r>
    </w:p>
    <w:p w:rsidR="000C0694" w:rsidRDefault="000C0694" w:rsidP="000C0694">
      <w:pPr>
        <w:spacing w:before="120"/>
        <w:jc w:val="both"/>
        <w:rPr>
          <w:rFonts w:ascii="Verdana" w:hAnsi="Verdana"/>
          <w:sz w:val="16"/>
          <w:szCs w:val="16"/>
        </w:rPr>
      </w:pPr>
      <w:r w:rsidRPr="00383392">
        <w:rPr>
          <w:rFonts w:ascii="Verdana" w:hAnsi="Verdana"/>
          <w:sz w:val="16"/>
          <w:szCs w:val="16"/>
        </w:rPr>
        <w:t>Na realizację polityki długu w 202</w:t>
      </w:r>
      <w:r>
        <w:rPr>
          <w:rFonts w:ascii="Verdana" w:hAnsi="Verdana"/>
          <w:sz w:val="16"/>
          <w:szCs w:val="16"/>
        </w:rPr>
        <w:t>1</w:t>
      </w:r>
      <w:r w:rsidRPr="00383392">
        <w:rPr>
          <w:rFonts w:ascii="Verdana" w:hAnsi="Verdana"/>
          <w:sz w:val="16"/>
          <w:szCs w:val="16"/>
        </w:rPr>
        <w:t xml:space="preserve"> r. oddziaływały i w najbliższym czasie oddziaływać będą niekorzystne zmiany w gospodarce i finansach publicznych wynikające z epidem</w:t>
      </w:r>
      <w:r>
        <w:rPr>
          <w:rFonts w:ascii="Verdana" w:hAnsi="Verdana"/>
          <w:sz w:val="16"/>
          <w:szCs w:val="16"/>
        </w:rPr>
        <w:t>i</w:t>
      </w:r>
      <w:r w:rsidRPr="00383392">
        <w:rPr>
          <w:rFonts w:ascii="Verdana" w:hAnsi="Verdana"/>
          <w:sz w:val="16"/>
          <w:szCs w:val="16"/>
        </w:rPr>
        <w:t xml:space="preserve">i COVID-19. Zmiany te zaburzają przyjęte wcześniej plany poprzez niemożliwe do wcześniejszego przewidzenia </w:t>
      </w:r>
      <w:r>
        <w:rPr>
          <w:rFonts w:ascii="Verdana" w:hAnsi="Verdana"/>
          <w:sz w:val="16"/>
          <w:szCs w:val="16"/>
        </w:rPr>
        <w:t>zdarze</w:t>
      </w:r>
      <w:r w:rsidRPr="00383392">
        <w:rPr>
          <w:rFonts w:ascii="Verdana" w:hAnsi="Verdana"/>
          <w:sz w:val="16"/>
          <w:szCs w:val="16"/>
        </w:rPr>
        <w:t>nia o istotnych skutkach finansowych.</w:t>
      </w:r>
      <w:r>
        <w:rPr>
          <w:rFonts w:ascii="Verdana" w:hAnsi="Verdana"/>
          <w:sz w:val="16"/>
          <w:szCs w:val="16"/>
        </w:rPr>
        <w:t xml:space="preserve"> </w:t>
      </w:r>
    </w:p>
    <w:p w:rsidR="000C0694" w:rsidRDefault="000C0694" w:rsidP="000C0694">
      <w:pPr>
        <w:spacing w:before="120"/>
        <w:jc w:val="both"/>
        <w:rPr>
          <w:rFonts w:ascii="Verdana" w:hAnsi="Verdana"/>
          <w:sz w:val="16"/>
          <w:szCs w:val="16"/>
        </w:rPr>
      </w:pPr>
      <w:r w:rsidRPr="00CB32E5">
        <w:rPr>
          <w:rFonts w:ascii="Verdana" w:hAnsi="Verdana"/>
          <w:sz w:val="16"/>
          <w:szCs w:val="16"/>
        </w:rPr>
        <w:t>Pod koniec 2021 r. istotnym czynnikiem mającym wpływ na politykę długu jest ryzyko regulacyjne w zakresie dochodów JST (Polski Ład)</w:t>
      </w:r>
      <w:r>
        <w:rPr>
          <w:rFonts w:ascii="Verdana" w:hAnsi="Verdana"/>
          <w:sz w:val="16"/>
          <w:szCs w:val="16"/>
        </w:rPr>
        <w:t xml:space="preserve"> mogące skutkować spadkiem dochodów JST z tytułu udziału w podatku od osób fizycznych</w:t>
      </w:r>
      <w:r w:rsidRPr="00CB32E5">
        <w:rPr>
          <w:rFonts w:ascii="Verdana" w:hAnsi="Verdana"/>
          <w:sz w:val="16"/>
          <w:szCs w:val="16"/>
        </w:rPr>
        <w:t xml:space="preserve">. </w:t>
      </w:r>
      <w:r>
        <w:rPr>
          <w:rFonts w:ascii="Verdana" w:hAnsi="Verdana"/>
          <w:sz w:val="16"/>
          <w:szCs w:val="16"/>
        </w:rPr>
        <w:t xml:space="preserve">Ryzyko to może być częściowo ograniczone przez nowe </w:t>
      </w:r>
      <w:r w:rsidRPr="00CB32E5">
        <w:rPr>
          <w:rFonts w:ascii="Verdana" w:hAnsi="Verdana"/>
          <w:sz w:val="16"/>
          <w:szCs w:val="16"/>
        </w:rPr>
        <w:t>subwencj</w:t>
      </w:r>
      <w:r>
        <w:rPr>
          <w:rFonts w:ascii="Verdana" w:hAnsi="Verdana"/>
          <w:sz w:val="16"/>
          <w:szCs w:val="16"/>
        </w:rPr>
        <w:t>e na cele inwestycyjne</w:t>
      </w:r>
      <w:r w:rsidRPr="00CB32E5">
        <w:rPr>
          <w:rFonts w:ascii="Verdana" w:hAnsi="Verdana"/>
          <w:sz w:val="16"/>
          <w:szCs w:val="16"/>
        </w:rPr>
        <w:t>.</w:t>
      </w:r>
    </w:p>
    <w:p w:rsidR="000C0694" w:rsidRPr="006D04B6" w:rsidRDefault="000C0694" w:rsidP="000C0694">
      <w:pPr>
        <w:spacing w:before="360" w:line="312" w:lineRule="auto"/>
        <w:rPr>
          <w:rFonts w:ascii="Verdana" w:hAnsi="Verdana"/>
          <w:b/>
        </w:rPr>
      </w:pPr>
      <w:bookmarkStart w:id="8" w:name="bookmark1"/>
      <w:r w:rsidRPr="006D04B6">
        <w:rPr>
          <w:rFonts w:ascii="Verdana" w:hAnsi="Verdana"/>
          <w:b/>
          <w:bCs/>
        </w:rPr>
        <w:t>2. Stan</w:t>
      </w:r>
      <w:r w:rsidRPr="006D04B6">
        <w:rPr>
          <w:rFonts w:ascii="Verdana" w:hAnsi="Verdana"/>
          <w:b/>
        </w:rPr>
        <w:t xml:space="preserve"> długu Miasta oraz realizacja celów polityki długu wyznaczonych na 2021 rok</w:t>
      </w:r>
      <w:bookmarkEnd w:id="8"/>
    </w:p>
    <w:p w:rsidR="000C0694" w:rsidRDefault="000C0694" w:rsidP="000C0694">
      <w:pPr>
        <w:spacing w:before="240"/>
        <w:jc w:val="both"/>
        <w:rPr>
          <w:rFonts w:ascii="Verdana" w:hAnsi="Verdana"/>
          <w:sz w:val="16"/>
          <w:szCs w:val="16"/>
        </w:rPr>
      </w:pPr>
      <w:r w:rsidRPr="00383392">
        <w:rPr>
          <w:rFonts w:ascii="Verdana" w:hAnsi="Verdana"/>
          <w:sz w:val="16"/>
          <w:szCs w:val="16"/>
        </w:rPr>
        <w:t xml:space="preserve">Od 2015 roku do połowy roku 2020, nie były zaciągane nowe zobowiązania dłużne przy jednoczesnej spłacie części zadłużenia. W efekcie, </w:t>
      </w:r>
      <w:r>
        <w:rPr>
          <w:rFonts w:ascii="Verdana" w:hAnsi="Verdana"/>
          <w:sz w:val="16"/>
          <w:szCs w:val="16"/>
        </w:rPr>
        <w:t>w latach</w:t>
      </w:r>
      <w:r w:rsidRPr="00383392">
        <w:rPr>
          <w:rFonts w:ascii="Verdana" w:hAnsi="Verdana"/>
          <w:sz w:val="16"/>
          <w:szCs w:val="16"/>
        </w:rPr>
        <w:t xml:space="preserve"> 2015</w:t>
      </w:r>
      <w:r>
        <w:rPr>
          <w:rFonts w:ascii="Verdana" w:hAnsi="Verdana"/>
          <w:sz w:val="16"/>
          <w:szCs w:val="16"/>
        </w:rPr>
        <w:t>-2019</w:t>
      </w:r>
      <w:r w:rsidRPr="00383392">
        <w:rPr>
          <w:rFonts w:ascii="Verdana" w:hAnsi="Verdana"/>
          <w:sz w:val="16"/>
          <w:szCs w:val="16"/>
        </w:rPr>
        <w:t xml:space="preserve"> poziom długu m.st. Warszawy systematycznie malał zarówno w ujęciu kwotowym jak i w relacji do dochodów. </w:t>
      </w:r>
      <w:r>
        <w:rPr>
          <w:rFonts w:ascii="Verdana" w:hAnsi="Verdana"/>
          <w:sz w:val="16"/>
          <w:szCs w:val="16"/>
        </w:rPr>
        <w:t xml:space="preserve">W 2020 roku Miasto wyemitowało 2 serie obligacji o łącznej wartości 400 mln zł oraz zaciągnęło kredyty i pożyczki o wartości </w:t>
      </w:r>
      <w:r w:rsidRPr="00992B91">
        <w:rPr>
          <w:rFonts w:ascii="Verdana" w:hAnsi="Verdana"/>
          <w:sz w:val="16"/>
          <w:szCs w:val="16"/>
        </w:rPr>
        <w:t>1.9</w:t>
      </w:r>
      <w:r>
        <w:rPr>
          <w:rFonts w:ascii="Verdana" w:hAnsi="Verdana"/>
          <w:sz w:val="16"/>
          <w:szCs w:val="16"/>
        </w:rPr>
        <w:t xml:space="preserve">44 mln zł (w tym 56 mln euro). Rok 2021 jest kolejnym rokiem, w którym prognozy zadłużeniowe w znacznej części podyktowane są potrzebą stabilizacji finansów Miasta w niepewnym okresie pandemii. Na 2021 r. plan zakłada pozyskanie 561,8 mln zł w ramach kredytów z międzynarodowych instytucji finansowych oraz 14,7 mln zł preferencyjnych pożyczek z Mazowieckiego </w:t>
      </w:r>
      <w:r>
        <w:rPr>
          <w:rFonts w:ascii="Verdana" w:hAnsi="Verdana"/>
          <w:sz w:val="16"/>
          <w:szCs w:val="16"/>
        </w:rPr>
        <w:lastRenderedPageBreak/>
        <w:t xml:space="preserve">Regionalnego Funduszu Pożyczkowego oraz Narodowego Funduszu Ochrony Środowiska i Gospodarki Wodnej. </w:t>
      </w:r>
      <w:r w:rsidRPr="00383392">
        <w:rPr>
          <w:rFonts w:ascii="Verdana" w:hAnsi="Verdana"/>
          <w:sz w:val="16"/>
          <w:szCs w:val="16"/>
        </w:rPr>
        <w:t>Kształtowanie się długu Miasta w okresie</w:t>
      </w:r>
      <w:r>
        <w:rPr>
          <w:rFonts w:ascii="Verdana" w:hAnsi="Verdana"/>
          <w:sz w:val="16"/>
          <w:szCs w:val="16"/>
        </w:rPr>
        <w:t xml:space="preserve"> od 2011 r. </w:t>
      </w:r>
      <w:r w:rsidRPr="00383392">
        <w:rPr>
          <w:rFonts w:ascii="Verdana" w:hAnsi="Verdana"/>
          <w:sz w:val="16"/>
          <w:szCs w:val="16"/>
        </w:rPr>
        <w:t xml:space="preserve">do końca </w:t>
      </w:r>
      <w:r>
        <w:rPr>
          <w:rFonts w:ascii="Verdana" w:hAnsi="Verdana"/>
          <w:sz w:val="16"/>
          <w:szCs w:val="16"/>
        </w:rPr>
        <w:t>września</w:t>
      </w:r>
      <w:r w:rsidRPr="00383392">
        <w:rPr>
          <w:rFonts w:ascii="Verdana" w:hAnsi="Verdana"/>
          <w:sz w:val="16"/>
          <w:szCs w:val="16"/>
        </w:rPr>
        <w:t xml:space="preserve"> 202</w:t>
      </w:r>
      <w:r>
        <w:rPr>
          <w:rFonts w:ascii="Verdana" w:hAnsi="Verdana"/>
          <w:sz w:val="16"/>
          <w:szCs w:val="16"/>
        </w:rPr>
        <w:t>1</w:t>
      </w:r>
      <w:r w:rsidRPr="00383392">
        <w:rPr>
          <w:rFonts w:ascii="Verdana" w:hAnsi="Verdana"/>
          <w:sz w:val="16"/>
          <w:szCs w:val="16"/>
        </w:rPr>
        <w:t xml:space="preserve"> r. przedstawia wykres 1.</w:t>
      </w:r>
      <w:r>
        <w:rPr>
          <w:rFonts w:ascii="Verdana" w:hAnsi="Verdana"/>
          <w:sz w:val="16"/>
          <w:szCs w:val="16"/>
        </w:rPr>
        <w:br w:type="page"/>
      </w:r>
    </w:p>
    <w:p w:rsidR="000C0694" w:rsidRPr="00383392" w:rsidRDefault="000C0694" w:rsidP="000C0694">
      <w:pPr>
        <w:spacing w:before="120"/>
        <w:jc w:val="both"/>
        <w:rPr>
          <w:rFonts w:ascii="Verdana" w:hAnsi="Verdana"/>
          <w:sz w:val="14"/>
          <w:szCs w:val="14"/>
        </w:rPr>
      </w:pPr>
      <w:r w:rsidRPr="00383392">
        <w:rPr>
          <w:rFonts w:ascii="Verdana" w:hAnsi="Verdana"/>
          <w:b/>
          <w:sz w:val="14"/>
          <w:szCs w:val="14"/>
        </w:rPr>
        <w:lastRenderedPageBreak/>
        <w:t>WYK. 1</w:t>
      </w:r>
      <w:r w:rsidRPr="00383392">
        <w:rPr>
          <w:rFonts w:ascii="Verdana" w:hAnsi="Verdana"/>
          <w:sz w:val="14"/>
          <w:szCs w:val="14"/>
        </w:rPr>
        <w:t xml:space="preserve"> </w:t>
      </w:r>
      <w:r w:rsidRPr="00383392">
        <w:rPr>
          <w:rFonts w:ascii="Verdana" w:hAnsi="Verdana"/>
          <w:b/>
          <w:sz w:val="14"/>
          <w:szCs w:val="14"/>
        </w:rPr>
        <w:t>POZIOM ZADŁUŻENIA M.ST. WARSZAWY W LATACH 201</w:t>
      </w:r>
      <w:r>
        <w:rPr>
          <w:rFonts w:ascii="Verdana" w:hAnsi="Verdana"/>
          <w:b/>
          <w:sz w:val="14"/>
          <w:szCs w:val="14"/>
        </w:rPr>
        <w:t>1</w:t>
      </w:r>
      <w:r w:rsidRPr="00383392">
        <w:rPr>
          <w:rFonts w:ascii="Verdana" w:hAnsi="Verdana"/>
          <w:b/>
          <w:sz w:val="14"/>
          <w:szCs w:val="14"/>
        </w:rPr>
        <w:t xml:space="preserve">-2020 </w:t>
      </w:r>
      <w:r>
        <w:rPr>
          <w:rFonts w:ascii="Verdana" w:hAnsi="Verdana"/>
          <w:b/>
          <w:sz w:val="14"/>
          <w:szCs w:val="14"/>
        </w:rPr>
        <w:t>oraz na koniec III kwartału 2021 r.</w:t>
      </w:r>
      <w:r w:rsidRPr="00383392">
        <w:rPr>
          <w:rFonts w:ascii="Verdana" w:hAnsi="Verdana"/>
          <w:sz w:val="14"/>
          <w:szCs w:val="14"/>
        </w:rPr>
        <w:t>[w mln zł]</w:t>
      </w:r>
    </w:p>
    <w:p w:rsidR="000C0694" w:rsidRPr="00383392" w:rsidRDefault="000C0694" w:rsidP="000C0694">
      <w:pPr>
        <w:jc w:val="both"/>
        <w:rPr>
          <w:rFonts w:ascii="Verdana" w:hAnsi="Verdana"/>
          <w:b/>
          <w:sz w:val="18"/>
          <w:szCs w:val="18"/>
        </w:rPr>
      </w:pPr>
      <w:r>
        <w:rPr>
          <w:noProof/>
        </w:rPr>
        <w:drawing>
          <wp:inline distT="0" distB="0" distL="0" distR="0" wp14:anchorId="2CF36A8F" wp14:editId="114BB88F">
            <wp:extent cx="5759450" cy="2395855"/>
            <wp:effectExtent l="0" t="0" r="12700" b="444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0C0694" w:rsidRDefault="000C0694" w:rsidP="000C0694">
      <w:pPr>
        <w:jc w:val="both"/>
        <w:rPr>
          <w:rFonts w:ascii="Verdana" w:hAnsi="Verdana"/>
          <w:sz w:val="16"/>
          <w:szCs w:val="16"/>
        </w:rPr>
      </w:pPr>
      <w:r w:rsidRPr="00383392">
        <w:rPr>
          <w:rFonts w:ascii="Verdana" w:hAnsi="Verdana"/>
          <w:sz w:val="16"/>
          <w:szCs w:val="16"/>
        </w:rPr>
        <w:t xml:space="preserve">Dług m.st. Warszawy na koniec </w:t>
      </w:r>
      <w:r>
        <w:rPr>
          <w:rFonts w:ascii="Verdana" w:hAnsi="Verdana"/>
          <w:sz w:val="16"/>
          <w:szCs w:val="16"/>
        </w:rPr>
        <w:t>września</w:t>
      </w:r>
      <w:r w:rsidRPr="00383392">
        <w:rPr>
          <w:rFonts w:ascii="Verdana" w:hAnsi="Verdana"/>
          <w:sz w:val="16"/>
          <w:szCs w:val="16"/>
        </w:rPr>
        <w:t xml:space="preserve"> 202</w:t>
      </w:r>
      <w:r>
        <w:rPr>
          <w:rFonts w:ascii="Verdana" w:hAnsi="Verdana"/>
          <w:sz w:val="16"/>
          <w:szCs w:val="16"/>
        </w:rPr>
        <w:t>1</w:t>
      </w:r>
      <w:r w:rsidRPr="00383392">
        <w:rPr>
          <w:rFonts w:ascii="Verdana" w:hAnsi="Verdana"/>
          <w:sz w:val="16"/>
          <w:szCs w:val="16"/>
        </w:rPr>
        <w:t xml:space="preserve"> r. wyniósł </w:t>
      </w:r>
      <w:r>
        <w:rPr>
          <w:rFonts w:ascii="Verdana" w:hAnsi="Verdana"/>
          <w:color w:val="000000" w:themeColor="text1"/>
          <w:sz w:val="16"/>
          <w:szCs w:val="16"/>
        </w:rPr>
        <w:t>5</w:t>
      </w:r>
      <w:r w:rsidRPr="00383392">
        <w:rPr>
          <w:rFonts w:ascii="Verdana" w:hAnsi="Verdana"/>
          <w:color w:val="000000" w:themeColor="text1"/>
          <w:sz w:val="16"/>
          <w:szCs w:val="16"/>
        </w:rPr>
        <w:t>.</w:t>
      </w:r>
      <w:r>
        <w:rPr>
          <w:rFonts w:ascii="Verdana" w:hAnsi="Verdana"/>
          <w:color w:val="000000" w:themeColor="text1"/>
          <w:sz w:val="16"/>
          <w:szCs w:val="16"/>
        </w:rPr>
        <w:t>299</w:t>
      </w:r>
      <w:r w:rsidRPr="00383392">
        <w:rPr>
          <w:rFonts w:ascii="Verdana" w:hAnsi="Verdana"/>
          <w:color w:val="000000" w:themeColor="text1"/>
          <w:sz w:val="16"/>
          <w:szCs w:val="16"/>
        </w:rPr>
        <w:t>,</w:t>
      </w:r>
      <w:r>
        <w:rPr>
          <w:rFonts w:ascii="Verdana" w:hAnsi="Verdana"/>
          <w:color w:val="000000" w:themeColor="text1"/>
          <w:sz w:val="16"/>
          <w:szCs w:val="16"/>
        </w:rPr>
        <w:t>9</w:t>
      </w:r>
      <w:r w:rsidRPr="00383392">
        <w:rPr>
          <w:rFonts w:ascii="Verdana" w:hAnsi="Verdana"/>
          <w:color w:val="000000" w:themeColor="text1"/>
          <w:sz w:val="16"/>
          <w:szCs w:val="16"/>
        </w:rPr>
        <w:t xml:space="preserve"> </w:t>
      </w:r>
      <w:r w:rsidRPr="00383392">
        <w:rPr>
          <w:rFonts w:ascii="Verdana" w:hAnsi="Verdana"/>
          <w:sz w:val="16"/>
          <w:szCs w:val="16"/>
        </w:rPr>
        <w:t>mln zł i stanowił</w:t>
      </w:r>
      <w:r>
        <w:rPr>
          <w:rFonts w:ascii="Verdana" w:hAnsi="Verdana"/>
          <w:sz w:val="16"/>
          <w:szCs w:val="16"/>
        </w:rPr>
        <w:t xml:space="preserve"> 25,6</w:t>
      </w:r>
      <w:r w:rsidRPr="00383392">
        <w:rPr>
          <w:rFonts w:ascii="Verdana" w:hAnsi="Verdana"/>
          <w:sz w:val="16"/>
          <w:szCs w:val="16"/>
        </w:rPr>
        <w:t>% planowanych na rok 202</w:t>
      </w:r>
      <w:r>
        <w:rPr>
          <w:rFonts w:ascii="Verdana" w:hAnsi="Verdana"/>
          <w:sz w:val="16"/>
          <w:szCs w:val="16"/>
        </w:rPr>
        <w:t>1</w:t>
      </w:r>
      <w:r w:rsidRPr="00383392">
        <w:rPr>
          <w:rFonts w:ascii="Verdana" w:hAnsi="Verdana"/>
          <w:sz w:val="16"/>
          <w:szCs w:val="16"/>
        </w:rPr>
        <w:t xml:space="preserve"> dochodów ogółem. </w:t>
      </w:r>
    </w:p>
    <w:p w:rsidR="000C0694" w:rsidRPr="00383392" w:rsidRDefault="000C0694" w:rsidP="000C0694">
      <w:pPr>
        <w:spacing w:before="240" w:after="120"/>
        <w:jc w:val="both"/>
        <w:rPr>
          <w:rFonts w:ascii="Verdana" w:hAnsi="Verdana"/>
          <w:b/>
          <w:sz w:val="18"/>
          <w:szCs w:val="18"/>
        </w:rPr>
      </w:pPr>
      <w:bookmarkStart w:id="9" w:name="bookmark2"/>
      <w:r w:rsidRPr="00383392">
        <w:rPr>
          <w:rFonts w:ascii="Verdana" w:hAnsi="Verdana"/>
          <w:b/>
          <w:sz w:val="18"/>
          <w:szCs w:val="18"/>
        </w:rPr>
        <w:t xml:space="preserve">Realizacja celów polityki długu </w:t>
      </w:r>
      <w:bookmarkEnd w:id="9"/>
    </w:p>
    <w:p w:rsidR="000C0694" w:rsidRDefault="000C0694" w:rsidP="000C0694">
      <w:pPr>
        <w:jc w:val="both"/>
        <w:rPr>
          <w:rFonts w:ascii="Verdana" w:hAnsi="Verdana"/>
          <w:sz w:val="16"/>
          <w:szCs w:val="16"/>
        </w:rPr>
      </w:pPr>
      <w:r w:rsidRPr="00383392">
        <w:rPr>
          <w:rFonts w:ascii="Verdana" w:hAnsi="Verdana"/>
          <w:sz w:val="16"/>
          <w:szCs w:val="16"/>
        </w:rPr>
        <w:t xml:space="preserve">Zawarte w polityce długu cele zapewniają minimalizację </w:t>
      </w:r>
      <w:r>
        <w:rPr>
          <w:rFonts w:ascii="Verdana" w:hAnsi="Verdana"/>
          <w:sz w:val="16"/>
          <w:szCs w:val="16"/>
        </w:rPr>
        <w:t xml:space="preserve">kosztów i </w:t>
      </w:r>
      <w:r w:rsidRPr="00383392">
        <w:rPr>
          <w:rFonts w:ascii="Verdana" w:hAnsi="Verdana"/>
          <w:sz w:val="16"/>
          <w:szCs w:val="16"/>
        </w:rPr>
        <w:t>ryzyka związanego z zaciągniętym długiem. Wyznaczniki takiego ujęcia celów to:</w:t>
      </w:r>
    </w:p>
    <w:p w:rsidR="00876C2A" w:rsidRDefault="00876C2A" w:rsidP="00876C2A">
      <w:pPr>
        <w:spacing w:before="60"/>
        <w:ind w:left="284"/>
        <w:jc w:val="both"/>
      </w:pPr>
      <w:r>
        <w:rPr>
          <w:rFonts w:ascii="Verdana" w:hAnsi="Verdana"/>
          <w:sz w:val="16"/>
          <w:szCs w:val="16"/>
        </w:rPr>
        <w:t xml:space="preserve">- </w:t>
      </w:r>
      <w:r w:rsidRPr="00383392">
        <w:rPr>
          <w:rFonts w:ascii="Verdana" w:hAnsi="Verdana"/>
          <w:sz w:val="16"/>
          <w:szCs w:val="16"/>
        </w:rPr>
        <w:t xml:space="preserve">Oprocentowanie zobowiązań w min. 50% oparte na stawkach stałych w celu ograniczenia ryzyka wzrostu </w:t>
      </w:r>
      <w:r>
        <w:rPr>
          <w:rFonts w:ascii="Verdana" w:hAnsi="Verdana"/>
          <w:sz w:val="16"/>
          <w:szCs w:val="16"/>
        </w:rPr>
        <w:br/>
        <w:t xml:space="preserve">    </w:t>
      </w:r>
      <w:r w:rsidRPr="00383392">
        <w:rPr>
          <w:rFonts w:ascii="Verdana" w:hAnsi="Verdana"/>
          <w:sz w:val="16"/>
          <w:szCs w:val="16"/>
        </w:rPr>
        <w:t>kosztów odsetkowych.</w:t>
      </w:r>
    </w:p>
    <w:p w:rsidR="00876C2A" w:rsidRPr="00AE01C4" w:rsidRDefault="00876C2A" w:rsidP="00876C2A">
      <w:pPr>
        <w:spacing w:before="60"/>
        <w:ind w:left="284"/>
        <w:jc w:val="both"/>
        <w:rPr>
          <w:rFonts w:ascii="Verdana" w:hAnsi="Verdana"/>
          <w:sz w:val="16"/>
          <w:szCs w:val="16"/>
        </w:rPr>
      </w:pPr>
      <w:r>
        <w:rPr>
          <w:rFonts w:ascii="Verdana" w:hAnsi="Verdana"/>
          <w:sz w:val="16"/>
          <w:szCs w:val="16"/>
        </w:rPr>
        <w:t xml:space="preserve">- </w:t>
      </w:r>
      <w:r w:rsidRPr="00AE01C4">
        <w:rPr>
          <w:rFonts w:ascii="Verdana" w:hAnsi="Verdana"/>
          <w:sz w:val="16"/>
          <w:szCs w:val="16"/>
        </w:rPr>
        <w:t>Zadłużenie w walucie obcej stosowane tylko w przypadkach uzasadnionych</w:t>
      </w:r>
      <w:r>
        <w:rPr>
          <w:rFonts w:ascii="Verdana" w:hAnsi="Verdana"/>
          <w:sz w:val="16"/>
          <w:szCs w:val="16"/>
        </w:rPr>
        <w:t xml:space="preserve">, dokonywane tylko w euro </w:t>
      </w:r>
      <w:r>
        <w:rPr>
          <w:rFonts w:ascii="Verdana" w:hAnsi="Verdana"/>
          <w:sz w:val="16"/>
          <w:szCs w:val="16"/>
        </w:rPr>
        <w:br/>
        <w:t xml:space="preserve">    </w:t>
      </w:r>
      <w:r w:rsidRPr="00AE01C4">
        <w:rPr>
          <w:rFonts w:ascii="Verdana" w:hAnsi="Verdana"/>
          <w:sz w:val="16"/>
          <w:szCs w:val="16"/>
        </w:rPr>
        <w:t>i ograniczone do poziomu 25% całego zadłużenia</w:t>
      </w:r>
      <w:r>
        <w:rPr>
          <w:rFonts w:ascii="Verdana" w:hAnsi="Verdana"/>
          <w:sz w:val="16"/>
          <w:szCs w:val="16"/>
        </w:rPr>
        <w:t>.</w:t>
      </w:r>
      <w:r w:rsidRPr="00AE01C4">
        <w:rPr>
          <w:rFonts w:ascii="Verdana" w:hAnsi="Verdana"/>
          <w:sz w:val="16"/>
          <w:szCs w:val="16"/>
        </w:rPr>
        <w:t xml:space="preserve"> </w:t>
      </w:r>
    </w:p>
    <w:p w:rsidR="00876C2A" w:rsidRPr="00383392" w:rsidRDefault="00876C2A" w:rsidP="00876C2A">
      <w:pPr>
        <w:spacing w:before="60"/>
        <w:ind w:left="284"/>
        <w:jc w:val="both"/>
        <w:rPr>
          <w:rFonts w:ascii="Verdana" w:hAnsi="Verdana"/>
          <w:sz w:val="16"/>
          <w:szCs w:val="16"/>
        </w:rPr>
      </w:pPr>
      <w:r>
        <w:rPr>
          <w:rFonts w:ascii="Verdana" w:hAnsi="Verdana"/>
          <w:sz w:val="16"/>
          <w:szCs w:val="16"/>
        </w:rPr>
        <w:t xml:space="preserve">- </w:t>
      </w:r>
      <w:r w:rsidRPr="00383392">
        <w:rPr>
          <w:rFonts w:ascii="Verdana" w:hAnsi="Verdana"/>
          <w:sz w:val="16"/>
          <w:szCs w:val="16"/>
        </w:rPr>
        <w:t xml:space="preserve">Finansowanie oparte na tzw. „mix </w:t>
      </w:r>
      <w:proofErr w:type="spellStart"/>
      <w:r w:rsidRPr="00383392">
        <w:rPr>
          <w:rFonts w:ascii="Verdana" w:hAnsi="Verdana"/>
          <w:sz w:val="16"/>
          <w:szCs w:val="16"/>
        </w:rPr>
        <w:t>financing</w:t>
      </w:r>
      <w:proofErr w:type="spellEnd"/>
      <w:r w:rsidRPr="00383392">
        <w:rPr>
          <w:rFonts w:ascii="Verdana" w:hAnsi="Verdana"/>
          <w:sz w:val="16"/>
          <w:szCs w:val="16"/>
        </w:rPr>
        <w:t xml:space="preserve">”, pozwalającym na uzyskanie zmniejszenia ryzyka </w:t>
      </w:r>
      <w:r>
        <w:rPr>
          <w:rFonts w:ascii="Verdana" w:hAnsi="Verdana"/>
          <w:sz w:val="16"/>
          <w:szCs w:val="16"/>
        </w:rPr>
        <w:br/>
        <w:t xml:space="preserve">     </w:t>
      </w:r>
      <w:r w:rsidRPr="00383392">
        <w:rPr>
          <w:rFonts w:ascii="Verdana" w:hAnsi="Verdana"/>
          <w:sz w:val="16"/>
          <w:szCs w:val="16"/>
        </w:rPr>
        <w:t>refinansowania i obniżkę kosztów finansowania.</w:t>
      </w:r>
    </w:p>
    <w:p w:rsidR="00876C2A" w:rsidRPr="00383392" w:rsidRDefault="00876C2A" w:rsidP="00876C2A">
      <w:pPr>
        <w:spacing w:before="60"/>
        <w:ind w:left="284"/>
        <w:jc w:val="both"/>
        <w:rPr>
          <w:rFonts w:ascii="Verdana" w:hAnsi="Verdana"/>
          <w:sz w:val="16"/>
          <w:szCs w:val="16"/>
        </w:rPr>
      </w:pPr>
      <w:r>
        <w:rPr>
          <w:rFonts w:ascii="Verdana" w:hAnsi="Verdana"/>
          <w:sz w:val="16"/>
          <w:szCs w:val="16"/>
        </w:rPr>
        <w:t xml:space="preserve">- </w:t>
      </w:r>
      <w:r w:rsidRPr="00383392">
        <w:rPr>
          <w:rFonts w:ascii="Verdana" w:hAnsi="Verdana"/>
          <w:sz w:val="16"/>
          <w:szCs w:val="16"/>
        </w:rPr>
        <w:t>Utrzymywanie poziomu zadłużenia poniżej progu 50% rocznych dochodów budżetowych</w:t>
      </w:r>
      <w:r>
        <w:rPr>
          <w:rFonts w:ascii="Verdana" w:hAnsi="Verdana"/>
          <w:sz w:val="16"/>
          <w:szCs w:val="16"/>
        </w:rPr>
        <w:t>,</w:t>
      </w:r>
      <w:r w:rsidRPr="00383392">
        <w:rPr>
          <w:rFonts w:ascii="Verdana" w:hAnsi="Verdana"/>
          <w:sz w:val="16"/>
          <w:szCs w:val="16"/>
        </w:rPr>
        <w:t xml:space="preserve"> gwarantujące</w:t>
      </w:r>
      <w:r>
        <w:rPr>
          <w:rFonts w:ascii="Verdana" w:hAnsi="Verdana"/>
          <w:sz w:val="16"/>
          <w:szCs w:val="16"/>
        </w:rPr>
        <w:t>go</w:t>
      </w:r>
      <w:r w:rsidRPr="00383392">
        <w:rPr>
          <w:rFonts w:ascii="Verdana" w:hAnsi="Verdana"/>
          <w:sz w:val="16"/>
          <w:szCs w:val="16"/>
        </w:rPr>
        <w:t xml:space="preserve"> </w:t>
      </w:r>
      <w:r>
        <w:rPr>
          <w:rFonts w:ascii="Verdana" w:hAnsi="Verdana"/>
          <w:sz w:val="16"/>
          <w:szCs w:val="16"/>
        </w:rPr>
        <w:br/>
        <w:t xml:space="preserve">   </w:t>
      </w:r>
      <w:r w:rsidRPr="00383392">
        <w:rPr>
          <w:rFonts w:ascii="Verdana" w:hAnsi="Verdana"/>
          <w:sz w:val="16"/>
          <w:szCs w:val="16"/>
        </w:rPr>
        <w:t xml:space="preserve">bufor bezpieczeństwa. </w:t>
      </w:r>
    </w:p>
    <w:p w:rsidR="000C0694" w:rsidRDefault="000C0694" w:rsidP="000C0694">
      <w:pPr>
        <w:ind w:firstLine="567"/>
        <w:jc w:val="both"/>
        <w:rPr>
          <w:rFonts w:ascii="Verdana" w:hAnsi="Verdana"/>
          <w:sz w:val="16"/>
          <w:szCs w:val="16"/>
        </w:rPr>
      </w:pPr>
    </w:p>
    <w:p w:rsidR="000C0694" w:rsidRPr="00383392" w:rsidRDefault="000C0694" w:rsidP="000C0694">
      <w:pPr>
        <w:jc w:val="both"/>
        <w:rPr>
          <w:rFonts w:ascii="Verdana" w:hAnsi="Verdana"/>
          <w:sz w:val="18"/>
          <w:szCs w:val="18"/>
        </w:rPr>
      </w:pPr>
      <w:r w:rsidRPr="00383392">
        <w:rPr>
          <w:rFonts w:ascii="Verdana" w:hAnsi="Verdana"/>
          <w:sz w:val="16"/>
          <w:szCs w:val="16"/>
        </w:rPr>
        <w:t xml:space="preserve">Tabela 1 Przedstawia realizację celów polityki długu na koniec </w:t>
      </w:r>
      <w:r>
        <w:rPr>
          <w:rFonts w:ascii="Verdana" w:hAnsi="Verdana"/>
          <w:sz w:val="16"/>
          <w:szCs w:val="16"/>
        </w:rPr>
        <w:t>września</w:t>
      </w:r>
      <w:r w:rsidRPr="0056115D">
        <w:rPr>
          <w:rFonts w:ascii="Verdana" w:hAnsi="Verdana"/>
          <w:sz w:val="16"/>
          <w:szCs w:val="16"/>
        </w:rPr>
        <w:t xml:space="preserve"> 2021 r.</w:t>
      </w:r>
    </w:p>
    <w:p w:rsidR="000C0694" w:rsidRPr="00383392" w:rsidRDefault="000C0694" w:rsidP="000C0694">
      <w:pPr>
        <w:autoSpaceDE w:val="0"/>
        <w:autoSpaceDN w:val="0"/>
        <w:adjustRightInd w:val="0"/>
        <w:jc w:val="both"/>
        <w:rPr>
          <w:rFonts w:ascii="Verdana" w:hAnsi="Verdana" w:cs="Arial"/>
          <w:b/>
          <w:color w:val="000000"/>
          <w:sz w:val="14"/>
          <w:szCs w:val="14"/>
        </w:rPr>
      </w:pPr>
      <w:r w:rsidRPr="00383392">
        <w:rPr>
          <w:rFonts w:ascii="Verdana" w:hAnsi="Verdana" w:cs="Arial"/>
          <w:b/>
          <w:color w:val="000000"/>
          <w:sz w:val="14"/>
          <w:szCs w:val="14"/>
        </w:rPr>
        <w:t xml:space="preserve">TAB. 1 CELE POLITYKI DŁUGU </w:t>
      </w:r>
      <w:r w:rsidRPr="00383392">
        <w:rPr>
          <w:rFonts w:ascii="Verdana" w:hAnsi="Verdana"/>
          <w:b/>
          <w:sz w:val="14"/>
          <w:szCs w:val="14"/>
        </w:rPr>
        <w:t>M.ST. WARSZAWY</w:t>
      </w:r>
      <w:r w:rsidRPr="00383392">
        <w:rPr>
          <w:rFonts w:ascii="Verdana" w:hAnsi="Verdana" w:cs="Arial"/>
          <w:b/>
          <w:color w:val="000000"/>
          <w:sz w:val="14"/>
          <w:szCs w:val="14"/>
        </w:rPr>
        <w:t xml:space="preserve"> I POZIOM ICH REALIZACJI</w:t>
      </w:r>
    </w:p>
    <w:tbl>
      <w:tblPr>
        <w:tblW w:w="9086" w:type="dxa"/>
        <w:tblCellMar>
          <w:left w:w="70" w:type="dxa"/>
          <w:right w:w="70" w:type="dxa"/>
        </w:tblCellMar>
        <w:tblLook w:val="04A0" w:firstRow="1" w:lastRow="0" w:firstColumn="1" w:lastColumn="0" w:noHBand="0" w:noVBand="1"/>
      </w:tblPr>
      <w:tblGrid>
        <w:gridCol w:w="2162"/>
        <w:gridCol w:w="2037"/>
        <w:gridCol w:w="2209"/>
        <w:gridCol w:w="2678"/>
      </w:tblGrid>
      <w:tr w:rsidR="000C0694" w:rsidRPr="00383392" w:rsidTr="006A6052">
        <w:trPr>
          <w:trHeight w:val="296"/>
        </w:trPr>
        <w:tc>
          <w:tcPr>
            <w:tcW w:w="4199" w:type="dxa"/>
            <w:gridSpan w:val="2"/>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Wyszczególnienie</w:t>
            </w:r>
          </w:p>
        </w:tc>
        <w:tc>
          <w:tcPr>
            <w:tcW w:w="2209"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Cele</w:t>
            </w:r>
          </w:p>
        </w:tc>
        <w:tc>
          <w:tcPr>
            <w:tcW w:w="2678" w:type="dxa"/>
            <w:tcBorders>
              <w:top w:val="single" w:sz="4" w:space="0" w:color="auto"/>
              <w:left w:val="nil"/>
              <w:bottom w:val="nil"/>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Realizacja na.</w:t>
            </w:r>
          </w:p>
        </w:tc>
      </w:tr>
      <w:tr w:rsidR="000C0694" w:rsidRPr="00383392" w:rsidTr="006A6052">
        <w:trPr>
          <w:trHeight w:val="296"/>
        </w:trPr>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c>
          <w:tcPr>
            <w:tcW w:w="2678" w:type="dxa"/>
            <w:tcBorders>
              <w:top w:val="nil"/>
              <w:left w:val="nil"/>
              <w:bottom w:val="single" w:sz="4" w:space="0" w:color="auto"/>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30.0</w:t>
            </w:r>
            <w:r>
              <w:rPr>
                <w:rFonts w:ascii="Verdana" w:hAnsi="Verdana" w:cs="Calibri"/>
                <w:b/>
                <w:bCs/>
                <w:color w:val="000000"/>
                <w:sz w:val="16"/>
                <w:szCs w:val="16"/>
              </w:rPr>
              <w:t>9</w:t>
            </w:r>
            <w:r w:rsidRPr="00383392">
              <w:rPr>
                <w:rFonts w:ascii="Verdana" w:hAnsi="Verdana" w:cs="Calibri"/>
                <w:b/>
                <w:bCs/>
                <w:color w:val="000000"/>
                <w:sz w:val="16"/>
                <w:szCs w:val="16"/>
              </w:rPr>
              <w:t>.202</w:t>
            </w:r>
            <w:r>
              <w:rPr>
                <w:rFonts w:ascii="Verdana" w:hAnsi="Verdana" w:cs="Calibri"/>
                <w:b/>
                <w:bCs/>
                <w:color w:val="000000"/>
                <w:sz w:val="16"/>
                <w:szCs w:val="16"/>
              </w:rPr>
              <w:t>1</w:t>
            </w:r>
            <w:r w:rsidRPr="00383392">
              <w:rPr>
                <w:rFonts w:ascii="Verdana" w:hAnsi="Verdana" w:cs="Calibri"/>
                <w:b/>
                <w:bCs/>
                <w:color w:val="000000"/>
                <w:sz w:val="16"/>
                <w:szCs w:val="16"/>
              </w:rPr>
              <w:t xml:space="preserve"> r.</w:t>
            </w:r>
          </w:p>
        </w:tc>
      </w:tr>
      <w:tr w:rsidR="000C0694" w:rsidRPr="00383392" w:rsidTr="006A6052">
        <w:trPr>
          <w:trHeight w:val="414"/>
        </w:trPr>
        <w:tc>
          <w:tcPr>
            <w:tcW w:w="4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Oprocentowanie:</w:t>
            </w:r>
          </w:p>
        </w:tc>
        <w:tc>
          <w:tcPr>
            <w:tcW w:w="2209"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oprocentowanie stałe; co najmniej 50%</w:t>
            </w:r>
          </w:p>
        </w:tc>
        <w:tc>
          <w:tcPr>
            <w:tcW w:w="2678"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72,3</w:t>
            </w:r>
            <w:r w:rsidRPr="00383392">
              <w:rPr>
                <w:rFonts w:ascii="Verdana" w:hAnsi="Verdana" w:cs="Calibri"/>
                <w:sz w:val="16"/>
                <w:szCs w:val="16"/>
              </w:rPr>
              <w:t>%</w:t>
            </w:r>
          </w:p>
        </w:tc>
      </w:tr>
      <w:tr w:rsidR="000C0694" w:rsidRPr="00383392" w:rsidTr="006A6052">
        <w:trPr>
          <w:trHeight w:val="414"/>
        </w:trPr>
        <w:tc>
          <w:tcPr>
            <w:tcW w:w="41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Zadłużenie w walucie</w:t>
            </w:r>
            <w:r>
              <w:rPr>
                <w:rFonts w:ascii="Verdana" w:hAnsi="Verdana" w:cs="Calibri"/>
                <w:b/>
                <w:bCs/>
                <w:color w:val="000000"/>
                <w:sz w:val="16"/>
                <w:szCs w:val="16"/>
              </w:rPr>
              <w:t xml:space="preserve"> obcej</w:t>
            </w:r>
            <w:r w:rsidRPr="00383392">
              <w:rPr>
                <w:rFonts w:ascii="Verdana" w:hAnsi="Verdana" w:cs="Calibri"/>
                <w:b/>
                <w:bCs/>
                <w:color w:val="000000"/>
                <w:sz w:val="16"/>
                <w:szCs w:val="16"/>
              </w:rPr>
              <w:t>:</w:t>
            </w:r>
          </w:p>
        </w:tc>
        <w:tc>
          <w:tcPr>
            <w:tcW w:w="2209" w:type="dxa"/>
            <w:tcBorders>
              <w:top w:val="nil"/>
              <w:left w:val="nil"/>
              <w:bottom w:val="nil"/>
              <w:right w:val="single" w:sz="4" w:space="0" w:color="auto"/>
            </w:tcBorders>
            <w:shd w:val="clear" w:color="auto" w:fill="auto"/>
            <w:vAlign w:val="center"/>
            <w:hideMark/>
          </w:tcPr>
          <w:p w:rsidR="000C0694" w:rsidRPr="00383392" w:rsidRDefault="000C0694" w:rsidP="006A6052">
            <w:pPr>
              <w:jc w:val="center"/>
              <w:rPr>
                <w:rFonts w:ascii="Verdana" w:hAnsi="Verdana" w:cs="Calibri"/>
                <w:color w:val="000000"/>
                <w:sz w:val="16"/>
                <w:szCs w:val="16"/>
              </w:rPr>
            </w:pPr>
            <w:r>
              <w:rPr>
                <w:rFonts w:ascii="Verdana" w:hAnsi="Verdana" w:cs="Calibri"/>
                <w:color w:val="000000"/>
                <w:sz w:val="16"/>
                <w:szCs w:val="16"/>
              </w:rPr>
              <w:t xml:space="preserve"> ograniczone, </w:t>
            </w:r>
            <w:r w:rsidRPr="00383392">
              <w:rPr>
                <w:rFonts w:ascii="Verdana" w:hAnsi="Verdana" w:cs="Calibri"/>
                <w:color w:val="000000"/>
                <w:sz w:val="16"/>
                <w:szCs w:val="16"/>
              </w:rPr>
              <w:t>stosowane tylko</w:t>
            </w:r>
          </w:p>
        </w:tc>
        <w:tc>
          <w:tcPr>
            <w:tcW w:w="2678" w:type="dxa"/>
            <w:vMerge w:val="restart"/>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4,9</w:t>
            </w:r>
            <w:r w:rsidRPr="00383392">
              <w:rPr>
                <w:rFonts w:ascii="Verdana" w:hAnsi="Verdana" w:cs="Calibri"/>
                <w:sz w:val="16"/>
                <w:szCs w:val="16"/>
              </w:rPr>
              <w:t>%</w:t>
            </w:r>
          </w:p>
        </w:tc>
      </w:tr>
      <w:tr w:rsidR="000C0694" w:rsidRPr="00383392" w:rsidTr="006A6052">
        <w:trPr>
          <w:trHeight w:val="414"/>
        </w:trPr>
        <w:tc>
          <w:tcPr>
            <w:tcW w:w="4199" w:type="dxa"/>
            <w:gridSpan w:val="2"/>
            <w:vMerge/>
            <w:tcBorders>
              <w:top w:val="single" w:sz="4" w:space="0" w:color="auto"/>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c>
          <w:tcPr>
            <w:tcW w:w="2209"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w sytuacjach uzasadnionych</w:t>
            </w:r>
            <w:r>
              <w:rPr>
                <w:rFonts w:ascii="Verdana" w:hAnsi="Verdana" w:cs="Calibri"/>
                <w:color w:val="000000"/>
                <w:sz w:val="16"/>
                <w:szCs w:val="16"/>
              </w:rPr>
              <w:t>, max. 25% zadłużenia ogółem</w:t>
            </w:r>
          </w:p>
        </w:tc>
        <w:tc>
          <w:tcPr>
            <w:tcW w:w="2678" w:type="dxa"/>
            <w:vMerge/>
            <w:tcBorders>
              <w:top w:val="nil"/>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sz w:val="16"/>
                <w:szCs w:val="16"/>
              </w:rPr>
            </w:pPr>
          </w:p>
        </w:tc>
      </w:tr>
      <w:tr w:rsidR="000C0694" w:rsidRPr="00383392" w:rsidTr="006A6052">
        <w:trPr>
          <w:trHeight w:val="488"/>
        </w:trPr>
        <w:tc>
          <w:tcPr>
            <w:tcW w:w="2162" w:type="dxa"/>
            <w:vMerge w:val="restart"/>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Zadłużenie z tytułu:</w:t>
            </w:r>
          </w:p>
        </w:tc>
        <w:tc>
          <w:tcPr>
            <w:tcW w:w="2037" w:type="dxa"/>
            <w:tcBorders>
              <w:top w:val="nil"/>
              <w:left w:val="nil"/>
              <w:bottom w:val="single" w:sz="4" w:space="0" w:color="auto"/>
              <w:right w:val="single" w:sz="4" w:space="0" w:color="auto"/>
            </w:tcBorders>
            <w:shd w:val="clear" w:color="auto" w:fill="auto"/>
            <w:noWrap/>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obligacji</w:t>
            </w:r>
          </w:p>
        </w:tc>
        <w:tc>
          <w:tcPr>
            <w:tcW w:w="2209" w:type="dxa"/>
            <w:vMerge w:val="restart"/>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 xml:space="preserve">uzyskanie optymalnej struktury zadłużenia w ramach mix </w:t>
            </w:r>
            <w:proofErr w:type="spellStart"/>
            <w:r w:rsidRPr="00383392">
              <w:rPr>
                <w:rFonts w:ascii="Verdana" w:hAnsi="Verdana" w:cs="Calibri"/>
                <w:color w:val="000000"/>
                <w:sz w:val="16"/>
                <w:szCs w:val="16"/>
              </w:rPr>
              <w:t>financing</w:t>
            </w:r>
            <w:proofErr w:type="spellEnd"/>
          </w:p>
        </w:tc>
        <w:tc>
          <w:tcPr>
            <w:tcW w:w="2678" w:type="dxa"/>
            <w:tcBorders>
              <w:top w:val="nil"/>
              <w:left w:val="nil"/>
              <w:bottom w:val="single" w:sz="4" w:space="0" w:color="auto"/>
              <w:right w:val="single" w:sz="4" w:space="0" w:color="auto"/>
            </w:tcBorders>
            <w:shd w:val="clear" w:color="auto" w:fill="auto"/>
            <w:noWrap/>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18,0</w:t>
            </w:r>
            <w:r w:rsidRPr="00383392">
              <w:rPr>
                <w:rFonts w:ascii="Verdana" w:hAnsi="Verdana" w:cs="Calibri"/>
                <w:sz w:val="16"/>
                <w:szCs w:val="16"/>
              </w:rPr>
              <w:t>%</w:t>
            </w:r>
          </w:p>
        </w:tc>
      </w:tr>
      <w:tr w:rsidR="000C0694" w:rsidRPr="00383392" w:rsidTr="006A6052">
        <w:trPr>
          <w:trHeight w:val="533"/>
        </w:trPr>
        <w:tc>
          <w:tcPr>
            <w:tcW w:w="2162" w:type="dxa"/>
            <w:vMerge/>
            <w:tcBorders>
              <w:top w:val="nil"/>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c>
          <w:tcPr>
            <w:tcW w:w="2037" w:type="dxa"/>
            <w:tcBorders>
              <w:top w:val="nil"/>
              <w:left w:val="nil"/>
              <w:bottom w:val="single" w:sz="4" w:space="0" w:color="auto"/>
              <w:right w:val="single" w:sz="4" w:space="0" w:color="auto"/>
            </w:tcBorders>
            <w:shd w:val="clear" w:color="auto" w:fill="auto"/>
            <w:noWrap/>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kredytów i pożyczek</w:t>
            </w:r>
          </w:p>
        </w:tc>
        <w:tc>
          <w:tcPr>
            <w:tcW w:w="2209" w:type="dxa"/>
            <w:vMerge/>
            <w:tcBorders>
              <w:top w:val="nil"/>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color w:val="000000"/>
                <w:sz w:val="16"/>
                <w:szCs w:val="16"/>
              </w:rPr>
            </w:pPr>
          </w:p>
        </w:tc>
        <w:tc>
          <w:tcPr>
            <w:tcW w:w="2678" w:type="dxa"/>
            <w:tcBorders>
              <w:top w:val="nil"/>
              <w:left w:val="nil"/>
              <w:bottom w:val="single" w:sz="4" w:space="0" w:color="auto"/>
              <w:right w:val="single" w:sz="4" w:space="0" w:color="auto"/>
            </w:tcBorders>
            <w:shd w:val="clear" w:color="auto" w:fill="auto"/>
            <w:noWrap/>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82,0</w:t>
            </w:r>
            <w:r w:rsidRPr="00383392">
              <w:rPr>
                <w:rFonts w:ascii="Verdana" w:hAnsi="Verdana" w:cs="Calibri"/>
                <w:sz w:val="16"/>
                <w:szCs w:val="16"/>
              </w:rPr>
              <w:t>%</w:t>
            </w:r>
          </w:p>
        </w:tc>
      </w:tr>
      <w:tr w:rsidR="000C0694" w:rsidRPr="00383392" w:rsidTr="006A6052">
        <w:trPr>
          <w:trHeight w:val="503"/>
        </w:trPr>
        <w:tc>
          <w:tcPr>
            <w:tcW w:w="4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Relacja stanu zadłużenia/dochodów ogółem</w:t>
            </w:r>
          </w:p>
        </w:tc>
        <w:tc>
          <w:tcPr>
            <w:tcW w:w="2209"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color w:val="000000"/>
                <w:sz w:val="16"/>
                <w:szCs w:val="16"/>
              </w:rPr>
            </w:pPr>
            <w:r w:rsidRPr="00383392">
              <w:rPr>
                <w:rFonts w:ascii="Verdana" w:hAnsi="Verdana" w:cs="Calibri"/>
                <w:color w:val="000000"/>
                <w:sz w:val="16"/>
                <w:szCs w:val="16"/>
              </w:rPr>
              <w:t>Poniżej 50%</w:t>
            </w:r>
          </w:p>
        </w:tc>
        <w:tc>
          <w:tcPr>
            <w:tcW w:w="2678"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sidRPr="00383392">
              <w:rPr>
                <w:rFonts w:ascii="Verdana" w:hAnsi="Verdana" w:cs="Calibri"/>
                <w:sz w:val="16"/>
                <w:szCs w:val="16"/>
              </w:rPr>
              <w:t>2</w:t>
            </w:r>
            <w:r>
              <w:rPr>
                <w:rFonts w:ascii="Verdana" w:hAnsi="Verdana" w:cs="Calibri"/>
                <w:sz w:val="16"/>
                <w:szCs w:val="16"/>
              </w:rPr>
              <w:t>6,4</w:t>
            </w:r>
            <w:r w:rsidRPr="00383392">
              <w:rPr>
                <w:rFonts w:ascii="Verdana" w:hAnsi="Verdana" w:cs="Calibri"/>
                <w:sz w:val="16"/>
                <w:szCs w:val="16"/>
              </w:rPr>
              <w:t>%</w:t>
            </w:r>
          </w:p>
        </w:tc>
      </w:tr>
    </w:tbl>
    <w:p w:rsidR="00876C2A" w:rsidRDefault="00876C2A" w:rsidP="000C0694">
      <w:pPr>
        <w:jc w:val="both"/>
        <w:rPr>
          <w:rFonts w:ascii="Verdana" w:hAnsi="Verdana"/>
          <w:sz w:val="16"/>
          <w:szCs w:val="16"/>
        </w:rPr>
      </w:pPr>
      <w:r>
        <w:rPr>
          <w:rFonts w:ascii="Verdana" w:hAnsi="Verdana"/>
          <w:sz w:val="16"/>
          <w:szCs w:val="16"/>
        </w:rPr>
        <w:br w:type="page"/>
      </w:r>
    </w:p>
    <w:p w:rsidR="000C0694" w:rsidRDefault="000C0694" w:rsidP="00876C2A">
      <w:pPr>
        <w:spacing w:after="120"/>
        <w:jc w:val="both"/>
        <w:rPr>
          <w:rFonts w:ascii="Verdana" w:hAnsi="Verdana"/>
          <w:sz w:val="16"/>
          <w:szCs w:val="16"/>
        </w:rPr>
      </w:pPr>
      <w:r w:rsidRPr="00383392">
        <w:rPr>
          <w:rFonts w:ascii="Verdana" w:hAnsi="Verdana"/>
          <w:sz w:val="16"/>
          <w:szCs w:val="16"/>
        </w:rPr>
        <w:lastRenderedPageBreak/>
        <w:t>Strukturę zobowiązań dłużnych m.st. Warszawy według instrumentów przedstawia tabela 2.</w:t>
      </w:r>
    </w:p>
    <w:p w:rsidR="000C0694" w:rsidRPr="00383392" w:rsidRDefault="000C0694" w:rsidP="000C0694">
      <w:pPr>
        <w:jc w:val="both"/>
        <w:rPr>
          <w:rFonts w:ascii="Verdana" w:hAnsi="Verdana" w:cs="Arial"/>
          <w:sz w:val="14"/>
          <w:szCs w:val="14"/>
        </w:rPr>
      </w:pPr>
      <w:r w:rsidRPr="00383392">
        <w:rPr>
          <w:rFonts w:ascii="Verdana" w:hAnsi="Verdana" w:cs="Arial"/>
          <w:b/>
          <w:sz w:val="14"/>
          <w:szCs w:val="14"/>
        </w:rPr>
        <w:t xml:space="preserve">TAB. 2 STRUKTURA ZADŁUŻENIA </w:t>
      </w:r>
      <w:r w:rsidRPr="00383392">
        <w:rPr>
          <w:rFonts w:ascii="Verdana" w:hAnsi="Verdana"/>
          <w:b/>
          <w:sz w:val="14"/>
          <w:szCs w:val="14"/>
        </w:rPr>
        <w:t>M.ST. WARSZAWY</w:t>
      </w:r>
      <w:r w:rsidRPr="00383392">
        <w:rPr>
          <w:rFonts w:ascii="Verdana" w:hAnsi="Verdana" w:cs="Arial"/>
          <w:b/>
          <w:sz w:val="14"/>
          <w:szCs w:val="14"/>
        </w:rPr>
        <w:t xml:space="preserve"> NA </w:t>
      </w:r>
      <w:r w:rsidRPr="0056115D">
        <w:rPr>
          <w:rFonts w:ascii="Verdana" w:hAnsi="Verdana" w:cs="Arial"/>
          <w:b/>
          <w:sz w:val="14"/>
          <w:szCs w:val="14"/>
        </w:rPr>
        <w:t>30.0</w:t>
      </w:r>
      <w:r>
        <w:rPr>
          <w:rFonts w:ascii="Verdana" w:hAnsi="Verdana" w:cs="Arial"/>
          <w:b/>
          <w:sz w:val="14"/>
          <w:szCs w:val="14"/>
        </w:rPr>
        <w:t>9</w:t>
      </w:r>
      <w:r w:rsidRPr="0056115D">
        <w:rPr>
          <w:rFonts w:ascii="Verdana" w:hAnsi="Verdana" w:cs="Arial"/>
          <w:b/>
          <w:sz w:val="14"/>
          <w:szCs w:val="14"/>
        </w:rPr>
        <w:t>.2021</w:t>
      </w:r>
      <w:r w:rsidRPr="00383392">
        <w:rPr>
          <w:rFonts w:ascii="Verdana" w:hAnsi="Verdana" w:cs="Arial"/>
          <w:b/>
          <w:sz w:val="14"/>
          <w:szCs w:val="14"/>
        </w:rPr>
        <w:t xml:space="preserve"> R. </w:t>
      </w:r>
      <w:r w:rsidRPr="00383392">
        <w:rPr>
          <w:rFonts w:ascii="Verdana" w:hAnsi="Verdana" w:cs="Arial"/>
          <w:sz w:val="14"/>
          <w:szCs w:val="14"/>
        </w:rPr>
        <w:t>[w mln zł]</w:t>
      </w:r>
    </w:p>
    <w:tbl>
      <w:tblPr>
        <w:tblW w:w="9002" w:type="dxa"/>
        <w:tblCellMar>
          <w:left w:w="70" w:type="dxa"/>
          <w:right w:w="70" w:type="dxa"/>
        </w:tblCellMar>
        <w:tblLook w:val="04A0" w:firstRow="1" w:lastRow="0" w:firstColumn="1" w:lastColumn="0" w:noHBand="0" w:noVBand="1"/>
      </w:tblPr>
      <w:tblGrid>
        <w:gridCol w:w="3036"/>
        <w:gridCol w:w="3172"/>
        <w:gridCol w:w="2794"/>
      </w:tblGrid>
      <w:tr w:rsidR="000C0694" w:rsidRPr="00383392" w:rsidTr="006A6052">
        <w:trPr>
          <w:trHeight w:val="295"/>
        </w:trPr>
        <w:tc>
          <w:tcPr>
            <w:tcW w:w="3036"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Wyszczególnienie</w:t>
            </w:r>
          </w:p>
        </w:tc>
        <w:tc>
          <w:tcPr>
            <w:tcW w:w="3172" w:type="dxa"/>
            <w:tcBorders>
              <w:top w:val="single" w:sz="4" w:space="0" w:color="auto"/>
              <w:left w:val="nil"/>
              <w:bottom w:val="nil"/>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 xml:space="preserve">Stan na </w:t>
            </w:r>
          </w:p>
        </w:tc>
        <w:tc>
          <w:tcPr>
            <w:tcW w:w="2794"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Udział % w długu</w:t>
            </w:r>
          </w:p>
        </w:tc>
      </w:tr>
      <w:tr w:rsidR="000C0694" w:rsidRPr="00383392" w:rsidTr="006A6052">
        <w:trPr>
          <w:trHeight w:val="295"/>
        </w:trPr>
        <w:tc>
          <w:tcPr>
            <w:tcW w:w="3036" w:type="dxa"/>
            <w:vMerge/>
            <w:tcBorders>
              <w:top w:val="single" w:sz="4" w:space="0" w:color="auto"/>
              <w:left w:val="single" w:sz="4" w:space="0" w:color="auto"/>
              <w:bottom w:val="single" w:sz="4" w:space="0" w:color="auto"/>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c>
          <w:tcPr>
            <w:tcW w:w="3172" w:type="dxa"/>
            <w:tcBorders>
              <w:top w:val="nil"/>
              <w:left w:val="nil"/>
              <w:bottom w:val="single" w:sz="4" w:space="0" w:color="auto"/>
              <w:right w:val="single" w:sz="4" w:space="0" w:color="auto"/>
            </w:tcBorders>
            <w:shd w:val="clear" w:color="000000" w:fill="C5D9F1"/>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30.0</w:t>
            </w:r>
            <w:r>
              <w:rPr>
                <w:rFonts w:ascii="Verdana" w:hAnsi="Verdana" w:cs="Calibri"/>
                <w:b/>
                <w:bCs/>
                <w:color w:val="000000"/>
                <w:sz w:val="16"/>
                <w:szCs w:val="16"/>
              </w:rPr>
              <w:t>9</w:t>
            </w:r>
            <w:r w:rsidRPr="00383392">
              <w:rPr>
                <w:rFonts w:ascii="Verdana" w:hAnsi="Verdana" w:cs="Calibri"/>
                <w:b/>
                <w:bCs/>
                <w:color w:val="000000"/>
                <w:sz w:val="16"/>
                <w:szCs w:val="16"/>
              </w:rPr>
              <w:t>.20</w:t>
            </w:r>
            <w:r>
              <w:rPr>
                <w:rFonts w:ascii="Verdana" w:hAnsi="Verdana" w:cs="Calibri"/>
                <w:b/>
                <w:bCs/>
                <w:color w:val="000000"/>
                <w:sz w:val="16"/>
                <w:szCs w:val="16"/>
              </w:rPr>
              <w:t>21</w:t>
            </w:r>
            <w:r w:rsidRPr="00383392">
              <w:rPr>
                <w:rFonts w:ascii="Verdana" w:hAnsi="Verdana" w:cs="Calibri"/>
                <w:b/>
                <w:bCs/>
                <w:color w:val="000000"/>
                <w:sz w:val="16"/>
                <w:szCs w:val="16"/>
              </w:rPr>
              <w:t xml:space="preserve"> r.</w:t>
            </w:r>
          </w:p>
        </w:tc>
        <w:tc>
          <w:tcPr>
            <w:tcW w:w="2794" w:type="dxa"/>
            <w:vMerge/>
            <w:tcBorders>
              <w:top w:val="single" w:sz="4" w:space="0" w:color="auto"/>
              <w:left w:val="single" w:sz="4" w:space="0" w:color="auto"/>
              <w:bottom w:val="single" w:sz="4" w:space="0" w:color="000000"/>
              <w:right w:val="single" w:sz="4" w:space="0" w:color="auto"/>
            </w:tcBorders>
            <w:vAlign w:val="center"/>
            <w:hideMark/>
          </w:tcPr>
          <w:p w:rsidR="000C0694" w:rsidRPr="00383392" w:rsidRDefault="000C0694" w:rsidP="006A6052">
            <w:pPr>
              <w:rPr>
                <w:rFonts w:ascii="Verdana" w:hAnsi="Verdana" w:cs="Calibri"/>
                <w:b/>
                <w:bCs/>
                <w:color w:val="000000"/>
                <w:sz w:val="16"/>
                <w:szCs w:val="16"/>
              </w:rPr>
            </w:pPr>
          </w:p>
        </w:tc>
      </w:tr>
      <w:tr w:rsidR="000C0694" w:rsidRPr="00383392" w:rsidTr="006A6052">
        <w:trPr>
          <w:trHeight w:val="295"/>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Kredyty i pożyczki</w:t>
            </w:r>
          </w:p>
        </w:tc>
        <w:tc>
          <w:tcPr>
            <w:tcW w:w="3172"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4 348,4</w:t>
            </w:r>
          </w:p>
        </w:tc>
        <w:tc>
          <w:tcPr>
            <w:tcW w:w="2794"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82,0</w:t>
            </w:r>
          </w:p>
        </w:tc>
      </w:tr>
      <w:tr w:rsidR="000C0694" w:rsidRPr="00383392" w:rsidTr="006A6052">
        <w:trPr>
          <w:trHeight w:val="295"/>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Obligacje</w:t>
            </w:r>
          </w:p>
        </w:tc>
        <w:tc>
          <w:tcPr>
            <w:tcW w:w="3172"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951,6</w:t>
            </w:r>
          </w:p>
        </w:tc>
        <w:tc>
          <w:tcPr>
            <w:tcW w:w="2794"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18,0</w:t>
            </w:r>
          </w:p>
        </w:tc>
      </w:tr>
      <w:tr w:rsidR="000C0694" w:rsidRPr="00383392" w:rsidTr="006A6052">
        <w:trPr>
          <w:trHeight w:val="295"/>
        </w:trPr>
        <w:tc>
          <w:tcPr>
            <w:tcW w:w="3036" w:type="dxa"/>
            <w:tcBorders>
              <w:top w:val="nil"/>
              <w:left w:val="single" w:sz="4" w:space="0" w:color="auto"/>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b/>
                <w:bCs/>
                <w:color w:val="000000"/>
                <w:sz w:val="16"/>
                <w:szCs w:val="16"/>
              </w:rPr>
            </w:pPr>
            <w:r w:rsidRPr="00383392">
              <w:rPr>
                <w:rFonts w:ascii="Verdana" w:hAnsi="Verdana" w:cs="Calibri"/>
                <w:b/>
                <w:bCs/>
                <w:color w:val="000000"/>
                <w:sz w:val="16"/>
                <w:szCs w:val="16"/>
              </w:rPr>
              <w:t>Zadłużenie ogółem</w:t>
            </w:r>
          </w:p>
        </w:tc>
        <w:tc>
          <w:tcPr>
            <w:tcW w:w="3172"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Pr>
                <w:rFonts w:ascii="Verdana" w:hAnsi="Verdana" w:cs="Calibri"/>
                <w:sz w:val="16"/>
                <w:szCs w:val="16"/>
              </w:rPr>
              <w:t>5 299,9</w:t>
            </w:r>
          </w:p>
        </w:tc>
        <w:tc>
          <w:tcPr>
            <w:tcW w:w="2794" w:type="dxa"/>
            <w:tcBorders>
              <w:top w:val="nil"/>
              <w:left w:val="nil"/>
              <w:bottom w:val="single" w:sz="4" w:space="0" w:color="auto"/>
              <w:right w:val="single" w:sz="4" w:space="0" w:color="auto"/>
            </w:tcBorders>
            <w:shd w:val="clear" w:color="auto" w:fill="auto"/>
            <w:vAlign w:val="center"/>
            <w:hideMark/>
          </w:tcPr>
          <w:p w:rsidR="000C0694" w:rsidRPr="00383392" w:rsidRDefault="000C0694" w:rsidP="006A6052">
            <w:pPr>
              <w:jc w:val="center"/>
              <w:rPr>
                <w:rFonts w:ascii="Verdana" w:hAnsi="Verdana" w:cs="Calibri"/>
                <w:sz w:val="16"/>
                <w:szCs w:val="16"/>
              </w:rPr>
            </w:pPr>
            <w:r w:rsidRPr="00383392">
              <w:rPr>
                <w:rFonts w:ascii="Verdana" w:hAnsi="Verdana" w:cs="Calibri"/>
                <w:sz w:val="16"/>
                <w:szCs w:val="16"/>
              </w:rPr>
              <w:t>100,0</w:t>
            </w:r>
          </w:p>
        </w:tc>
      </w:tr>
    </w:tbl>
    <w:p w:rsidR="000C0694" w:rsidRPr="00383392" w:rsidRDefault="000C0694" w:rsidP="000C0694">
      <w:pPr>
        <w:jc w:val="both"/>
        <w:rPr>
          <w:rFonts w:ascii="Verdana" w:hAnsi="Verdana"/>
          <w:sz w:val="18"/>
          <w:szCs w:val="18"/>
        </w:rPr>
      </w:pPr>
    </w:p>
    <w:p w:rsidR="000C0694" w:rsidRDefault="000C0694" w:rsidP="000C0694">
      <w:pPr>
        <w:jc w:val="both"/>
        <w:rPr>
          <w:rFonts w:ascii="Verdana" w:hAnsi="Verdana"/>
          <w:sz w:val="16"/>
          <w:szCs w:val="16"/>
        </w:rPr>
      </w:pPr>
      <w:r w:rsidRPr="00383392">
        <w:rPr>
          <w:rFonts w:ascii="Verdana" w:hAnsi="Verdana"/>
          <w:sz w:val="16"/>
          <w:szCs w:val="16"/>
        </w:rPr>
        <w:t xml:space="preserve">W pierwszych </w:t>
      </w:r>
      <w:r>
        <w:rPr>
          <w:rFonts w:ascii="Verdana" w:hAnsi="Verdana"/>
          <w:sz w:val="16"/>
          <w:szCs w:val="16"/>
        </w:rPr>
        <w:t>9</w:t>
      </w:r>
      <w:r w:rsidRPr="00383392">
        <w:rPr>
          <w:rFonts w:ascii="Verdana" w:hAnsi="Verdana"/>
          <w:sz w:val="16"/>
          <w:szCs w:val="16"/>
        </w:rPr>
        <w:t xml:space="preserve"> miesiącach 202</w:t>
      </w:r>
      <w:r>
        <w:rPr>
          <w:rFonts w:ascii="Verdana" w:hAnsi="Verdana"/>
          <w:sz w:val="16"/>
          <w:szCs w:val="16"/>
        </w:rPr>
        <w:t>1</w:t>
      </w:r>
      <w:r w:rsidRPr="00383392">
        <w:rPr>
          <w:rFonts w:ascii="Verdana" w:hAnsi="Verdana"/>
          <w:sz w:val="16"/>
          <w:szCs w:val="16"/>
        </w:rPr>
        <w:t xml:space="preserve"> r. koszty odsetkowe Miasta wyniosły </w:t>
      </w:r>
      <w:r>
        <w:rPr>
          <w:rFonts w:ascii="Verdana" w:hAnsi="Verdana"/>
          <w:sz w:val="16"/>
          <w:szCs w:val="16"/>
        </w:rPr>
        <w:t>91,2</w:t>
      </w:r>
      <w:r w:rsidRPr="00383392">
        <w:rPr>
          <w:rFonts w:ascii="Verdana" w:hAnsi="Verdana"/>
          <w:sz w:val="16"/>
          <w:szCs w:val="16"/>
        </w:rPr>
        <w:t xml:space="preserve"> mln zł. Płatności z tytułu poręczeń </w:t>
      </w:r>
      <w:r>
        <w:rPr>
          <w:rFonts w:ascii="Verdana" w:hAnsi="Verdana"/>
          <w:sz w:val="16"/>
          <w:szCs w:val="16"/>
        </w:rPr>
        <w:br/>
      </w:r>
      <w:r w:rsidRPr="00383392">
        <w:rPr>
          <w:rFonts w:ascii="Verdana" w:hAnsi="Verdana"/>
          <w:sz w:val="16"/>
          <w:szCs w:val="16"/>
        </w:rPr>
        <w:t xml:space="preserve">i gwarancji nie występowały. Spłata kapitału w omawianym okresie wyniosła </w:t>
      </w:r>
      <w:r>
        <w:rPr>
          <w:rFonts w:ascii="Verdana" w:hAnsi="Verdana"/>
          <w:sz w:val="16"/>
          <w:szCs w:val="16"/>
        </w:rPr>
        <w:t>362,6</w:t>
      </w:r>
      <w:r w:rsidRPr="00383392">
        <w:rPr>
          <w:rFonts w:ascii="Verdana" w:hAnsi="Verdana"/>
          <w:sz w:val="16"/>
          <w:szCs w:val="16"/>
        </w:rPr>
        <w:t xml:space="preserve"> mln zł.</w:t>
      </w:r>
    </w:p>
    <w:p w:rsidR="000C0694" w:rsidRPr="00383392" w:rsidRDefault="000C0694" w:rsidP="000C0694">
      <w:pPr>
        <w:jc w:val="both"/>
        <w:rPr>
          <w:rFonts w:ascii="Verdana" w:hAnsi="Verdana"/>
          <w:sz w:val="16"/>
          <w:szCs w:val="16"/>
        </w:rPr>
      </w:pPr>
    </w:p>
    <w:p w:rsidR="000C0694" w:rsidRPr="006D04B6" w:rsidRDefault="000C0694" w:rsidP="000C0694">
      <w:pPr>
        <w:spacing w:before="360" w:line="312" w:lineRule="auto"/>
        <w:rPr>
          <w:rFonts w:ascii="Verdana" w:hAnsi="Verdana"/>
          <w:b/>
        </w:rPr>
      </w:pPr>
      <w:bookmarkStart w:id="10" w:name="bookmark3"/>
      <w:r>
        <w:rPr>
          <w:rFonts w:ascii="Verdana" w:hAnsi="Verdana"/>
          <w:b/>
        </w:rPr>
        <w:t xml:space="preserve">3. </w:t>
      </w:r>
      <w:r w:rsidRPr="006D04B6">
        <w:rPr>
          <w:rFonts w:ascii="Verdana" w:hAnsi="Verdana"/>
          <w:b/>
        </w:rPr>
        <w:t>Wsparcie możliwości inwestycyjnych Miasta środkami zwrotnymi</w:t>
      </w:r>
      <w:bookmarkEnd w:id="10"/>
      <w:r w:rsidRPr="006D04B6">
        <w:rPr>
          <w:rFonts w:ascii="Verdana" w:hAnsi="Verdana"/>
          <w:iCs/>
          <w:sz w:val="18"/>
          <w:szCs w:val="18"/>
        </w:rPr>
        <w:t xml:space="preserve"> </w:t>
      </w:r>
    </w:p>
    <w:p w:rsidR="000C0694" w:rsidRPr="00383392" w:rsidRDefault="000C0694" w:rsidP="000C0694">
      <w:pPr>
        <w:spacing w:before="240"/>
        <w:jc w:val="both"/>
        <w:rPr>
          <w:rFonts w:ascii="Verdana" w:hAnsi="Verdana"/>
          <w:iCs/>
          <w:sz w:val="16"/>
          <w:szCs w:val="16"/>
        </w:rPr>
      </w:pPr>
      <w:r w:rsidRPr="00A62464">
        <w:rPr>
          <w:rFonts w:ascii="Verdana" w:hAnsi="Verdana"/>
          <w:iCs/>
          <w:sz w:val="16"/>
          <w:szCs w:val="16"/>
        </w:rPr>
        <w:t>Plany nakładów inwestycyjnych</w:t>
      </w:r>
      <w:r w:rsidRPr="00383392">
        <w:rPr>
          <w:rFonts w:ascii="Verdana" w:hAnsi="Verdana"/>
          <w:iCs/>
          <w:sz w:val="16"/>
          <w:szCs w:val="16"/>
        </w:rPr>
        <w:t xml:space="preserve"> m.st. Warszawy z jednej strony oraz ograniczenia związane z limitem określanym przez wskaźnik z art. 243 ustawy o finansach publicznych z drugiej strony, determinują wielkość zadłużenia </w:t>
      </w:r>
      <w:r>
        <w:rPr>
          <w:rFonts w:ascii="Verdana" w:hAnsi="Verdana"/>
          <w:iCs/>
          <w:sz w:val="16"/>
          <w:szCs w:val="16"/>
        </w:rPr>
        <w:br/>
      </w:r>
      <w:r w:rsidRPr="00383392">
        <w:rPr>
          <w:rFonts w:ascii="Verdana" w:hAnsi="Verdana"/>
          <w:iCs/>
          <w:sz w:val="16"/>
          <w:szCs w:val="16"/>
        </w:rPr>
        <w:t>i wielkości jego spłaty w poszczególnych latach. M</w:t>
      </w:r>
      <w:r>
        <w:rPr>
          <w:rFonts w:ascii="Verdana" w:hAnsi="Verdana"/>
          <w:iCs/>
          <w:sz w:val="16"/>
          <w:szCs w:val="16"/>
        </w:rPr>
        <w:t>.st. </w:t>
      </w:r>
      <w:r w:rsidRPr="00383392">
        <w:rPr>
          <w:rFonts w:ascii="Verdana" w:hAnsi="Verdana"/>
          <w:iCs/>
          <w:sz w:val="16"/>
          <w:szCs w:val="16"/>
        </w:rPr>
        <w:t>Warszaw</w:t>
      </w:r>
      <w:r>
        <w:rPr>
          <w:rFonts w:ascii="Verdana" w:hAnsi="Verdana"/>
          <w:iCs/>
          <w:sz w:val="16"/>
          <w:szCs w:val="16"/>
        </w:rPr>
        <w:t>a</w:t>
      </w:r>
      <w:r w:rsidRPr="00383392">
        <w:rPr>
          <w:rFonts w:ascii="Verdana" w:hAnsi="Verdana"/>
          <w:iCs/>
          <w:sz w:val="16"/>
          <w:szCs w:val="16"/>
        </w:rPr>
        <w:t xml:space="preserve"> planuje zaciąganie nowych zobowiązań finansowych na realizacje inwestycji </w:t>
      </w:r>
      <w:r>
        <w:rPr>
          <w:rFonts w:ascii="Verdana" w:hAnsi="Verdana"/>
          <w:iCs/>
          <w:sz w:val="16"/>
          <w:szCs w:val="16"/>
        </w:rPr>
        <w:t xml:space="preserve">w tym na </w:t>
      </w:r>
      <w:r w:rsidRPr="00383392">
        <w:rPr>
          <w:rFonts w:ascii="Verdana" w:hAnsi="Verdana"/>
          <w:iCs/>
          <w:sz w:val="16"/>
          <w:szCs w:val="16"/>
        </w:rPr>
        <w:t>współfinansowanych przez Unię Europejską w ramach perspektywy finansowej 2021-</w:t>
      </w:r>
      <w:r>
        <w:rPr>
          <w:rFonts w:ascii="Verdana" w:hAnsi="Verdana"/>
          <w:iCs/>
          <w:sz w:val="16"/>
          <w:szCs w:val="16"/>
        </w:rPr>
        <w:t>2027</w:t>
      </w:r>
      <w:r w:rsidRPr="00F859AA">
        <w:rPr>
          <w:rFonts w:ascii="Verdana" w:hAnsi="Verdana"/>
          <w:iCs/>
          <w:sz w:val="16"/>
          <w:szCs w:val="16"/>
        </w:rPr>
        <w:t>. Przesunięcie czasowe</w:t>
      </w:r>
      <w:r w:rsidRPr="000B2CF2">
        <w:rPr>
          <w:rFonts w:ascii="Verdana" w:hAnsi="Verdana"/>
          <w:iCs/>
          <w:sz w:val="16"/>
          <w:szCs w:val="16"/>
        </w:rPr>
        <w:t xml:space="preserve"> wykorzystywania środków w stosunku do ich alokacji w ramach unijnych programów, część współfinansujących inwestycje środków z perspektywy 2014-2020 wpłynie na rachunek m.st. Warszawy w </w:t>
      </w:r>
      <w:r w:rsidRPr="00992B91">
        <w:rPr>
          <w:rFonts w:ascii="Verdana" w:hAnsi="Verdana"/>
          <w:iCs/>
          <w:sz w:val="16"/>
          <w:szCs w:val="16"/>
        </w:rPr>
        <w:t>latach</w:t>
      </w:r>
      <w:r w:rsidRPr="006C786B">
        <w:rPr>
          <w:rFonts w:ascii="Verdana" w:hAnsi="Verdana"/>
          <w:iCs/>
          <w:sz w:val="16"/>
          <w:szCs w:val="16"/>
        </w:rPr>
        <w:t xml:space="preserve"> </w:t>
      </w:r>
      <w:r w:rsidRPr="000B2CF2">
        <w:rPr>
          <w:rFonts w:ascii="Verdana" w:hAnsi="Verdana"/>
          <w:iCs/>
          <w:sz w:val="16"/>
          <w:szCs w:val="16"/>
        </w:rPr>
        <w:t>202</w:t>
      </w:r>
      <w:r w:rsidRPr="00992B91">
        <w:rPr>
          <w:rFonts w:ascii="Verdana" w:hAnsi="Verdana"/>
          <w:iCs/>
          <w:sz w:val="16"/>
          <w:szCs w:val="16"/>
        </w:rPr>
        <w:t>2-2023</w:t>
      </w:r>
      <w:r w:rsidRPr="002E1967">
        <w:rPr>
          <w:rFonts w:ascii="Verdana" w:hAnsi="Verdana"/>
          <w:iCs/>
          <w:sz w:val="16"/>
          <w:szCs w:val="16"/>
        </w:rPr>
        <w:t>. Przesunięciu</w:t>
      </w:r>
      <w:r>
        <w:rPr>
          <w:rFonts w:ascii="Verdana" w:hAnsi="Verdana"/>
          <w:iCs/>
          <w:sz w:val="16"/>
          <w:szCs w:val="16"/>
        </w:rPr>
        <w:t xml:space="preserve"> ulega w związku z tym także finansowanie dłużne mające zapewnić wkład własny Miasta. </w:t>
      </w:r>
      <w:r w:rsidRPr="00383392">
        <w:rPr>
          <w:rFonts w:ascii="Verdana" w:hAnsi="Verdana"/>
          <w:iCs/>
          <w:sz w:val="16"/>
          <w:szCs w:val="16"/>
        </w:rPr>
        <w:t xml:space="preserve"> </w:t>
      </w:r>
    </w:p>
    <w:p w:rsidR="000C0694" w:rsidRPr="00383392" w:rsidRDefault="000C0694" w:rsidP="000C0694">
      <w:pPr>
        <w:spacing w:before="120"/>
        <w:jc w:val="both"/>
        <w:rPr>
          <w:rFonts w:ascii="Verdana" w:hAnsi="Verdana"/>
          <w:iCs/>
          <w:sz w:val="16"/>
          <w:szCs w:val="16"/>
        </w:rPr>
      </w:pPr>
      <w:r w:rsidRPr="00383392">
        <w:rPr>
          <w:rFonts w:ascii="Verdana" w:hAnsi="Verdana"/>
          <w:iCs/>
          <w:sz w:val="16"/>
          <w:szCs w:val="16"/>
        </w:rPr>
        <w:t>Zwiększanie potencjału rozwojowego poprzez inwestycje stanowi główny priorytet polityki zadłużeniowej. Planowane wydatki inwestycyjne w latach 202</w:t>
      </w:r>
      <w:r>
        <w:rPr>
          <w:rFonts w:ascii="Verdana" w:hAnsi="Verdana"/>
          <w:iCs/>
          <w:sz w:val="16"/>
          <w:szCs w:val="16"/>
        </w:rPr>
        <w:t>2</w:t>
      </w:r>
      <w:r w:rsidRPr="00383392">
        <w:rPr>
          <w:rFonts w:ascii="Verdana" w:hAnsi="Verdana"/>
          <w:iCs/>
          <w:sz w:val="16"/>
          <w:szCs w:val="16"/>
        </w:rPr>
        <w:t>-</w:t>
      </w:r>
      <w:r w:rsidRPr="00383392">
        <w:rPr>
          <w:rFonts w:ascii="Verdana" w:hAnsi="Verdana"/>
          <w:bCs/>
          <w:iCs/>
          <w:sz w:val="16"/>
          <w:szCs w:val="16"/>
        </w:rPr>
        <w:t xml:space="preserve">2030 </w:t>
      </w:r>
      <w:r w:rsidRPr="00383392">
        <w:rPr>
          <w:rFonts w:ascii="Verdana" w:hAnsi="Verdana"/>
          <w:iCs/>
          <w:sz w:val="16"/>
          <w:szCs w:val="16"/>
        </w:rPr>
        <w:t xml:space="preserve">na poziomie ponad </w:t>
      </w:r>
      <w:r>
        <w:rPr>
          <w:rFonts w:ascii="Verdana" w:hAnsi="Verdana"/>
          <w:iCs/>
          <w:sz w:val="16"/>
          <w:szCs w:val="16"/>
        </w:rPr>
        <w:t>17,9</w:t>
      </w:r>
      <w:r w:rsidRPr="00383392">
        <w:rPr>
          <w:rFonts w:ascii="Verdana" w:hAnsi="Verdana"/>
          <w:iCs/>
          <w:sz w:val="16"/>
          <w:szCs w:val="16"/>
        </w:rPr>
        <w:t xml:space="preserve"> mld zł, będą sfinansowane: </w:t>
      </w:r>
    </w:p>
    <w:p w:rsidR="000C0694" w:rsidRPr="00383392" w:rsidRDefault="000C0694" w:rsidP="000C0694">
      <w:pPr>
        <w:numPr>
          <w:ilvl w:val="0"/>
          <w:numId w:val="45"/>
        </w:numPr>
        <w:spacing w:before="60"/>
        <w:ind w:left="641" w:hanging="284"/>
        <w:jc w:val="both"/>
        <w:rPr>
          <w:rFonts w:ascii="Verdana" w:hAnsi="Verdana"/>
          <w:iCs/>
          <w:sz w:val="16"/>
          <w:szCs w:val="16"/>
        </w:rPr>
      </w:pPr>
      <w:r w:rsidRPr="00383392">
        <w:rPr>
          <w:rFonts w:ascii="Verdana" w:hAnsi="Verdana"/>
          <w:iCs/>
          <w:sz w:val="16"/>
          <w:szCs w:val="16"/>
        </w:rPr>
        <w:t xml:space="preserve">wkładem własnym w wysokości </w:t>
      </w:r>
      <w:r>
        <w:rPr>
          <w:rFonts w:ascii="Verdana" w:hAnsi="Verdana"/>
          <w:iCs/>
          <w:sz w:val="16"/>
          <w:szCs w:val="16"/>
        </w:rPr>
        <w:t>9,6</w:t>
      </w:r>
      <w:r w:rsidRPr="00383392">
        <w:rPr>
          <w:rFonts w:ascii="Verdana" w:hAnsi="Verdana"/>
          <w:iCs/>
          <w:sz w:val="16"/>
          <w:szCs w:val="16"/>
        </w:rPr>
        <w:t xml:space="preserve"> mld zł, </w:t>
      </w:r>
    </w:p>
    <w:p w:rsidR="000C0694" w:rsidRPr="00383392" w:rsidRDefault="000C0694" w:rsidP="000C0694">
      <w:pPr>
        <w:numPr>
          <w:ilvl w:val="0"/>
          <w:numId w:val="45"/>
        </w:numPr>
        <w:spacing w:before="60"/>
        <w:ind w:left="641" w:hanging="284"/>
        <w:jc w:val="both"/>
        <w:rPr>
          <w:rFonts w:ascii="Verdana" w:hAnsi="Verdana"/>
          <w:iCs/>
          <w:sz w:val="16"/>
          <w:szCs w:val="16"/>
        </w:rPr>
      </w:pPr>
      <w:r w:rsidRPr="00383392">
        <w:rPr>
          <w:rFonts w:ascii="Verdana" w:hAnsi="Verdana"/>
          <w:iCs/>
          <w:sz w:val="16"/>
          <w:szCs w:val="16"/>
        </w:rPr>
        <w:t xml:space="preserve">wkładem unijnym w wysokości </w:t>
      </w:r>
      <w:r>
        <w:rPr>
          <w:rFonts w:ascii="Verdana" w:hAnsi="Verdana"/>
          <w:iCs/>
          <w:sz w:val="16"/>
          <w:szCs w:val="16"/>
        </w:rPr>
        <w:t>1,5</w:t>
      </w:r>
      <w:r w:rsidRPr="00383392">
        <w:rPr>
          <w:rFonts w:ascii="Verdana" w:hAnsi="Verdana"/>
          <w:iCs/>
          <w:sz w:val="16"/>
          <w:szCs w:val="16"/>
        </w:rPr>
        <w:t xml:space="preserve"> mld zł,</w:t>
      </w:r>
    </w:p>
    <w:p w:rsidR="000C0694" w:rsidRDefault="000C0694" w:rsidP="000C0694">
      <w:pPr>
        <w:numPr>
          <w:ilvl w:val="0"/>
          <w:numId w:val="45"/>
        </w:numPr>
        <w:spacing w:before="60"/>
        <w:ind w:left="641" w:hanging="284"/>
        <w:jc w:val="both"/>
        <w:rPr>
          <w:rFonts w:ascii="Verdana" w:hAnsi="Verdana"/>
          <w:iCs/>
          <w:sz w:val="16"/>
          <w:szCs w:val="16"/>
        </w:rPr>
      </w:pPr>
      <w:r w:rsidRPr="00383392">
        <w:rPr>
          <w:rFonts w:ascii="Verdana" w:hAnsi="Verdana"/>
          <w:b/>
          <w:iCs/>
          <w:sz w:val="16"/>
          <w:szCs w:val="16"/>
        </w:rPr>
        <w:t xml:space="preserve">środkami zwrotnymi w wysokości </w:t>
      </w:r>
      <w:r>
        <w:rPr>
          <w:rFonts w:ascii="Verdana" w:hAnsi="Verdana"/>
          <w:b/>
          <w:iCs/>
          <w:sz w:val="16"/>
          <w:szCs w:val="16"/>
        </w:rPr>
        <w:t>6,8</w:t>
      </w:r>
      <w:r w:rsidRPr="00383392">
        <w:rPr>
          <w:rFonts w:ascii="Verdana" w:hAnsi="Verdana"/>
          <w:b/>
          <w:iCs/>
          <w:sz w:val="16"/>
          <w:szCs w:val="16"/>
        </w:rPr>
        <w:t xml:space="preserve"> mld zł.</w:t>
      </w:r>
      <w:r w:rsidRPr="00383392">
        <w:rPr>
          <w:rFonts w:ascii="Verdana" w:hAnsi="Verdana"/>
          <w:iCs/>
          <w:sz w:val="16"/>
          <w:szCs w:val="16"/>
        </w:rPr>
        <w:t xml:space="preserve"> </w:t>
      </w:r>
    </w:p>
    <w:p w:rsidR="000C0694" w:rsidRPr="00383392" w:rsidRDefault="000C0694" w:rsidP="000C0694">
      <w:pPr>
        <w:spacing w:before="360" w:line="312" w:lineRule="auto"/>
        <w:jc w:val="both"/>
        <w:rPr>
          <w:rFonts w:ascii="Verdana" w:hAnsi="Verdana"/>
          <w:b/>
        </w:rPr>
      </w:pPr>
      <w:bookmarkStart w:id="11" w:name="bookmark5"/>
      <w:r>
        <w:rPr>
          <w:rFonts w:ascii="Verdana" w:hAnsi="Verdana"/>
          <w:b/>
        </w:rPr>
        <w:t xml:space="preserve">4. </w:t>
      </w:r>
      <w:r w:rsidRPr="00383392">
        <w:rPr>
          <w:rFonts w:ascii="Verdana" w:hAnsi="Verdana"/>
          <w:b/>
        </w:rPr>
        <w:t>Cele polityki długu w latach 202</w:t>
      </w:r>
      <w:r>
        <w:rPr>
          <w:rFonts w:ascii="Verdana" w:hAnsi="Verdana"/>
          <w:b/>
        </w:rPr>
        <w:t>2</w:t>
      </w:r>
      <w:r w:rsidRPr="00383392">
        <w:rPr>
          <w:rFonts w:ascii="Verdana" w:hAnsi="Verdana"/>
          <w:b/>
        </w:rPr>
        <w:t>-2030</w:t>
      </w:r>
      <w:bookmarkEnd w:id="11"/>
    </w:p>
    <w:p w:rsidR="000C0694" w:rsidRPr="00383392" w:rsidRDefault="000C0694" w:rsidP="000C0694">
      <w:pPr>
        <w:spacing w:before="240"/>
        <w:jc w:val="both"/>
        <w:rPr>
          <w:rFonts w:ascii="Verdana" w:hAnsi="Verdana"/>
          <w:iCs/>
          <w:sz w:val="16"/>
          <w:szCs w:val="16"/>
        </w:rPr>
      </w:pPr>
      <w:r w:rsidRPr="00CB32E5">
        <w:rPr>
          <w:rFonts w:ascii="Verdana" w:hAnsi="Verdana"/>
          <w:iCs/>
          <w:sz w:val="16"/>
          <w:szCs w:val="16"/>
        </w:rPr>
        <w:t>W związku z ograniczonymi możliwościami finansowania programu inwestycyjnego środkami własnymi zakłada się zwiększenie programu kredytowego. W</w:t>
      </w:r>
      <w:r w:rsidRPr="00383392">
        <w:rPr>
          <w:rFonts w:ascii="Verdana" w:hAnsi="Verdana"/>
          <w:iCs/>
          <w:sz w:val="16"/>
          <w:szCs w:val="16"/>
        </w:rPr>
        <w:t xml:space="preserve"> </w:t>
      </w:r>
      <w:r>
        <w:rPr>
          <w:rFonts w:ascii="Verdana" w:hAnsi="Verdana"/>
          <w:iCs/>
          <w:sz w:val="16"/>
          <w:szCs w:val="16"/>
        </w:rPr>
        <w:t>aktualnej WPF</w:t>
      </w:r>
      <w:r w:rsidRPr="00383392">
        <w:rPr>
          <w:rFonts w:ascii="Verdana" w:hAnsi="Verdana"/>
          <w:iCs/>
          <w:sz w:val="16"/>
          <w:szCs w:val="16"/>
        </w:rPr>
        <w:t xml:space="preserve"> zakłada się </w:t>
      </w:r>
      <w:r>
        <w:rPr>
          <w:rFonts w:ascii="Verdana" w:hAnsi="Verdana"/>
          <w:iCs/>
          <w:sz w:val="16"/>
          <w:szCs w:val="16"/>
        </w:rPr>
        <w:t>w latach</w:t>
      </w:r>
      <w:r w:rsidRPr="00383392">
        <w:rPr>
          <w:rFonts w:ascii="Verdana" w:hAnsi="Verdana"/>
          <w:iCs/>
          <w:sz w:val="16"/>
          <w:szCs w:val="16"/>
        </w:rPr>
        <w:t xml:space="preserve"> 202</w:t>
      </w:r>
      <w:r>
        <w:rPr>
          <w:rFonts w:ascii="Verdana" w:hAnsi="Verdana"/>
          <w:iCs/>
          <w:sz w:val="16"/>
          <w:szCs w:val="16"/>
        </w:rPr>
        <w:t>2 - 2030</w:t>
      </w:r>
      <w:r w:rsidRPr="00383392">
        <w:rPr>
          <w:rFonts w:ascii="Verdana" w:hAnsi="Verdana"/>
          <w:iCs/>
          <w:sz w:val="16"/>
          <w:szCs w:val="16"/>
        </w:rPr>
        <w:t xml:space="preserve"> </w:t>
      </w:r>
      <w:r>
        <w:rPr>
          <w:rFonts w:ascii="Verdana" w:hAnsi="Verdana"/>
          <w:iCs/>
          <w:sz w:val="16"/>
          <w:szCs w:val="16"/>
        </w:rPr>
        <w:t>zrealizowanie</w:t>
      </w:r>
      <w:r w:rsidRPr="00383392">
        <w:rPr>
          <w:rFonts w:ascii="Verdana" w:hAnsi="Verdana"/>
          <w:iCs/>
          <w:sz w:val="16"/>
          <w:szCs w:val="16"/>
        </w:rPr>
        <w:t xml:space="preserve"> programu kredytowego</w:t>
      </w:r>
      <w:r>
        <w:rPr>
          <w:rFonts w:ascii="Verdana" w:hAnsi="Verdana"/>
          <w:iCs/>
          <w:sz w:val="16"/>
          <w:szCs w:val="16"/>
        </w:rPr>
        <w:t xml:space="preserve"> </w:t>
      </w:r>
      <w:r w:rsidRPr="00383392">
        <w:rPr>
          <w:rFonts w:ascii="Verdana" w:hAnsi="Verdana"/>
          <w:iCs/>
          <w:sz w:val="16"/>
          <w:szCs w:val="16"/>
        </w:rPr>
        <w:t xml:space="preserve">do kwoty </w:t>
      </w:r>
      <w:r>
        <w:rPr>
          <w:rFonts w:ascii="Verdana" w:hAnsi="Verdana"/>
          <w:iCs/>
          <w:sz w:val="16"/>
          <w:szCs w:val="16"/>
        </w:rPr>
        <w:t>6,8</w:t>
      </w:r>
      <w:r w:rsidRPr="00383392">
        <w:rPr>
          <w:rFonts w:ascii="Verdana" w:hAnsi="Verdana"/>
          <w:iCs/>
          <w:sz w:val="16"/>
          <w:szCs w:val="16"/>
        </w:rPr>
        <w:t xml:space="preserve"> mld zł</w:t>
      </w:r>
      <w:r>
        <w:rPr>
          <w:rFonts w:ascii="Verdana" w:hAnsi="Verdana"/>
          <w:iCs/>
          <w:sz w:val="16"/>
          <w:szCs w:val="16"/>
        </w:rPr>
        <w:t>.</w:t>
      </w:r>
    </w:p>
    <w:p w:rsidR="000C0694" w:rsidRPr="00383392" w:rsidRDefault="000C0694" w:rsidP="000C0694">
      <w:pPr>
        <w:spacing w:before="120"/>
        <w:jc w:val="both"/>
        <w:rPr>
          <w:rFonts w:ascii="Verdana" w:hAnsi="Verdana"/>
          <w:iCs/>
          <w:sz w:val="16"/>
          <w:szCs w:val="16"/>
        </w:rPr>
      </w:pPr>
      <w:r w:rsidRPr="00383392">
        <w:rPr>
          <w:rFonts w:ascii="Verdana" w:hAnsi="Verdana"/>
          <w:iCs/>
          <w:sz w:val="16"/>
          <w:szCs w:val="16"/>
        </w:rPr>
        <w:t>Polityka zadłużenia w latach 202</w:t>
      </w:r>
      <w:r>
        <w:rPr>
          <w:rFonts w:ascii="Verdana" w:hAnsi="Verdana"/>
          <w:iCs/>
          <w:sz w:val="16"/>
          <w:szCs w:val="16"/>
        </w:rPr>
        <w:t>2</w:t>
      </w:r>
      <w:r w:rsidRPr="00383392">
        <w:rPr>
          <w:rFonts w:ascii="Verdana" w:hAnsi="Verdana"/>
          <w:iCs/>
          <w:sz w:val="16"/>
          <w:szCs w:val="16"/>
        </w:rPr>
        <w:t>-2030 będzie wynikiem:</w:t>
      </w:r>
    </w:p>
    <w:p w:rsidR="000C0694" w:rsidRPr="00383392" w:rsidRDefault="000C0694" w:rsidP="000C0694">
      <w:pPr>
        <w:numPr>
          <w:ilvl w:val="0"/>
          <w:numId w:val="51"/>
        </w:numPr>
        <w:spacing w:before="60"/>
        <w:ind w:left="641" w:hanging="284"/>
        <w:jc w:val="both"/>
        <w:rPr>
          <w:rFonts w:ascii="Verdana" w:eastAsia="Calibri" w:hAnsi="Verdana"/>
          <w:color w:val="000000"/>
          <w:sz w:val="16"/>
          <w:szCs w:val="16"/>
        </w:rPr>
      </w:pPr>
      <w:r w:rsidRPr="00383392">
        <w:rPr>
          <w:rFonts w:ascii="Verdana" w:eastAsia="Calibri" w:hAnsi="Verdana"/>
          <w:color w:val="000000"/>
          <w:sz w:val="16"/>
          <w:szCs w:val="16"/>
        </w:rPr>
        <w:t xml:space="preserve">w dłuższej perspektywie - polityki finansowej Miasta i wydatków inwestycyjnych, które mają być finansowane poprzez zaciąganie długu, w konsekwencji wpływając na poziom długu ustalony w WPF; </w:t>
      </w:r>
    </w:p>
    <w:p w:rsidR="000C0694" w:rsidRDefault="000C0694" w:rsidP="000C0694">
      <w:pPr>
        <w:numPr>
          <w:ilvl w:val="0"/>
          <w:numId w:val="51"/>
        </w:numPr>
        <w:autoSpaceDE w:val="0"/>
        <w:autoSpaceDN w:val="0"/>
        <w:adjustRightInd w:val="0"/>
        <w:spacing w:before="60"/>
        <w:ind w:left="641" w:hanging="284"/>
        <w:jc w:val="both"/>
        <w:rPr>
          <w:rFonts w:ascii="Verdana" w:eastAsia="Calibri" w:hAnsi="Verdana"/>
          <w:color w:val="000000"/>
          <w:sz w:val="16"/>
          <w:szCs w:val="16"/>
        </w:rPr>
      </w:pPr>
      <w:r>
        <w:rPr>
          <w:rFonts w:ascii="Verdana" w:eastAsia="Calibri" w:hAnsi="Verdana"/>
          <w:color w:val="000000"/>
          <w:sz w:val="16"/>
          <w:szCs w:val="16"/>
        </w:rPr>
        <w:t xml:space="preserve">w ujęciu krótkoterminowym - </w:t>
      </w:r>
      <w:r w:rsidRPr="00383392">
        <w:rPr>
          <w:rFonts w:ascii="Verdana" w:eastAsia="Calibri" w:hAnsi="Verdana"/>
          <w:color w:val="000000"/>
          <w:sz w:val="16"/>
          <w:szCs w:val="16"/>
        </w:rPr>
        <w:t xml:space="preserve">wyzwań związanych z </w:t>
      </w:r>
      <w:r>
        <w:rPr>
          <w:rFonts w:ascii="Verdana" w:eastAsia="Calibri" w:hAnsi="Verdana"/>
          <w:color w:val="000000"/>
          <w:sz w:val="16"/>
          <w:szCs w:val="16"/>
        </w:rPr>
        <w:t xml:space="preserve">odbudowywaniem się lokalnej gospodarki po okresie </w:t>
      </w:r>
      <w:r w:rsidRPr="00383392">
        <w:rPr>
          <w:rFonts w:ascii="Verdana" w:eastAsia="Calibri" w:hAnsi="Verdana"/>
          <w:color w:val="000000"/>
          <w:sz w:val="16"/>
          <w:szCs w:val="16"/>
        </w:rPr>
        <w:t>pandemi</w:t>
      </w:r>
      <w:r>
        <w:rPr>
          <w:rFonts w:ascii="Verdana" w:eastAsia="Calibri" w:hAnsi="Verdana"/>
          <w:color w:val="000000"/>
          <w:sz w:val="16"/>
          <w:szCs w:val="16"/>
        </w:rPr>
        <w:t>i</w:t>
      </w:r>
      <w:r w:rsidRPr="00383392">
        <w:rPr>
          <w:rFonts w:ascii="Verdana" w:eastAsia="Calibri" w:hAnsi="Verdana"/>
          <w:color w:val="000000"/>
          <w:sz w:val="16"/>
          <w:szCs w:val="16"/>
        </w:rPr>
        <w:t xml:space="preserve"> i jej skutkami finansowymi, takimi jak </w:t>
      </w:r>
      <w:r>
        <w:rPr>
          <w:rFonts w:ascii="Verdana" w:eastAsia="Calibri" w:hAnsi="Verdana"/>
          <w:color w:val="000000"/>
          <w:sz w:val="16"/>
          <w:szCs w:val="16"/>
        </w:rPr>
        <w:t>relatywnie niski poziom</w:t>
      </w:r>
      <w:r w:rsidRPr="00383392">
        <w:rPr>
          <w:rFonts w:ascii="Verdana" w:eastAsia="Calibri" w:hAnsi="Verdana"/>
          <w:color w:val="000000"/>
          <w:sz w:val="16"/>
          <w:szCs w:val="16"/>
        </w:rPr>
        <w:t xml:space="preserve"> dochodów, </w:t>
      </w:r>
      <w:r w:rsidRPr="00383392">
        <w:rPr>
          <w:rFonts w:ascii="Verdana" w:eastAsia="Calibri" w:hAnsi="Verdana"/>
          <w:sz w:val="16"/>
          <w:szCs w:val="16"/>
        </w:rPr>
        <w:t>zmiany</w:t>
      </w:r>
      <w:r w:rsidRPr="00383392">
        <w:rPr>
          <w:rFonts w:ascii="Verdana" w:eastAsia="Calibri" w:hAnsi="Verdana"/>
          <w:color w:val="000000"/>
          <w:sz w:val="16"/>
          <w:szCs w:val="16"/>
        </w:rPr>
        <w:t xml:space="preserve"> w </w:t>
      </w:r>
      <w:r>
        <w:rPr>
          <w:rFonts w:ascii="Verdana" w:eastAsia="Calibri" w:hAnsi="Verdana"/>
          <w:color w:val="000000"/>
          <w:sz w:val="16"/>
          <w:szCs w:val="16"/>
        </w:rPr>
        <w:t>programie realizacji inwestycji;</w:t>
      </w:r>
    </w:p>
    <w:p w:rsidR="000C0694" w:rsidRPr="00383392" w:rsidRDefault="000C0694" w:rsidP="000C0694">
      <w:pPr>
        <w:numPr>
          <w:ilvl w:val="0"/>
          <w:numId w:val="51"/>
        </w:numPr>
        <w:autoSpaceDE w:val="0"/>
        <w:autoSpaceDN w:val="0"/>
        <w:adjustRightInd w:val="0"/>
        <w:spacing w:before="60"/>
        <w:ind w:left="641" w:hanging="284"/>
        <w:jc w:val="both"/>
        <w:rPr>
          <w:rFonts w:ascii="Verdana" w:eastAsia="Calibri" w:hAnsi="Verdana"/>
          <w:color w:val="000000"/>
          <w:sz w:val="16"/>
          <w:szCs w:val="16"/>
        </w:rPr>
      </w:pPr>
      <w:r>
        <w:rPr>
          <w:rFonts w:ascii="Verdana" w:eastAsia="Calibri" w:hAnsi="Verdana"/>
          <w:color w:val="000000"/>
          <w:sz w:val="16"/>
          <w:szCs w:val="16"/>
        </w:rPr>
        <w:t xml:space="preserve">w bieżącym </w:t>
      </w:r>
      <w:r w:rsidRPr="00CB32E5">
        <w:rPr>
          <w:rFonts w:ascii="Verdana" w:eastAsia="Calibri" w:hAnsi="Verdana"/>
          <w:color w:val="000000"/>
          <w:sz w:val="16"/>
          <w:szCs w:val="16"/>
        </w:rPr>
        <w:t>działaniu – reakcji na zmiany regulacyjne w zakresie dochodów JST mające istotny wpływ na finanse JST już w roku 2022.</w:t>
      </w:r>
      <w:r>
        <w:rPr>
          <w:rFonts w:ascii="Verdana" w:eastAsia="Calibri" w:hAnsi="Verdana"/>
          <w:color w:val="000000"/>
          <w:sz w:val="16"/>
          <w:szCs w:val="16"/>
        </w:rPr>
        <w:t xml:space="preserve"> </w:t>
      </w:r>
      <w:r w:rsidRPr="00383392">
        <w:rPr>
          <w:rFonts w:ascii="Verdana" w:eastAsia="Calibri" w:hAnsi="Verdana"/>
          <w:color w:val="000000"/>
          <w:sz w:val="16"/>
          <w:szCs w:val="16"/>
        </w:rPr>
        <w:t xml:space="preserve"> </w:t>
      </w:r>
    </w:p>
    <w:p w:rsidR="000C0694" w:rsidRPr="00383392" w:rsidRDefault="000C0694" w:rsidP="000C0694">
      <w:pPr>
        <w:spacing w:before="120"/>
        <w:jc w:val="both"/>
        <w:rPr>
          <w:rFonts w:ascii="Verdana" w:hAnsi="Verdana"/>
          <w:sz w:val="16"/>
          <w:szCs w:val="16"/>
        </w:rPr>
      </w:pPr>
      <w:r w:rsidRPr="00383392">
        <w:rPr>
          <w:rFonts w:ascii="Verdana" w:hAnsi="Verdana"/>
          <w:sz w:val="16"/>
          <w:szCs w:val="16"/>
        </w:rPr>
        <w:lastRenderedPageBreak/>
        <w:t xml:space="preserve">Biorąc pod </w:t>
      </w:r>
      <w:r w:rsidRPr="00383392">
        <w:rPr>
          <w:rFonts w:ascii="Verdana" w:hAnsi="Verdana"/>
          <w:iCs/>
          <w:sz w:val="16"/>
          <w:szCs w:val="16"/>
        </w:rPr>
        <w:t>uwagę</w:t>
      </w:r>
      <w:r w:rsidRPr="00383392">
        <w:rPr>
          <w:rFonts w:ascii="Verdana" w:hAnsi="Verdana"/>
          <w:sz w:val="16"/>
          <w:szCs w:val="16"/>
        </w:rPr>
        <w:t xml:space="preserve"> regulacje ustawowe związane z limitami kosztów zadłużenia, zaleceniami w zakresie zarządzania długiem dla podmiotów publicznych, a przede wszystkim sytuację finansową Miasta, sformułowane zostały zasady wytyczające cele polityki długu: </w:t>
      </w:r>
    </w:p>
    <w:p w:rsidR="000C0694" w:rsidRPr="00383392" w:rsidRDefault="000C0694" w:rsidP="000C0694">
      <w:pPr>
        <w:numPr>
          <w:ilvl w:val="0"/>
          <w:numId w:val="42"/>
        </w:numPr>
        <w:spacing w:before="60"/>
        <w:ind w:left="641" w:hanging="284"/>
        <w:jc w:val="both"/>
        <w:rPr>
          <w:rFonts w:ascii="Verdana" w:hAnsi="Verdana"/>
          <w:b/>
          <w:sz w:val="16"/>
          <w:szCs w:val="16"/>
        </w:rPr>
      </w:pPr>
      <w:r w:rsidRPr="00383392">
        <w:rPr>
          <w:rFonts w:ascii="Verdana" w:hAnsi="Verdana"/>
          <w:b/>
          <w:sz w:val="16"/>
          <w:szCs w:val="16"/>
        </w:rPr>
        <w:t xml:space="preserve">Poziom długu bezpośredniego (zaliczanego do państwowego długu publicznego) nie przekroczy </w:t>
      </w:r>
      <w:r w:rsidRPr="00AD6B78">
        <w:rPr>
          <w:rFonts w:ascii="Verdana" w:hAnsi="Verdana"/>
          <w:b/>
          <w:sz w:val="16"/>
          <w:szCs w:val="16"/>
        </w:rPr>
        <w:t>55%</w:t>
      </w:r>
      <w:r w:rsidRPr="00AD6B78">
        <w:rPr>
          <w:rStyle w:val="Odwoanieprzypisudolnego"/>
          <w:rFonts w:ascii="Verdana" w:hAnsi="Verdana"/>
          <w:b/>
          <w:sz w:val="16"/>
          <w:szCs w:val="16"/>
        </w:rPr>
        <w:footnoteReference w:id="14"/>
      </w:r>
      <w:r w:rsidRPr="00383392">
        <w:rPr>
          <w:rFonts w:ascii="Verdana" w:hAnsi="Verdana"/>
          <w:b/>
          <w:sz w:val="16"/>
          <w:szCs w:val="16"/>
        </w:rPr>
        <w:t xml:space="preserve"> dochodów ogółem w okresie objętym WPF.</w:t>
      </w:r>
    </w:p>
    <w:p w:rsidR="000C0694" w:rsidRPr="00383392" w:rsidRDefault="000C0694" w:rsidP="000C0694">
      <w:pPr>
        <w:numPr>
          <w:ilvl w:val="0"/>
          <w:numId w:val="42"/>
        </w:numPr>
        <w:spacing w:before="60"/>
        <w:ind w:left="641" w:hanging="284"/>
        <w:jc w:val="both"/>
        <w:rPr>
          <w:rFonts w:ascii="Verdana" w:hAnsi="Verdana"/>
          <w:b/>
          <w:sz w:val="16"/>
          <w:szCs w:val="16"/>
        </w:rPr>
      </w:pPr>
      <w:r w:rsidRPr="00383392">
        <w:rPr>
          <w:rFonts w:ascii="Verdana" w:hAnsi="Verdana"/>
          <w:b/>
          <w:sz w:val="16"/>
          <w:szCs w:val="16"/>
        </w:rPr>
        <w:t>Zadłużenie w walucie obcej stosowane tylko w przypadkach uzasadnionych</w:t>
      </w:r>
      <w:r>
        <w:rPr>
          <w:rFonts w:ascii="Verdana" w:hAnsi="Verdana"/>
          <w:b/>
          <w:sz w:val="16"/>
          <w:szCs w:val="16"/>
        </w:rPr>
        <w:t xml:space="preserve">, </w:t>
      </w:r>
      <w:r w:rsidRPr="00A95263">
        <w:rPr>
          <w:rFonts w:ascii="Verdana" w:hAnsi="Verdana"/>
          <w:b/>
          <w:sz w:val="16"/>
          <w:szCs w:val="16"/>
        </w:rPr>
        <w:t>dokonywane tylko w euro</w:t>
      </w:r>
      <w:r w:rsidRPr="00383392">
        <w:rPr>
          <w:rFonts w:ascii="Verdana" w:hAnsi="Verdana"/>
          <w:b/>
          <w:sz w:val="16"/>
          <w:szCs w:val="16"/>
        </w:rPr>
        <w:t xml:space="preserve"> i ograniczone do poziomu 25% całego zadłużenia. </w:t>
      </w:r>
    </w:p>
    <w:p w:rsidR="000C0694" w:rsidRPr="00383392" w:rsidRDefault="000C0694" w:rsidP="000C0694">
      <w:pPr>
        <w:numPr>
          <w:ilvl w:val="0"/>
          <w:numId w:val="42"/>
        </w:numPr>
        <w:spacing w:before="60"/>
        <w:ind w:left="641" w:hanging="284"/>
        <w:jc w:val="both"/>
        <w:rPr>
          <w:rFonts w:ascii="Verdana" w:hAnsi="Verdana"/>
          <w:b/>
          <w:sz w:val="16"/>
          <w:szCs w:val="16"/>
        </w:rPr>
      </w:pPr>
      <w:r w:rsidRPr="00383392">
        <w:rPr>
          <w:rFonts w:ascii="Verdana" w:hAnsi="Verdana"/>
          <w:b/>
          <w:sz w:val="16"/>
          <w:szCs w:val="16"/>
        </w:rPr>
        <w:t>Co najmniej 50% zadłużenia oparte na stałej stopie procentowej.</w:t>
      </w:r>
    </w:p>
    <w:p w:rsidR="000C0694" w:rsidRPr="00383392" w:rsidRDefault="000C0694" w:rsidP="000C0694">
      <w:pPr>
        <w:numPr>
          <w:ilvl w:val="0"/>
          <w:numId w:val="42"/>
        </w:numPr>
        <w:spacing w:before="60"/>
        <w:ind w:left="641" w:hanging="284"/>
        <w:jc w:val="both"/>
        <w:rPr>
          <w:rFonts w:ascii="Verdana" w:hAnsi="Verdana"/>
          <w:b/>
          <w:sz w:val="16"/>
          <w:szCs w:val="16"/>
        </w:rPr>
      </w:pPr>
      <w:r w:rsidRPr="00383392">
        <w:rPr>
          <w:rFonts w:ascii="Verdana" w:hAnsi="Verdana"/>
          <w:b/>
          <w:sz w:val="16"/>
          <w:szCs w:val="16"/>
        </w:rPr>
        <w:t>Zróżnicowany portfel długu zawierający obligacje i kredyty oraz uzupełniony pożyczkami preferencyjnymi.</w:t>
      </w:r>
    </w:p>
    <w:p w:rsidR="000C0694" w:rsidRPr="00383392" w:rsidRDefault="000C0694" w:rsidP="000C0694">
      <w:pPr>
        <w:numPr>
          <w:ilvl w:val="0"/>
          <w:numId w:val="42"/>
        </w:numPr>
        <w:spacing w:before="60"/>
        <w:ind w:left="641" w:hanging="284"/>
        <w:jc w:val="both"/>
        <w:rPr>
          <w:rFonts w:ascii="Verdana" w:hAnsi="Verdana"/>
          <w:b/>
          <w:sz w:val="16"/>
          <w:szCs w:val="16"/>
        </w:rPr>
      </w:pPr>
      <w:r w:rsidRPr="00383392">
        <w:rPr>
          <w:rFonts w:ascii="Verdana" w:hAnsi="Verdana"/>
          <w:b/>
          <w:sz w:val="16"/>
          <w:szCs w:val="16"/>
        </w:rPr>
        <w:t>Utrzymywanie adekwatnego do ryzyka poziomu rezerw.</w:t>
      </w:r>
    </w:p>
    <w:p w:rsidR="000C0694" w:rsidRPr="00383392" w:rsidRDefault="000C0694" w:rsidP="000C0694">
      <w:pPr>
        <w:spacing w:before="240"/>
        <w:jc w:val="both"/>
        <w:rPr>
          <w:rFonts w:ascii="Verdana" w:hAnsi="Verdana"/>
          <w:sz w:val="16"/>
          <w:szCs w:val="16"/>
        </w:rPr>
      </w:pPr>
      <w:r w:rsidRPr="00383392">
        <w:rPr>
          <w:rFonts w:ascii="Verdana" w:hAnsi="Verdana"/>
          <w:sz w:val="16"/>
          <w:szCs w:val="16"/>
        </w:rPr>
        <w:t xml:space="preserve">Realizacja zakładanych celów zostanie osiągnięta poprzez </w:t>
      </w:r>
      <w:r w:rsidRPr="00383392">
        <w:rPr>
          <w:rFonts w:ascii="Verdana" w:hAnsi="Verdana"/>
          <w:b/>
          <w:sz w:val="16"/>
          <w:szCs w:val="16"/>
        </w:rPr>
        <w:t xml:space="preserve">wprowadzenie następujących ograniczeń </w:t>
      </w:r>
      <w:r w:rsidRPr="00383392">
        <w:rPr>
          <w:rFonts w:ascii="Verdana" w:hAnsi="Verdana"/>
          <w:b/>
          <w:sz w:val="16"/>
          <w:szCs w:val="16"/>
        </w:rPr>
        <w:br/>
        <w:t>i zasad</w:t>
      </w:r>
      <w:r w:rsidRPr="00383392">
        <w:rPr>
          <w:rFonts w:ascii="Verdana" w:hAnsi="Verdana"/>
          <w:sz w:val="16"/>
          <w:szCs w:val="16"/>
        </w:rPr>
        <w:t>, którymi będzie kierowało się Miasto przy podejmowaniu zobowiązań dłużnych:</w:t>
      </w:r>
    </w:p>
    <w:p w:rsidR="000C0694" w:rsidRPr="00383392" w:rsidRDefault="000C0694" w:rsidP="000C0694">
      <w:pPr>
        <w:numPr>
          <w:ilvl w:val="0"/>
          <w:numId w:val="39"/>
        </w:numPr>
        <w:spacing w:before="60"/>
        <w:ind w:left="641" w:hanging="284"/>
        <w:jc w:val="both"/>
        <w:rPr>
          <w:rFonts w:ascii="Verdana" w:hAnsi="Verdana"/>
          <w:sz w:val="16"/>
          <w:szCs w:val="16"/>
        </w:rPr>
      </w:pPr>
      <w:r w:rsidRPr="00383392">
        <w:rPr>
          <w:rFonts w:ascii="Verdana" w:hAnsi="Verdana"/>
          <w:b/>
          <w:sz w:val="16"/>
          <w:szCs w:val="16"/>
        </w:rPr>
        <w:t>minimalizowania kosztów obsługi długu (płatności rat kapitałowych i odsetek) w długim okresie</w:t>
      </w:r>
      <w:r w:rsidRPr="00383392">
        <w:rPr>
          <w:rFonts w:ascii="Verdana" w:hAnsi="Verdana"/>
          <w:sz w:val="16"/>
          <w:szCs w:val="16"/>
        </w:rPr>
        <w:t xml:space="preserve"> - poprzez optymalny dobór instrumentów zarządzania długiem, jego struktury i terminów emisji,</w:t>
      </w:r>
    </w:p>
    <w:p w:rsidR="000C0694" w:rsidRPr="00383392" w:rsidRDefault="000C0694" w:rsidP="000C0694">
      <w:pPr>
        <w:numPr>
          <w:ilvl w:val="0"/>
          <w:numId w:val="39"/>
        </w:numPr>
        <w:spacing w:before="60"/>
        <w:ind w:left="641" w:hanging="284"/>
        <w:jc w:val="both"/>
        <w:rPr>
          <w:rFonts w:ascii="Verdana" w:hAnsi="Verdana"/>
          <w:sz w:val="16"/>
          <w:szCs w:val="16"/>
        </w:rPr>
      </w:pPr>
      <w:r w:rsidRPr="00383392">
        <w:rPr>
          <w:rFonts w:ascii="Verdana" w:hAnsi="Verdana"/>
          <w:b/>
          <w:sz w:val="16"/>
          <w:szCs w:val="16"/>
        </w:rPr>
        <w:t xml:space="preserve">ograniczania ryzyka stopy procentowej </w:t>
      </w:r>
      <w:r w:rsidRPr="00383392">
        <w:rPr>
          <w:rFonts w:ascii="Verdana" w:hAnsi="Verdana"/>
          <w:sz w:val="16"/>
          <w:szCs w:val="16"/>
        </w:rPr>
        <w:t xml:space="preserve">- poprzez utrzymanie udziału zadłużenia o stałym oprocentowaniu powyżej 50% w zadłużeniu ogółem, </w:t>
      </w:r>
    </w:p>
    <w:p w:rsidR="000C0694" w:rsidRPr="00383392" w:rsidRDefault="000C0694" w:rsidP="000C0694">
      <w:pPr>
        <w:numPr>
          <w:ilvl w:val="0"/>
          <w:numId w:val="39"/>
        </w:numPr>
        <w:spacing w:before="60"/>
        <w:ind w:left="641" w:hanging="284"/>
        <w:jc w:val="both"/>
        <w:rPr>
          <w:rFonts w:ascii="Verdana" w:eastAsia="MS Mincho" w:hAnsi="Verdana"/>
          <w:sz w:val="16"/>
          <w:szCs w:val="16"/>
        </w:rPr>
      </w:pPr>
      <w:r w:rsidRPr="00383392">
        <w:rPr>
          <w:rFonts w:ascii="Verdana" w:hAnsi="Verdana"/>
          <w:b/>
          <w:sz w:val="16"/>
          <w:szCs w:val="16"/>
        </w:rPr>
        <w:t xml:space="preserve">ograniczania ryzyka kursowego </w:t>
      </w:r>
      <w:r w:rsidRPr="00383392">
        <w:rPr>
          <w:rFonts w:ascii="Verdana" w:hAnsi="Verdana"/>
          <w:sz w:val="16"/>
          <w:szCs w:val="16"/>
        </w:rPr>
        <w:t xml:space="preserve">- poprzez utrzymanie udziału zadłużenia w walucie obcej poniżej 25% zadłużenia ogółem; zaciąganie długu w walucie obcej ograniczone będzie do waluty euro i tylko do przypadków uzasadnionych możliwością pozyskania finansowania o parametrach wyraźnie korzystniejszych od finansowania w walucie krajowej, </w:t>
      </w:r>
    </w:p>
    <w:p w:rsidR="000C0694" w:rsidRPr="00383392" w:rsidRDefault="000C0694" w:rsidP="000C0694">
      <w:pPr>
        <w:numPr>
          <w:ilvl w:val="0"/>
          <w:numId w:val="39"/>
        </w:numPr>
        <w:spacing w:before="60"/>
        <w:ind w:left="641" w:hanging="284"/>
        <w:jc w:val="both"/>
        <w:rPr>
          <w:rFonts w:ascii="Verdana" w:hAnsi="Verdana"/>
          <w:sz w:val="16"/>
          <w:szCs w:val="16"/>
        </w:rPr>
      </w:pPr>
      <w:r w:rsidRPr="00383392">
        <w:rPr>
          <w:rFonts w:ascii="Verdana" w:hAnsi="Verdana"/>
          <w:b/>
          <w:sz w:val="16"/>
          <w:szCs w:val="16"/>
        </w:rPr>
        <w:t xml:space="preserve">ograniczania ryzyka refinansowania - </w:t>
      </w:r>
      <w:r w:rsidRPr="00383392">
        <w:rPr>
          <w:rFonts w:ascii="Verdana" w:hAnsi="Verdana"/>
          <w:sz w:val="16"/>
          <w:szCs w:val="16"/>
        </w:rPr>
        <w:t xml:space="preserve">poprzez zapewnienie odpowiednich parametrów długu pod względem średniej zapadalności oraz równomiernego rozłożenia wykupów w kolejnych latach, </w:t>
      </w:r>
    </w:p>
    <w:p w:rsidR="000C0694" w:rsidRPr="00383392" w:rsidRDefault="000C0694" w:rsidP="000C0694">
      <w:pPr>
        <w:numPr>
          <w:ilvl w:val="0"/>
          <w:numId w:val="39"/>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ograniczania ryzyka utraty płynności budżetu</w:t>
      </w:r>
      <w:r w:rsidRPr="00383392">
        <w:rPr>
          <w:rFonts w:ascii="Verdana" w:eastAsia="MS Mincho" w:hAnsi="Verdana"/>
          <w:sz w:val="16"/>
          <w:szCs w:val="16"/>
        </w:rPr>
        <w:t xml:space="preserve"> (zdolności do regulowania bieżących zobowiązań oraz terminowej realizacji wydatków budżetowych) - poprzez bieżące zarządzanie i kontrolę strumieni wydatków, ustalanie odpowiedniego, optymalnego stanu płynnych rezerw na najbliższe okresy planistyczne oraz zagwarantowanie stałego dostępu do standardowych instrumentów pozyskiwania środków w razie potrzeby dodatkowej płynności,</w:t>
      </w:r>
    </w:p>
    <w:p w:rsidR="000C0694" w:rsidRPr="00383392" w:rsidRDefault="000C0694" w:rsidP="000C0694">
      <w:pPr>
        <w:numPr>
          <w:ilvl w:val="0"/>
          <w:numId w:val="39"/>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ograniczenia ryzyka operacyjnego</w:t>
      </w:r>
      <w:r w:rsidRPr="00383392">
        <w:rPr>
          <w:rFonts w:ascii="Verdana" w:eastAsia="MS Mincho" w:hAnsi="Verdana"/>
          <w:sz w:val="16"/>
          <w:szCs w:val="16"/>
        </w:rPr>
        <w:t xml:space="preserve"> - poprzez stosowanie procedur, nadzór i monitoring,</w:t>
      </w:r>
    </w:p>
    <w:p w:rsidR="000C0694" w:rsidRPr="00B66D72" w:rsidRDefault="000C0694" w:rsidP="000C0694">
      <w:pPr>
        <w:numPr>
          <w:ilvl w:val="0"/>
          <w:numId w:val="39"/>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ograniczenia ryzyka prawnego</w:t>
      </w:r>
      <w:r w:rsidRPr="00383392">
        <w:rPr>
          <w:rFonts w:ascii="Verdana" w:eastAsia="MS Mincho" w:hAnsi="Verdana"/>
          <w:sz w:val="16"/>
          <w:szCs w:val="16"/>
        </w:rPr>
        <w:t xml:space="preserve"> - </w:t>
      </w:r>
      <w:r w:rsidRPr="00B66D72">
        <w:rPr>
          <w:rFonts w:ascii="Verdana" w:eastAsia="MS Mincho" w:hAnsi="Verdana"/>
          <w:sz w:val="16"/>
          <w:szCs w:val="16"/>
        </w:rPr>
        <w:t xml:space="preserve">poprzez </w:t>
      </w:r>
      <w:r w:rsidRPr="00B90C3B">
        <w:rPr>
          <w:rFonts w:ascii="Verdana" w:eastAsia="MS Mincho" w:hAnsi="Verdana"/>
          <w:sz w:val="16"/>
          <w:szCs w:val="16"/>
        </w:rPr>
        <w:t>utrzymanie</w:t>
      </w:r>
      <w:r w:rsidRPr="00B66D72">
        <w:rPr>
          <w:rFonts w:ascii="Verdana" w:eastAsia="MS Mincho" w:hAnsi="Verdana"/>
          <w:sz w:val="16"/>
          <w:szCs w:val="16"/>
        </w:rPr>
        <w:t xml:space="preserve"> w średniej perspektywie odpowiedniej rezerwy wskaźnikowej określonej w art. 242 i 243 </w:t>
      </w:r>
      <w:r w:rsidRPr="00B66D72">
        <w:rPr>
          <w:rFonts w:ascii="Verdana" w:eastAsia="MS Mincho" w:hAnsi="Verdana"/>
          <w:iCs/>
          <w:sz w:val="16"/>
          <w:szCs w:val="16"/>
        </w:rPr>
        <w:t>ustawy o finansach publicznych</w:t>
      </w:r>
      <w:r w:rsidRPr="00B66D72" w:rsidDel="008A7E2E">
        <w:rPr>
          <w:rFonts w:ascii="Verdana" w:eastAsia="MS Mincho" w:hAnsi="Verdana"/>
          <w:sz w:val="16"/>
          <w:szCs w:val="16"/>
        </w:rPr>
        <w:t xml:space="preserve"> </w:t>
      </w:r>
      <w:r w:rsidRPr="00B66D72">
        <w:rPr>
          <w:rFonts w:ascii="Verdana" w:eastAsia="MS Mincho" w:hAnsi="Verdana"/>
          <w:sz w:val="16"/>
          <w:szCs w:val="16"/>
        </w:rPr>
        <w:t>oraz optymalny dobór instrumentów dłużnych.</w:t>
      </w:r>
    </w:p>
    <w:p w:rsidR="006422A8" w:rsidRDefault="000C0694" w:rsidP="000C0694">
      <w:pPr>
        <w:spacing w:before="120"/>
        <w:jc w:val="both"/>
        <w:rPr>
          <w:rFonts w:ascii="Verdana" w:hAnsi="Verdana"/>
          <w:sz w:val="16"/>
          <w:szCs w:val="16"/>
        </w:rPr>
      </w:pPr>
      <w:r w:rsidRPr="00383392">
        <w:rPr>
          <w:rFonts w:ascii="Verdana" w:hAnsi="Verdana"/>
          <w:sz w:val="16"/>
          <w:szCs w:val="16"/>
        </w:rPr>
        <w:t xml:space="preserve">W długookresowych projekcjach, uwzględniając zewnętrzne uwarunkowania związane między innymi </w:t>
      </w:r>
      <w:r w:rsidRPr="00383392">
        <w:rPr>
          <w:rFonts w:ascii="Verdana" w:hAnsi="Verdana"/>
          <w:sz w:val="16"/>
          <w:szCs w:val="16"/>
        </w:rPr>
        <w:br/>
        <w:t>z wahaniami koniunktury, Wieloletnia Prognoza Finansowa zapewnia utrzymywan</w:t>
      </w:r>
      <w:r>
        <w:rPr>
          <w:rFonts w:ascii="Verdana" w:hAnsi="Verdana"/>
          <w:sz w:val="16"/>
          <w:szCs w:val="16"/>
        </w:rPr>
        <w:t>ie poziomu zadłużenia poniżej 55</w:t>
      </w:r>
      <w:r w:rsidRPr="00383392">
        <w:rPr>
          <w:rFonts w:ascii="Verdana" w:hAnsi="Verdana"/>
          <w:sz w:val="16"/>
          <w:szCs w:val="16"/>
        </w:rPr>
        <w:t>% w relacji do dochodów budżetowych. Przewiduje się, że w okresie rosnącego zadłużenia (lata 202</w:t>
      </w:r>
      <w:r>
        <w:rPr>
          <w:rFonts w:ascii="Verdana" w:hAnsi="Verdana"/>
          <w:sz w:val="16"/>
          <w:szCs w:val="16"/>
        </w:rPr>
        <w:t>2-2026</w:t>
      </w:r>
      <w:r w:rsidRPr="00383392">
        <w:rPr>
          <w:rFonts w:ascii="Verdana" w:hAnsi="Verdana"/>
          <w:sz w:val="16"/>
          <w:szCs w:val="16"/>
        </w:rPr>
        <w:t xml:space="preserve">) wskaźnik ten </w:t>
      </w:r>
      <w:r>
        <w:rPr>
          <w:rFonts w:ascii="Verdana" w:hAnsi="Verdana"/>
          <w:sz w:val="16"/>
          <w:szCs w:val="16"/>
        </w:rPr>
        <w:t>o</w:t>
      </w:r>
      <w:r w:rsidRPr="00383392">
        <w:rPr>
          <w:rFonts w:ascii="Verdana" w:hAnsi="Verdana"/>
          <w:sz w:val="16"/>
          <w:szCs w:val="16"/>
        </w:rPr>
        <w:t>si</w:t>
      </w:r>
      <w:r>
        <w:rPr>
          <w:rFonts w:ascii="Verdana" w:hAnsi="Verdana"/>
          <w:sz w:val="16"/>
          <w:szCs w:val="16"/>
        </w:rPr>
        <w:t>ą</w:t>
      </w:r>
      <w:r w:rsidRPr="00383392">
        <w:rPr>
          <w:rFonts w:ascii="Verdana" w:hAnsi="Verdana"/>
          <w:sz w:val="16"/>
          <w:szCs w:val="16"/>
        </w:rPr>
        <w:t>gnie</w:t>
      </w:r>
      <w:r w:rsidRPr="00E30E07">
        <w:rPr>
          <w:rFonts w:ascii="Verdana" w:hAnsi="Verdana"/>
          <w:sz w:val="16"/>
          <w:szCs w:val="16"/>
        </w:rPr>
        <w:t xml:space="preserve"> </w:t>
      </w:r>
      <w:r>
        <w:rPr>
          <w:rFonts w:ascii="Verdana" w:hAnsi="Verdana"/>
          <w:sz w:val="16"/>
          <w:szCs w:val="16"/>
        </w:rPr>
        <w:t xml:space="preserve">maksymalnie </w:t>
      </w:r>
      <w:r w:rsidRPr="00E30E07">
        <w:rPr>
          <w:rFonts w:ascii="Verdana" w:hAnsi="Verdana"/>
          <w:sz w:val="16"/>
          <w:szCs w:val="16"/>
        </w:rPr>
        <w:t>5</w:t>
      </w:r>
      <w:r>
        <w:rPr>
          <w:rFonts w:ascii="Verdana" w:hAnsi="Verdana"/>
          <w:sz w:val="16"/>
          <w:szCs w:val="16"/>
        </w:rPr>
        <w:t>4</w:t>
      </w:r>
      <w:r w:rsidRPr="00E30E07">
        <w:rPr>
          <w:rFonts w:ascii="Verdana" w:hAnsi="Verdana"/>
          <w:sz w:val="16"/>
          <w:szCs w:val="16"/>
        </w:rPr>
        <w:t>,</w:t>
      </w:r>
      <w:r>
        <w:rPr>
          <w:rFonts w:ascii="Verdana" w:hAnsi="Verdana"/>
          <w:sz w:val="16"/>
          <w:szCs w:val="16"/>
        </w:rPr>
        <w:t>3</w:t>
      </w:r>
      <w:r w:rsidRPr="00383392">
        <w:rPr>
          <w:rFonts w:ascii="Verdana" w:hAnsi="Verdana"/>
          <w:sz w:val="16"/>
          <w:szCs w:val="16"/>
        </w:rPr>
        <w:t>%. Założenie wewnęt</w:t>
      </w:r>
      <w:r>
        <w:rPr>
          <w:rFonts w:ascii="Verdana" w:hAnsi="Verdana"/>
          <w:sz w:val="16"/>
          <w:szCs w:val="16"/>
        </w:rPr>
        <w:t>rznego limitu 55</w:t>
      </w:r>
      <w:r w:rsidRPr="00383392">
        <w:rPr>
          <w:rFonts w:ascii="Verdana" w:hAnsi="Verdana"/>
          <w:sz w:val="16"/>
          <w:szCs w:val="16"/>
        </w:rPr>
        <w:t>% długu do dochodów, tworzy margines bezpieczeństwa</w:t>
      </w:r>
      <w:r w:rsidRPr="00383392">
        <w:rPr>
          <w:rFonts w:ascii="Verdana" w:hAnsi="Verdana"/>
          <w:color w:val="00B0F0"/>
          <w:sz w:val="16"/>
          <w:szCs w:val="16"/>
        </w:rPr>
        <w:t xml:space="preserve"> </w:t>
      </w:r>
      <w:r w:rsidRPr="00383392">
        <w:rPr>
          <w:rFonts w:ascii="Verdana" w:hAnsi="Verdana"/>
          <w:sz w:val="16"/>
          <w:szCs w:val="16"/>
        </w:rPr>
        <w:t>dla absorpcji ewentualnych zmian zewnętrznych wywołanych wzrostem oprocentowania</w:t>
      </w:r>
      <w:r>
        <w:rPr>
          <w:rFonts w:ascii="Verdana" w:hAnsi="Verdana"/>
          <w:sz w:val="16"/>
          <w:szCs w:val="16"/>
        </w:rPr>
        <w:t>, modyfikacjami systemu fiskalnego</w:t>
      </w:r>
      <w:r w:rsidRPr="00383392">
        <w:rPr>
          <w:rFonts w:ascii="Verdana" w:hAnsi="Verdana"/>
          <w:sz w:val="16"/>
          <w:szCs w:val="16"/>
        </w:rPr>
        <w:t>, czy spadkiem PKB i dochodów podatkowych.</w:t>
      </w:r>
      <w:r w:rsidR="006422A8">
        <w:rPr>
          <w:rFonts w:ascii="Verdana" w:hAnsi="Verdana"/>
          <w:sz w:val="16"/>
          <w:szCs w:val="16"/>
        </w:rPr>
        <w:br w:type="page"/>
      </w:r>
    </w:p>
    <w:p w:rsidR="000C0694" w:rsidRPr="00383392" w:rsidRDefault="000C0694" w:rsidP="000C0694">
      <w:pPr>
        <w:spacing w:before="120"/>
        <w:jc w:val="both"/>
        <w:rPr>
          <w:rFonts w:ascii="Verdana" w:hAnsi="Verdana"/>
          <w:sz w:val="16"/>
          <w:szCs w:val="16"/>
        </w:rPr>
      </w:pPr>
      <w:r w:rsidRPr="00383392">
        <w:rPr>
          <w:rFonts w:ascii="Verdana" w:hAnsi="Verdana"/>
          <w:sz w:val="16"/>
          <w:szCs w:val="16"/>
        </w:rPr>
        <w:lastRenderedPageBreak/>
        <w:t xml:space="preserve">Koszty obsługi zobowiązań w części opartej o zmienną stopę procentową ulegają zmianom </w:t>
      </w:r>
      <w:r w:rsidRPr="00383392">
        <w:rPr>
          <w:rFonts w:ascii="Verdana" w:hAnsi="Verdana"/>
          <w:sz w:val="16"/>
          <w:szCs w:val="16"/>
        </w:rPr>
        <w:br/>
        <w:t xml:space="preserve">w zależności od stóp rynku pieniężnego kształtowanych w istotnym stopniu przez decyzje Rady Polityki Pieniężnej NBP. </w:t>
      </w:r>
      <w:r>
        <w:rPr>
          <w:rFonts w:ascii="Verdana" w:hAnsi="Verdana"/>
          <w:sz w:val="16"/>
          <w:szCs w:val="16"/>
        </w:rPr>
        <w:t>Rynek finansowy wycenia duże prawdopodobieństwo podwyżek stóp procentowych w najbliższych kilkunastu miesiącach.</w:t>
      </w:r>
      <w:r w:rsidRPr="00383392">
        <w:rPr>
          <w:rFonts w:ascii="Verdana" w:hAnsi="Verdana"/>
          <w:sz w:val="16"/>
          <w:szCs w:val="16"/>
        </w:rPr>
        <w:t xml:space="preserve"> Przyjęte ograniczenie ryzyka stopy procentowej, poprzez utrzymanie udziału zadłużenia o stałym oprocentowaniu powyżej 50% w zadłużeniu ogółem, zmniejsza potencjalne negatywne oddziaływanie wzrostu stóp na wydatki Miasta,</w:t>
      </w:r>
      <w:r>
        <w:rPr>
          <w:rFonts w:ascii="Verdana" w:hAnsi="Verdana"/>
          <w:sz w:val="16"/>
          <w:szCs w:val="16"/>
        </w:rPr>
        <w:t xml:space="preserve"> </w:t>
      </w:r>
      <w:r w:rsidRPr="00383392">
        <w:rPr>
          <w:rFonts w:ascii="Verdana" w:hAnsi="Verdana"/>
          <w:sz w:val="16"/>
          <w:szCs w:val="16"/>
        </w:rPr>
        <w:t xml:space="preserve">a tym samym i na wzrost wskaźnika obsługi zadłużenia ponad planowany poziom. </w:t>
      </w:r>
      <w:r>
        <w:rPr>
          <w:rFonts w:ascii="Verdana" w:hAnsi="Verdana"/>
          <w:sz w:val="16"/>
          <w:szCs w:val="16"/>
        </w:rPr>
        <w:t xml:space="preserve">Dzięki temu, z analizy wrażliwości wynika, że </w:t>
      </w:r>
      <w:r w:rsidRPr="00B66D72">
        <w:rPr>
          <w:rFonts w:ascii="Verdana" w:hAnsi="Verdana"/>
          <w:sz w:val="16"/>
          <w:szCs w:val="16"/>
        </w:rPr>
        <w:t>wzrost stawki WIBOR o 1 punkt procentowy spowoduje wzrost kosztu o</w:t>
      </w:r>
      <w:r>
        <w:rPr>
          <w:rFonts w:ascii="Verdana" w:hAnsi="Verdana"/>
          <w:sz w:val="16"/>
          <w:szCs w:val="16"/>
        </w:rPr>
        <w:t xml:space="preserve">bsługi obecnego długu w 2022 r. </w:t>
      </w:r>
      <w:r w:rsidRPr="003C16F1">
        <w:rPr>
          <w:rFonts w:ascii="Verdana" w:hAnsi="Verdana"/>
          <w:sz w:val="16"/>
          <w:szCs w:val="16"/>
        </w:rPr>
        <w:t xml:space="preserve">o </w:t>
      </w:r>
      <w:r>
        <w:rPr>
          <w:rFonts w:ascii="Verdana" w:hAnsi="Verdana"/>
          <w:sz w:val="16"/>
          <w:szCs w:val="16"/>
        </w:rPr>
        <w:t>16,5</w:t>
      </w:r>
      <w:r w:rsidRPr="003C16F1">
        <w:rPr>
          <w:rFonts w:ascii="Verdana" w:hAnsi="Verdana"/>
          <w:sz w:val="16"/>
          <w:szCs w:val="16"/>
        </w:rPr>
        <w:t xml:space="preserve"> </w:t>
      </w:r>
      <w:r w:rsidRPr="00B90C3B">
        <w:rPr>
          <w:rFonts w:ascii="Verdana" w:hAnsi="Verdana"/>
          <w:sz w:val="16"/>
          <w:szCs w:val="16"/>
        </w:rPr>
        <w:t>mln zł.</w:t>
      </w:r>
    </w:p>
    <w:p w:rsidR="000C0694" w:rsidRPr="00383392" w:rsidRDefault="000C0694" w:rsidP="000C0694">
      <w:pPr>
        <w:spacing w:before="120"/>
        <w:jc w:val="both"/>
        <w:rPr>
          <w:rFonts w:ascii="Verdana" w:hAnsi="Verdana"/>
          <w:sz w:val="16"/>
          <w:szCs w:val="16"/>
        </w:rPr>
      </w:pPr>
      <w:r w:rsidRPr="00383392">
        <w:rPr>
          <w:rFonts w:ascii="Verdana" w:hAnsi="Verdana"/>
          <w:sz w:val="16"/>
          <w:szCs w:val="16"/>
        </w:rPr>
        <w:t xml:space="preserve">Możliwość zadłużenia w walutach obcych pozostanie ograniczona do sytuacji uzasadnionych. Na wypadek wystąpienia takich sytuacji wprowadzono limit udziału zadłużenia w walutach obcych poniżej 25% zadłużenia ogółem. </w:t>
      </w:r>
      <w:r>
        <w:rPr>
          <w:rFonts w:ascii="Verdana" w:hAnsi="Verdana"/>
          <w:sz w:val="16"/>
          <w:szCs w:val="16"/>
        </w:rPr>
        <w:t>Utrzymywanie</w:t>
      </w:r>
      <w:r w:rsidRPr="00383392">
        <w:rPr>
          <w:rFonts w:ascii="Verdana" w:hAnsi="Verdana"/>
          <w:sz w:val="16"/>
          <w:szCs w:val="16"/>
        </w:rPr>
        <w:t xml:space="preserve"> stóp procentowych w strefie euro</w:t>
      </w:r>
      <w:r w:rsidRPr="00383392">
        <w:rPr>
          <w:rFonts w:ascii="Verdana" w:hAnsi="Verdana"/>
          <w:color w:val="FF0000"/>
          <w:sz w:val="16"/>
          <w:szCs w:val="16"/>
        </w:rPr>
        <w:t xml:space="preserve"> </w:t>
      </w:r>
      <w:r w:rsidRPr="00383392">
        <w:rPr>
          <w:rFonts w:ascii="Verdana" w:hAnsi="Verdana"/>
          <w:sz w:val="16"/>
          <w:szCs w:val="16"/>
        </w:rPr>
        <w:t>poniżej zera, awersja do ryzyka na rynkach finansowych i utrzymanie stabilnego ratingu inwestycyjnego przez Polskę i m.st. Warszawę spowodowało wystąpienie sytuacji, w której możliwe okaza</w:t>
      </w:r>
      <w:r>
        <w:rPr>
          <w:rFonts w:ascii="Verdana" w:hAnsi="Verdana"/>
          <w:sz w:val="16"/>
          <w:szCs w:val="16"/>
        </w:rPr>
        <w:t>ło</w:t>
      </w:r>
      <w:r w:rsidRPr="00383392">
        <w:rPr>
          <w:rFonts w:ascii="Verdana" w:hAnsi="Verdana"/>
          <w:sz w:val="16"/>
          <w:szCs w:val="16"/>
        </w:rPr>
        <w:t xml:space="preserve"> się pozyskanie finansowania w euro o parametrach wyraźnie korzystniejszych od finansowania w złotych. Decyzji o </w:t>
      </w:r>
      <w:r>
        <w:rPr>
          <w:rFonts w:ascii="Verdana" w:hAnsi="Verdana"/>
          <w:sz w:val="16"/>
          <w:szCs w:val="16"/>
        </w:rPr>
        <w:t xml:space="preserve">ponownym </w:t>
      </w:r>
      <w:r w:rsidRPr="00383392">
        <w:rPr>
          <w:rFonts w:ascii="Verdana" w:hAnsi="Verdana"/>
          <w:sz w:val="16"/>
          <w:szCs w:val="16"/>
        </w:rPr>
        <w:t xml:space="preserve">skorzystaniu z takiego finansowania sprzyjać również może niski poziom kursu złotego w stosunku do euro. </w:t>
      </w:r>
    </w:p>
    <w:p w:rsidR="000C0694" w:rsidRPr="00383392" w:rsidRDefault="000C0694" w:rsidP="000C0694">
      <w:pPr>
        <w:spacing w:before="120"/>
        <w:jc w:val="both"/>
        <w:rPr>
          <w:rFonts w:ascii="Verdana" w:hAnsi="Verdana"/>
          <w:sz w:val="16"/>
          <w:szCs w:val="16"/>
        </w:rPr>
      </w:pPr>
      <w:r w:rsidRPr="00383392">
        <w:rPr>
          <w:rFonts w:ascii="Verdana" w:hAnsi="Verdana"/>
          <w:sz w:val="16"/>
          <w:szCs w:val="16"/>
        </w:rPr>
        <w:t>W prognozie WPF przyjęto założenie finansowania potrzeb pożyczkowych budżetu zgodnie z dotychczasową zasadą, korzystając z dwóch zasadniczych źródeł finansowania:</w:t>
      </w:r>
    </w:p>
    <w:p w:rsidR="000C0694" w:rsidRPr="00383392" w:rsidRDefault="000C0694" w:rsidP="000C0694">
      <w:pPr>
        <w:numPr>
          <w:ilvl w:val="0"/>
          <w:numId w:val="40"/>
        </w:numPr>
        <w:spacing w:before="60"/>
        <w:ind w:left="641" w:hanging="284"/>
        <w:jc w:val="both"/>
        <w:rPr>
          <w:rFonts w:ascii="Verdana" w:hAnsi="Verdana"/>
          <w:sz w:val="16"/>
          <w:szCs w:val="16"/>
        </w:rPr>
      </w:pPr>
      <w:r w:rsidRPr="00383392">
        <w:rPr>
          <w:rFonts w:ascii="Verdana" w:hAnsi="Verdana"/>
          <w:sz w:val="16"/>
          <w:szCs w:val="16"/>
        </w:rPr>
        <w:t>na rynku zagranicznym w formie kredytu w międzynarodowyc</w:t>
      </w:r>
      <w:r>
        <w:rPr>
          <w:rFonts w:ascii="Verdana" w:hAnsi="Verdana"/>
          <w:sz w:val="16"/>
          <w:szCs w:val="16"/>
        </w:rPr>
        <w:t xml:space="preserve">h instytucjach finansowych </w:t>
      </w:r>
      <w:r>
        <w:rPr>
          <w:rFonts w:ascii="Verdana" w:hAnsi="Verdana"/>
          <w:sz w:val="16"/>
          <w:szCs w:val="16"/>
        </w:rPr>
        <w:br/>
        <w:t>(w tym w szczególności w:</w:t>
      </w:r>
      <w:r w:rsidRPr="00383392">
        <w:rPr>
          <w:rFonts w:ascii="Verdana" w:hAnsi="Verdana"/>
          <w:sz w:val="16"/>
          <w:szCs w:val="16"/>
        </w:rPr>
        <w:t xml:space="preserve"> Europejski Bank Inwestycyjny, Bank Rozwoju Rady Europy) lub alternatywnie poprzez emisje obligacji, </w:t>
      </w:r>
    </w:p>
    <w:p w:rsidR="000C0694" w:rsidRPr="00383392" w:rsidRDefault="000C0694" w:rsidP="000C0694">
      <w:pPr>
        <w:numPr>
          <w:ilvl w:val="0"/>
          <w:numId w:val="40"/>
        </w:numPr>
        <w:spacing w:before="60"/>
        <w:ind w:left="641" w:hanging="284"/>
        <w:jc w:val="both"/>
        <w:rPr>
          <w:rFonts w:ascii="Verdana" w:hAnsi="Verdana"/>
          <w:sz w:val="16"/>
          <w:szCs w:val="16"/>
        </w:rPr>
      </w:pPr>
      <w:r w:rsidRPr="00383392">
        <w:rPr>
          <w:rFonts w:ascii="Verdana" w:hAnsi="Verdana"/>
          <w:sz w:val="16"/>
          <w:szCs w:val="16"/>
        </w:rPr>
        <w:t>na rynku krajowym w postaci obligacji lub kredytów bankowych.</w:t>
      </w:r>
    </w:p>
    <w:p w:rsidR="000C0694" w:rsidRPr="00383392" w:rsidRDefault="000C0694" w:rsidP="000C0694">
      <w:pPr>
        <w:spacing w:before="120"/>
        <w:jc w:val="both"/>
        <w:rPr>
          <w:rFonts w:ascii="Verdana" w:hAnsi="Verdana"/>
          <w:sz w:val="16"/>
          <w:szCs w:val="16"/>
        </w:rPr>
      </w:pPr>
      <w:r w:rsidRPr="00383392">
        <w:rPr>
          <w:rFonts w:ascii="Verdana" w:hAnsi="Verdana"/>
          <w:sz w:val="16"/>
          <w:szCs w:val="16"/>
        </w:rPr>
        <w:t>Wymienione źródła będą uzupełniane o środki pochodzące z preferencyjnych pożyczek. Poprzez dywersyfikację w ten sposób źródeł finansowania potrzeb pożyczkowych realizowana będzie polityka mix-</w:t>
      </w:r>
      <w:proofErr w:type="spellStart"/>
      <w:r w:rsidRPr="00383392">
        <w:rPr>
          <w:rFonts w:ascii="Verdana" w:hAnsi="Verdana"/>
          <w:sz w:val="16"/>
          <w:szCs w:val="16"/>
        </w:rPr>
        <w:t>financing</w:t>
      </w:r>
      <w:proofErr w:type="spellEnd"/>
      <w:r w:rsidRPr="00383392">
        <w:rPr>
          <w:rFonts w:ascii="Verdana" w:hAnsi="Verdana"/>
          <w:sz w:val="16"/>
          <w:szCs w:val="16"/>
        </w:rPr>
        <w:t xml:space="preserve">. </w:t>
      </w:r>
    </w:p>
    <w:p w:rsidR="006422A8" w:rsidRDefault="000C0694" w:rsidP="000C0694">
      <w:pPr>
        <w:spacing w:before="120"/>
        <w:jc w:val="both"/>
        <w:rPr>
          <w:rFonts w:ascii="Verdana" w:hAnsi="Verdana"/>
          <w:iCs/>
          <w:sz w:val="16"/>
          <w:szCs w:val="16"/>
        </w:rPr>
      </w:pPr>
      <w:r w:rsidRPr="00383392">
        <w:rPr>
          <w:rFonts w:ascii="Verdana" w:hAnsi="Verdana"/>
          <w:sz w:val="16"/>
          <w:szCs w:val="16"/>
        </w:rPr>
        <w:t>W realizacji celów polityki długu zakłada się</w:t>
      </w:r>
      <w:r>
        <w:rPr>
          <w:rFonts w:ascii="Verdana" w:hAnsi="Verdana"/>
          <w:sz w:val="16"/>
          <w:szCs w:val="16"/>
        </w:rPr>
        <w:t xml:space="preserve"> że</w:t>
      </w:r>
      <w:r w:rsidRPr="00383392">
        <w:rPr>
          <w:rFonts w:ascii="Verdana" w:hAnsi="Verdana"/>
          <w:iCs/>
          <w:sz w:val="16"/>
          <w:szCs w:val="16"/>
        </w:rPr>
        <w:t xml:space="preserve"> w najbliższych latach</w:t>
      </w:r>
      <w:r>
        <w:rPr>
          <w:rFonts w:ascii="Verdana" w:hAnsi="Verdana"/>
          <w:sz w:val="16"/>
          <w:szCs w:val="16"/>
        </w:rPr>
        <w:t xml:space="preserve"> </w:t>
      </w:r>
      <w:r w:rsidRPr="00383392">
        <w:rPr>
          <w:rFonts w:ascii="Verdana" w:hAnsi="Verdana"/>
          <w:iCs/>
          <w:sz w:val="16"/>
          <w:szCs w:val="16"/>
        </w:rPr>
        <w:t xml:space="preserve">uzupełnieniem kredytów zaciąganych </w:t>
      </w:r>
      <w:r w:rsidRPr="00383392">
        <w:rPr>
          <w:rFonts w:ascii="Verdana" w:hAnsi="Verdana"/>
          <w:iCs/>
          <w:sz w:val="16"/>
          <w:szCs w:val="16"/>
        </w:rPr>
        <w:br/>
        <w:t>w międzynarodowych instytucjach finansowych będzie pozyskanie części środków zwrotnych poprzez emisje obligacji na rynku krajowym</w:t>
      </w:r>
      <w:r>
        <w:rPr>
          <w:rFonts w:ascii="Verdana" w:hAnsi="Verdana"/>
          <w:iCs/>
          <w:sz w:val="16"/>
          <w:szCs w:val="16"/>
        </w:rPr>
        <w:t xml:space="preserve"> oraz pożyczki preferencyjne</w:t>
      </w:r>
      <w:r w:rsidRPr="00383392">
        <w:rPr>
          <w:rFonts w:ascii="Verdana" w:hAnsi="Verdana"/>
          <w:iCs/>
          <w:sz w:val="16"/>
          <w:szCs w:val="16"/>
        </w:rPr>
        <w:t xml:space="preserve">. Podobnie do Skarbu Państwa, Miasto nie wyklucza emisji obligacji detalicznych, obligacji zrównoważonego rozwoju, obligacji zielonych (ekologicznych) i obligacji społecznych. </w:t>
      </w:r>
      <w:r w:rsidR="006422A8">
        <w:rPr>
          <w:rFonts w:ascii="Verdana" w:hAnsi="Verdana"/>
          <w:iCs/>
          <w:sz w:val="16"/>
          <w:szCs w:val="16"/>
        </w:rPr>
        <w:br w:type="page"/>
      </w:r>
    </w:p>
    <w:p w:rsidR="000C0694" w:rsidRPr="00383392" w:rsidRDefault="000C0694" w:rsidP="000C0694">
      <w:pPr>
        <w:spacing w:before="360" w:line="312" w:lineRule="auto"/>
        <w:jc w:val="both"/>
        <w:rPr>
          <w:rFonts w:ascii="Verdana" w:hAnsi="Verdana"/>
          <w:b/>
          <w:iCs/>
          <w:sz w:val="18"/>
          <w:szCs w:val="18"/>
        </w:rPr>
      </w:pPr>
      <w:r>
        <w:rPr>
          <w:rFonts w:ascii="Verdana" w:hAnsi="Verdana"/>
          <w:b/>
        </w:rPr>
        <w:lastRenderedPageBreak/>
        <w:t xml:space="preserve">5. </w:t>
      </w:r>
      <w:r w:rsidRPr="00383392">
        <w:rPr>
          <w:rFonts w:ascii="Verdana" w:hAnsi="Verdana"/>
          <w:b/>
        </w:rPr>
        <w:t>Perspektywa spłaty zadłużenia</w:t>
      </w:r>
    </w:p>
    <w:p w:rsidR="000C0694" w:rsidRDefault="000C0694" w:rsidP="000C0694">
      <w:pPr>
        <w:spacing w:before="240"/>
        <w:jc w:val="both"/>
        <w:rPr>
          <w:rFonts w:ascii="Verdana" w:hAnsi="Verdana"/>
          <w:b/>
          <w:sz w:val="16"/>
          <w:szCs w:val="16"/>
        </w:rPr>
      </w:pPr>
      <w:r w:rsidRPr="00383392">
        <w:rPr>
          <w:rFonts w:ascii="Verdana" w:hAnsi="Verdana"/>
          <w:iCs/>
          <w:sz w:val="16"/>
          <w:szCs w:val="16"/>
        </w:rPr>
        <w:t>Realizowane</w:t>
      </w:r>
      <w:r w:rsidRPr="00383392">
        <w:rPr>
          <w:rFonts w:ascii="Verdana" w:hAnsi="Verdana"/>
          <w:sz w:val="16"/>
          <w:szCs w:val="16"/>
        </w:rPr>
        <w:t xml:space="preserve"> spłaty zadłużenia wraz z prognozowanym do zaciągnięcia nowym finansowaniem zwrotnym wpłyną na poziom zadłużenia przedstawiony na wykresie 2.</w:t>
      </w:r>
    </w:p>
    <w:p w:rsidR="000C0694" w:rsidRPr="00383392" w:rsidRDefault="000C0694" w:rsidP="000C0694">
      <w:pPr>
        <w:jc w:val="both"/>
        <w:rPr>
          <w:rFonts w:ascii="Verdana" w:hAnsi="Verdana"/>
          <w:b/>
          <w:sz w:val="16"/>
          <w:szCs w:val="16"/>
        </w:rPr>
      </w:pPr>
    </w:p>
    <w:p w:rsidR="000C0694" w:rsidRPr="00383392" w:rsidRDefault="000C0694" w:rsidP="000C0694">
      <w:pPr>
        <w:jc w:val="both"/>
        <w:rPr>
          <w:rFonts w:ascii="Verdana" w:hAnsi="Verdana"/>
          <w:iCs/>
          <w:sz w:val="18"/>
          <w:szCs w:val="18"/>
        </w:rPr>
      </w:pPr>
      <w:r w:rsidRPr="00383392">
        <w:rPr>
          <w:rFonts w:ascii="Verdana" w:hAnsi="Verdana"/>
          <w:b/>
          <w:sz w:val="14"/>
          <w:szCs w:val="14"/>
        </w:rPr>
        <w:t>WYK. 2 ZADŁUŻENIE M.ST. WARSZAW</w:t>
      </w:r>
      <w:r>
        <w:rPr>
          <w:rFonts w:ascii="Verdana" w:hAnsi="Verdana"/>
          <w:b/>
          <w:sz w:val="14"/>
          <w:szCs w:val="14"/>
        </w:rPr>
        <w:t>Y W RAMACH WPF 2022</w:t>
      </w:r>
      <w:r w:rsidRPr="00383392">
        <w:rPr>
          <w:rFonts w:ascii="Verdana" w:hAnsi="Verdana"/>
          <w:b/>
          <w:sz w:val="14"/>
          <w:szCs w:val="14"/>
        </w:rPr>
        <w:t xml:space="preserve">-2050 </w:t>
      </w:r>
      <w:r w:rsidRPr="00383392">
        <w:rPr>
          <w:rFonts w:ascii="Verdana" w:hAnsi="Verdana"/>
          <w:sz w:val="14"/>
          <w:szCs w:val="14"/>
        </w:rPr>
        <w:t>[w mln zł]</w:t>
      </w:r>
    </w:p>
    <w:p w:rsidR="000C0694" w:rsidRPr="002A5089" w:rsidRDefault="000C0694" w:rsidP="000C0694">
      <w:pPr>
        <w:jc w:val="both"/>
        <w:rPr>
          <w:noProof/>
        </w:rPr>
      </w:pPr>
      <w:r w:rsidRPr="00827088">
        <w:rPr>
          <w:noProof/>
        </w:rPr>
        <w:t xml:space="preserve"> </w:t>
      </w:r>
      <w:r>
        <w:rPr>
          <w:noProof/>
        </w:rPr>
        <w:drawing>
          <wp:inline distT="0" distB="0" distL="0" distR="0" wp14:anchorId="20F3F9CD" wp14:editId="4AC2FB9F">
            <wp:extent cx="5753100" cy="2409825"/>
            <wp:effectExtent l="0" t="0" r="0"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3100" cy="2409825"/>
                    </a:xfrm>
                    <a:prstGeom prst="rect">
                      <a:avLst/>
                    </a:prstGeom>
                    <a:noFill/>
                    <a:ln>
                      <a:noFill/>
                    </a:ln>
                  </pic:spPr>
                </pic:pic>
              </a:graphicData>
            </a:graphic>
          </wp:inline>
        </w:drawing>
      </w:r>
    </w:p>
    <w:p w:rsidR="000C0694" w:rsidRDefault="000C0694" w:rsidP="000C0694">
      <w:pPr>
        <w:spacing w:before="120"/>
        <w:jc w:val="both"/>
        <w:rPr>
          <w:rFonts w:ascii="Verdana" w:hAnsi="Verdana"/>
          <w:iCs/>
          <w:sz w:val="16"/>
          <w:szCs w:val="16"/>
        </w:rPr>
      </w:pPr>
      <w:r w:rsidRPr="00383392">
        <w:rPr>
          <w:rFonts w:ascii="Verdana" w:hAnsi="Verdana"/>
          <w:iCs/>
          <w:sz w:val="16"/>
          <w:szCs w:val="16"/>
        </w:rPr>
        <w:t>Z prognozy zadłużenia wynika, że najwyższa przewidywana kwota długu zostanie osiągnięta w 202</w:t>
      </w:r>
      <w:r>
        <w:rPr>
          <w:rFonts w:ascii="Verdana" w:hAnsi="Verdana"/>
          <w:iCs/>
          <w:sz w:val="16"/>
          <w:szCs w:val="16"/>
        </w:rPr>
        <w:t>6</w:t>
      </w:r>
      <w:r w:rsidRPr="00383392">
        <w:rPr>
          <w:rFonts w:ascii="Verdana" w:hAnsi="Verdana"/>
          <w:iCs/>
          <w:sz w:val="16"/>
          <w:szCs w:val="16"/>
        </w:rPr>
        <w:t xml:space="preserve"> roku  </w:t>
      </w:r>
      <w:r w:rsidRPr="00383392">
        <w:rPr>
          <w:rFonts w:ascii="Verdana" w:hAnsi="Verdana"/>
          <w:iCs/>
          <w:sz w:val="16"/>
          <w:szCs w:val="16"/>
        </w:rPr>
        <w:br/>
        <w:t xml:space="preserve">i będzie wynosić </w:t>
      </w:r>
      <w:r>
        <w:rPr>
          <w:rFonts w:ascii="Verdana" w:hAnsi="Verdana"/>
          <w:iCs/>
          <w:sz w:val="16"/>
          <w:szCs w:val="16"/>
        </w:rPr>
        <w:t>10.316,8</w:t>
      </w:r>
      <w:r w:rsidRPr="00383392">
        <w:rPr>
          <w:rFonts w:ascii="Verdana" w:hAnsi="Verdana"/>
          <w:iCs/>
          <w:sz w:val="16"/>
          <w:szCs w:val="16"/>
        </w:rPr>
        <w:t xml:space="preserve"> mln zł.</w:t>
      </w:r>
    </w:p>
    <w:p w:rsidR="000C0694" w:rsidRDefault="000C0694" w:rsidP="000C0694">
      <w:pPr>
        <w:spacing w:after="120"/>
        <w:jc w:val="both"/>
        <w:rPr>
          <w:rFonts w:ascii="Verdana" w:hAnsi="Verdana"/>
          <w:iCs/>
          <w:sz w:val="16"/>
          <w:szCs w:val="16"/>
        </w:rPr>
      </w:pPr>
      <w:r w:rsidRPr="00383392">
        <w:rPr>
          <w:rFonts w:ascii="Verdana" w:hAnsi="Verdana"/>
          <w:iCs/>
          <w:sz w:val="16"/>
          <w:szCs w:val="16"/>
        </w:rPr>
        <w:t xml:space="preserve">Zasadnicza spłata zadłużenia zaciąganego w perspektywie finansowej 2007-2013 jest realizowana </w:t>
      </w:r>
      <w:r w:rsidRPr="00383392">
        <w:rPr>
          <w:rFonts w:ascii="Verdana" w:hAnsi="Verdana"/>
          <w:iCs/>
          <w:sz w:val="16"/>
          <w:szCs w:val="16"/>
        </w:rPr>
        <w:br/>
        <w:t>w latach 2017-2025. Od roku 202</w:t>
      </w:r>
      <w:r>
        <w:rPr>
          <w:rFonts w:ascii="Verdana" w:hAnsi="Verdana"/>
          <w:iCs/>
          <w:sz w:val="16"/>
          <w:szCs w:val="16"/>
        </w:rPr>
        <w:t>7</w:t>
      </w:r>
      <w:r w:rsidRPr="00383392">
        <w:rPr>
          <w:rFonts w:ascii="Verdana" w:hAnsi="Verdana"/>
          <w:iCs/>
          <w:sz w:val="16"/>
          <w:szCs w:val="16"/>
        </w:rPr>
        <w:t xml:space="preserve"> prognozowane jest spłacanie znaczniejszych rat zadłużenia, które zostanie zaciągnięte </w:t>
      </w:r>
      <w:r>
        <w:rPr>
          <w:rFonts w:ascii="Verdana" w:hAnsi="Verdana"/>
          <w:iCs/>
          <w:sz w:val="16"/>
          <w:szCs w:val="16"/>
        </w:rPr>
        <w:t>po 2022 roku</w:t>
      </w:r>
      <w:r w:rsidRPr="00383392">
        <w:rPr>
          <w:rFonts w:ascii="Verdana" w:hAnsi="Verdana"/>
          <w:iCs/>
          <w:sz w:val="16"/>
          <w:szCs w:val="16"/>
        </w:rPr>
        <w:t xml:space="preserve">. Rozkład w czasie spłat zadłużenia istniejącego oraz </w:t>
      </w:r>
      <w:r>
        <w:rPr>
          <w:rFonts w:ascii="Verdana" w:hAnsi="Verdana"/>
          <w:iCs/>
          <w:sz w:val="16"/>
          <w:szCs w:val="16"/>
        </w:rPr>
        <w:t xml:space="preserve">realizowanego i </w:t>
      </w:r>
      <w:r w:rsidRPr="00383392">
        <w:rPr>
          <w:rFonts w:ascii="Verdana" w:hAnsi="Verdana"/>
          <w:iCs/>
          <w:sz w:val="16"/>
          <w:szCs w:val="16"/>
        </w:rPr>
        <w:t xml:space="preserve">planowanego do zaciągnięcia </w:t>
      </w:r>
      <w:r>
        <w:rPr>
          <w:rFonts w:ascii="Verdana" w:hAnsi="Verdana"/>
          <w:iCs/>
          <w:sz w:val="16"/>
          <w:szCs w:val="16"/>
        </w:rPr>
        <w:t xml:space="preserve">od 2022 </w:t>
      </w:r>
      <w:r w:rsidRPr="00383392">
        <w:rPr>
          <w:rFonts w:ascii="Verdana" w:hAnsi="Verdana"/>
          <w:iCs/>
          <w:sz w:val="16"/>
          <w:szCs w:val="16"/>
        </w:rPr>
        <w:t>przedstawia wykres 3.</w:t>
      </w:r>
    </w:p>
    <w:p w:rsidR="000C0694" w:rsidRDefault="000C0694" w:rsidP="000C0694">
      <w:pPr>
        <w:rPr>
          <w:rFonts w:ascii="Verdana" w:hAnsi="Verdana"/>
          <w:sz w:val="14"/>
          <w:szCs w:val="14"/>
        </w:rPr>
      </w:pPr>
      <w:r w:rsidRPr="00383392">
        <w:rPr>
          <w:rFonts w:ascii="Verdana" w:hAnsi="Verdana"/>
          <w:b/>
          <w:sz w:val="14"/>
          <w:szCs w:val="14"/>
        </w:rPr>
        <w:t>WYK. 3 SPŁATA ZADŁUŻENIA M.ST. WARSZAWY</w:t>
      </w:r>
      <w:r w:rsidRPr="00383392">
        <w:rPr>
          <w:rFonts w:ascii="Verdana" w:hAnsi="Verdana"/>
          <w:sz w:val="14"/>
          <w:szCs w:val="14"/>
        </w:rPr>
        <w:t xml:space="preserve"> </w:t>
      </w:r>
      <w:r w:rsidRPr="00080104">
        <w:rPr>
          <w:rFonts w:ascii="Verdana" w:hAnsi="Verdana"/>
          <w:b/>
          <w:sz w:val="14"/>
          <w:szCs w:val="14"/>
        </w:rPr>
        <w:t xml:space="preserve">W RAMACH WPF 2022-2050 </w:t>
      </w:r>
      <w:r w:rsidRPr="00383392">
        <w:rPr>
          <w:rFonts w:ascii="Verdana" w:hAnsi="Verdana"/>
          <w:sz w:val="14"/>
          <w:szCs w:val="14"/>
        </w:rPr>
        <w:t>[w mln zł]</w:t>
      </w:r>
    </w:p>
    <w:p w:rsidR="000C0694" w:rsidRDefault="000C0694" w:rsidP="000C0694">
      <w:pPr>
        <w:rPr>
          <w:rFonts w:ascii="Verdana" w:hAnsi="Verdana"/>
          <w:sz w:val="14"/>
          <w:szCs w:val="14"/>
        </w:rPr>
      </w:pPr>
    </w:p>
    <w:p w:rsidR="000C0694" w:rsidRPr="00383392" w:rsidRDefault="000C0694" w:rsidP="000C0694">
      <w:pPr>
        <w:rPr>
          <w:rFonts w:ascii="Verdana" w:hAnsi="Verdana"/>
          <w:sz w:val="14"/>
          <w:szCs w:val="14"/>
        </w:rPr>
      </w:pPr>
      <w:r>
        <w:rPr>
          <w:rFonts w:ascii="Verdana" w:hAnsi="Verdana"/>
          <w:noProof/>
          <w:sz w:val="14"/>
          <w:szCs w:val="14"/>
        </w:rPr>
        <w:drawing>
          <wp:inline distT="0" distB="0" distL="0" distR="0" wp14:anchorId="353BEDE9" wp14:editId="5722D3BE">
            <wp:extent cx="5753100" cy="195262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3100" cy="1952625"/>
                    </a:xfrm>
                    <a:prstGeom prst="rect">
                      <a:avLst/>
                    </a:prstGeom>
                    <a:noFill/>
                    <a:ln>
                      <a:noFill/>
                    </a:ln>
                  </pic:spPr>
                </pic:pic>
              </a:graphicData>
            </a:graphic>
          </wp:inline>
        </w:drawing>
      </w:r>
    </w:p>
    <w:p w:rsidR="000C0694" w:rsidRPr="00383392" w:rsidRDefault="000C0694" w:rsidP="000C0694">
      <w:pPr>
        <w:rPr>
          <w:rFonts w:ascii="Verdana" w:hAnsi="Verdana"/>
          <w:b/>
          <w:noProof/>
          <w:sz w:val="14"/>
          <w:szCs w:val="14"/>
        </w:rPr>
      </w:pPr>
    </w:p>
    <w:p w:rsidR="000C0694" w:rsidRPr="00383392" w:rsidRDefault="000C0694" w:rsidP="000C0694">
      <w:pPr>
        <w:spacing w:after="120"/>
        <w:jc w:val="both"/>
        <w:rPr>
          <w:rFonts w:ascii="Verdana" w:hAnsi="Verdana"/>
          <w:iCs/>
          <w:sz w:val="16"/>
          <w:szCs w:val="16"/>
        </w:rPr>
      </w:pPr>
      <w:r w:rsidRPr="00383392">
        <w:rPr>
          <w:rFonts w:ascii="Verdana" w:hAnsi="Verdana"/>
          <w:iCs/>
          <w:sz w:val="16"/>
          <w:szCs w:val="16"/>
        </w:rPr>
        <w:t xml:space="preserve">Charakterystyka planowanego zadłużenia sprzyjać będzie bezpiecznemu rozkładowi rocznych spłat zobowiązań  Miasta. Spłata zadłużenia będzie najwyższa w roku 2030 – </w:t>
      </w:r>
      <w:r w:rsidRPr="00CB32E5">
        <w:rPr>
          <w:rFonts w:ascii="Verdana" w:hAnsi="Verdana"/>
          <w:iCs/>
          <w:sz w:val="16"/>
          <w:szCs w:val="16"/>
        </w:rPr>
        <w:t>7</w:t>
      </w:r>
      <w:r>
        <w:rPr>
          <w:rFonts w:ascii="Verdana" w:hAnsi="Verdana"/>
          <w:iCs/>
          <w:sz w:val="16"/>
          <w:szCs w:val="16"/>
        </w:rPr>
        <w:t>39</w:t>
      </w:r>
      <w:r w:rsidRPr="00CB32E5">
        <w:rPr>
          <w:rFonts w:ascii="Verdana" w:hAnsi="Verdana"/>
          <w:iCs/>
          <w:sz w:val="16"/>
          <w:szCs w:val="16"/>
        </w:rPr>
        <w:t>,</w:t>
      </w:r>
      <w:r>
        <w:rPr>
          <w:rFonts w:ascii="Verdana" w:hAnsi="Verdana"/>
          <w:iCs/>
          <w:sz w:val="16"/>
          <w:szCs w:val="16"/>
        </w:rPr>
        <w:t>5</w:t>
      </w:r>
      <w:r w:rsidRPr="00CB32E5">
        <w:rPr>
          <w:rFonts w:ascii="Verdana" w:hAnsi="Verdana"/>
          <w:iCs/>
          <w:sz w:val="16"/>
          <w:szCs w:val="16"/>
        </w:rPr>
        <w:t xml:space="preserve"> mln zł. Obowiązujące przepisy ustawy</w:t>
      </w:r>
      <w:r w:rsidRPr="00CB32E5">
        <w:rPr>
          <w:rFonts w:ascii="Verdana" w:hAnsi="Verdana"/>
          <w:iCs/>
          <w:sz w:val="16"/>
          <w:szCs w:val="16"/>
        </w:rPr>
        <w:br/>
        <w:t xml:space="preserve">o finansach publicznych mogą być wykorzystane do aktywnego zarządzania posiadanym zadłużeniem </w:t>
      </w:r>
      <w:r>
        <w:rPr>
          <w:rFonts w:ascii="Verdana" w:hAnsi="Verdana"/>
          <w:iCs/>
          <w:sz w:val="16"/>
          <w:szCs w:val="16"/>
        </w:rPr>
        <w:br/>
      </w:r>
      <w:r w:rsidRPr="00CB32E5">
        <w:rPr>
          <w:rFonts w:ascii="Verdana" w:hAnsi="Verdana"/>
          <w:iCs/>
          <w:sz w:val="16"/>
          <w:szCs w:val="16"/>
        </w:rPr>
        <w:t>w planowanym budżecie 2022 roku. Poza spłatą zadłużenia</w:t>
      </w:r>
      <w:r w:rsidRPr="00383392">
        <w:rPr>
          <w:rFonts w:ascii="Verdana" w:hAnsi="Verdana"/>
          <w:iCs/>
          <w:sz w:val="16"/>
          <w:szCs w:val="16"/>
        </w:rPr>
        <w:t xml:space="preserve"> istotne znaczenie posiada rozkład kosztów odsetkowych w poszczególnych latach. W całym okresie 202</w:t>
      </w:r>
      <w:r>
        <w:rPr>
          <w:rFonts w:ascii="Verdana" w:hAnsi="Verdana"/>
          <w:iCs/>
          <w:sz w:val="16"/>
          <w:szCs w:val="16"/>
        </w:rPr>
        <w:t>2</w:t>
      </w:r>
      <w:r w:rsidRPr="00383392">
        <w:rPr>
          <w:rFonts w:ascii="Verdana" w:hAnsi="Verdana"/>
          <w:iCs/>
          <w:sz w:val="16"/>
          <w:szCs w:val="16"/>
        </w:rPr>
        <w:t xml:space="preserve">–2050 nie przekroczą one </w:t>
      </w:r>
      <w:r w:rsidRPr="002E1967">
        <w:rPr>
          <w:rFonts w:ascii="Verdana" w:hAnsi="Verdana"/>
          <w:iCs/>
          <w:sz w:val="16"/>
          <w:szCs w:val="16"/>
        </w:rPr>
        <w:t>1,</w:t>
      </w:r>
      <w:r>
        <w:rPr>
          <w:rFonts w:ascii="Verdana" w:hAnsi="Verdana"/>
          <w:iCs/>
          <w:sz w:val="16"/>
          <w:szCs w:val="16"/>
        </w:rPr>
        <w:t>54</w:t>
      </w:r>
      <w:r w:rsidRPr="002E1967">
        <w:rPr>
          <w:rFonts w:ascii="Verdana" w:hAnsi="Verdana"/>
          <w:iCs/>
          <w:sz w:val="16"/>
          <w:szCs w:val="16"/>
        </w:rPr>
        <w:t>% wydatków</w:t>
      </w:r>
      <w:r w:rsidRPr="00383392">
        <w:rPr>
          <w:rFonts w:ascii="Verdana" w:hAnsi="Verdana"/>
          <w:iCs/>
          <w:sz w:val="16"/>
          <w:szCs w:val="16"/>
        </w:rPr>
        <w:t xml:space="preserve"> budżetowych (średnio </w:t>
      </w:r>
      <w:r>
        <w:rPr>
          <w:rFonts w:ascii="Verdana" w:hAnsi="Verdana"/>
          <w:iCs/>
          <w:sz w:val="16"/>
          <w:szCs w:val="16"/>
        </w:rPr>
        <w:t>0,76</w:t>
      </w:r>
      <w:r w:rsidRPr="00383392">
        <w:rPr>
          <w:rFonts w:ascii="Verdana" w:hAnsi="Verdana"/>
          <w:iCs/>
          <w:sz w:val="16"/>
          <w:szCs w:val="16"/>
        </w:rPr>
        <w:t xml:space="preserve">%). Rozłożenie obciążeń na poszczególne lata prognozy sprzyja stabilności finansowej </w:t>
      </w:r>
      <w:r w:rsidRPr="00383392">
        <w:rPr>
          <w:rFonts w:ascii="Verdana" w:hAnsi="Verdana"/>
          <w:iCs/>
          <w:sz w:val="16"/>
          <w:szCs w:val="16"/>
        </w:rPr>
        <w:lastRenderedPageBreak/>
        <w:t xml:space="preserve">Miasta w ramach realizowanego harmonijnego rozwoju oraz zabezpiecza je przed ryzykiem przekroczenia </w:t>
      </w:r>
      <w:r w:rsidRPr="00383392">
        <w:rPr>
          <w:rFonts w:ascii="Verdana" w:hAnsi="Verdana"/>
          <w:sz w:val="16"/>
          <w:szCs w:val="16"/>
        </w:rPr>
        <w:t>ustawowo</w:t>
      </w:r>
      <w:r w:rsidRPr="00383392">
        <w:rPr>
          <w:rFonts w:ascii="Verdana" w:hAnsi="Verdana"/>
          <w:iCs/>
          <w:sz w:val="16"/>
          <w:szCs w:val="16"/>
        </w:rPr>
        <w:t xml:space="preserve"> wyznacz</w:t>
      </w:r>
      <w:r>
        <w:rPr>
          <w:rFonts w:ascii="Verdana" w:hAnsi="Verdana"/>
          <w:iCs/>
          <w:sz w:val="16"/>
          <w:szCs w:val="16"/>
        </w:rPr>
        <w:t>a</w:t>
      </w:r>
      <w:r w:rsidRPr="00383392">
        <w:rPr>
          <w:rFonts w:ascii="Verdana" w:hAnsi="Verdana"/>
          <w:iCs/>
          <w:sz w:val="16"/>
          <w:szCs w:val="16"/>
        </w:rPr>
        <w:t>nego limitu.</w:t>
      </w:r>
    </w:p>
    <w:p w:rsidR="000C0694" w:rsidRDefault="000C0694" w:rsidP="000C0694">
      <w:pPr>
        <w:spacing w:after="120"/>
        <w:jc w:val="both"/>
        <w:rPr>
          <w:rFonts w:ascii="Verdana" w:hAnsi="Verdana"/>
          <w:sz w:val="16"/>
          <w:szCs w:val="16"/>
        </w:rPr>
      </w:pPr>
      <w:r w:rsidRPr="00383392">
        <w:rPr>
          <w:rFonts w:ascii="Verdana" w:hAnsi="Verdana"/>
          <w:sz w:val="16"/>
          <w:szCs w:val="16"/>
        </w:rPr>
        <w:t>Wykres nr 4 obrazuje udział płatności rat kapitałowych i odsetek do dochodów bieżących Miasta w relacji do limitu wyznaczanego ustawowo (art.</w:t>
      </w:r>
      <w:r>
        <w:rPr>
          <w:rFonts w:ascii="Verdana" w:hAnsi="Verdana"/>
          <w:sz w:val="16"/>
          <w:szCs w:val="16"/>
        </w:rPr>
        <w:t xml:space="preserve"> </w:t>
      </w:r>
      <w:r w:rsidRPr="00383392">
        <w:rPr>
          <w:rFonts w:ascii="Verdana" w:hAnsi="Verdana"/>
          <w:sz w:val="16"/>
          <w:szCs w:val="16"/>
        </w:rPr>
        <w:t xml:space="preserve">243 </w:t>
      </w:r>
      <w:r w:rsidRPr="008A7E2E">
        <w:rPr>
          <w:rFonts w:ascii="Verdana" w:hAnsi="Verdana"/>
          <w:iCs/>
          <w:sz w:val="16"/>
          <w:szCs w:val="16"/>
        </w:rPr>
        <w:t>ustawy o finansach publicznych</w:t>
      </w:r>
      <w:r w:rsidRPr="00383392">
        <w:rPr>
          <w:rFonts w:ascii="Verdana" w:hAnsi="Verdana"/>
          <w:sz w:val="16"/>
          <w:szCs w:val="16"/>
        </w:rPr>
        <w:t xml:space="preserve">). Wielkości uwzględniają prognozowane wyłączenia ze wskaźnika obsługi zadłużenia. </w:t>
      </w:r>
      <w:r w:rsidRPr="00F87313">
        <w:rPr>
          <w:rFonts w:ascii="Verdana" w:hAnsi="Verdana"/>
          <w:sz w:val="16"/>
          <w:szCs w:val="16"/>
        </w:rPr>
        <w:t xml:space="preserve">W roku </w:t>
      </w:r>
      <w:r>
        <w:rPr>
          <w:rFonts w:ascii="Verdana" w:hAnsi="Verdana"/>
          <w:sz w:val="16"/>
          <w:szCs w:val="16"/>
        </w:rPr>
        <w:t xml:space="preserve">2027 </w:t>
      </w:r>
      <w:r w:rsidRPr="00F87313">
        <w:rPr>
          <w:rFonts w:ascii="Verdana" w:hAnsi="Verdana"/>
          <w:sz w:val="16"/>
          <w:szCs w:val="16"/>
        </w:rPr>
        <w:t>przestrzeń pomiędzy limitem a wskaźnikiem obsługi zadłużenia</w:t>
      </w:r>
      <w:r w:rsidRPr="00383392">
        <w:rPr>
          <w:rFonts w:ascii="Verdana" w:hAnsi="Verdana"/>
          <w:sz w:val="16"/>
          <w:szCs w:val="16"/>
        </w:rPr>
        <w:t xml:space="preserve"> będzie najniższa w całym okresie objętym WPF. Główną przyczyną zawęż</w:t>
      </w:r>
      <w:r>
        <w:rPr>
          <w:rFonts w:ascii="Verdana" w:hAnsi="Verdana"/>
          <w:sz w:val="16"/>
          <w:szCs w:val="16"/>
        </w:rPr>
        <w:t>a</w:t>
      </w:r>
      <w:r w:rsidRPr="00383392">
        <w:rPr>
          <w:rFonts w:ascii="Verdana" w:hAnsi="Verdana"/>
          <w:sz w:val="16"/>
          <w:szCs w:val="16"/>
        </w:rPr>
        <w:t xml:space="preserve">nia limitu do wskaźnika obsługi długu </w:t>
      </w:r>
      <w:r>
        <w:rPr>
          <w:rFonts w:ascii="Verdana" w:hAnsi="Verdana"/>
          <w:sz w:val="16"/>
          <w:szCs w:val="16"/>
        </w:rPr>
        <w:t>w latach 2022-2027 są skutki</w:t>
      </w:r>
      <w:r w:rsidRPr="00383392">
        <w:rPr>
          <w:rFonts w:ascii="Verdana" w:hAnsi="Verdana"/>
          <w:sz w:val="16"/>
          <w:szCs w:val="16"/>
        </w:rPr>
        <w:t xml:space="preserve"> pogorszenia stanu finansów publicznych, w tym także finansów </w:t>
      </w:r>
      <w:r>
        <w:rPr>
          <w:rFonts w:ascii="Verdana" w:hAnsi="Verdana"/>
          <w:sz w:val="16"/>
          <w:szCs w:val="16"/>
        </w:rPr>
        <w:br/>
      </w:r>
      <w:r w:rsidRPr="00383392">
        <w:rPr>
          <w:rFonts w:ascii="Verdana" w:hAnsi="Verdana"/>
          <w:sz w:val="16"/>
          <w:szCs w:val="16"/>
        </w:rPr>
        <w:t>m.st. Warszawy. W wyniku tych perturbacji prognozuje się znaczny ubytek dochodów bieżących przy jednoczesnym wzroście wydatków bieżących (stanowiących element limitu obsługi długu). Wpływa to na zmniejszenie limitu i ograniczenie zdolności kredytowej, mierzonej jako różnica między limitem a wskaźnikiem obsługi długu.</w:t>
      </w:r>
    </w:p>
    <w:p w:rsidR="000C0694" w:rsidRDefault="000C0694" w:rsidP="000C0694">
      <w:pPr>
        <w:spacing w:before="120" w:after="120" w:line="288" w:lineRule="auto"/>
        <w:rPr>
          <w:noProof/>
        </w:rPr>
      </w:pPr>
      <w:r w:rsidRPr="00383392">
        <w:rPr>
          <w:rFonts w:ascii="Verdana" w:hAnsi="Verdana"/>
          <w:b/>
          <w:sz w:val="14"/>
          <w:szCs w:val="14"/>
        </w:rPr>
        <w:t xml:space="preserve">WYK. 4 PORÓWNANIE WSKAŹNIKA OBSŁUGI DŁUGU I DOPUSZCZALNEGO LIMITU OBSŁUGI DŁUGU MIASTA </w:t>
      </w:r>
      <w:r w:rsidRPr="00383392">
        <w:rPr>
          <w:rFonts w:ascii="Verdana" w:hAnsi="Verdana"/>
          <w:b/>
          <w:sz w:val="14"/>
          <w:szCs w:val="14"/>
        </w:rPr>
        <w:br/>
        <w:t xml:space="preserve">            Z UWZGLĘDNIENIEM USTAWOWYCH WYŁĄCZEŃ</w:t>
      </w:r>
      <w:r w:rsidRPr="002458C2">
        <w:rPr>
          <w:noProof/>
        </w:rPr>
        <w:t xml:space="preserve"> </w:t>
      </w:r>
    </w:p>
    <w:p w:rsidR="000C0694" w:rsidRDefault="000C0694" w:rsidP="000C0694">
      <w:pPr>
        <w:spacing w:before="120" w:after="120" w:line="288" w:lineRule="auto"/>
        <w:rPr>
          <w:rFonts w:ascii="Verdana" w:hAnsi="Verdana" w:cs="Calibri"/>
          <w:sz w:val="16"/>
          <w:szCs w:val="16"/>
        </w:rPr>
      </w:pPr>
      <w:r>
        <w:rPr>
          <w:noProof/>
        </w:rPr>
        <w:drawing>
          <wp:inline distT="0" distB="0" distL="0" distR="0" wp14:anchorId="6E220087" wp14:editId="297B3973">
            <wp:extent cx="5759450" cy="2241073"/>
            <wp:effectExtent l="0" t="0" r="12700" b="6985"/>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045835" w:rsidDel="00045835">
        <w:rPr>
          <w:noProof/>
        </w:rPr>
        <w:t xml:space="preserve"> </w:t>
      </w:r>
    </w:p>
    <w:p w:rsidR="000C0694" w:rsidRPr="00992B91" w:rsidRDefault="000C0694" w:rsidP="000C0694">
      <w:pPr>
        <w:spacing w:after="120"/>
        <w:jc w:val="both"/>
        <w:rPr>
          <w:rFonts w:ascii="Verdana" w:hAnsi="Verdana" w:cs="Calibri"/>
          <w:sz w:val="16"/>
          <w:szCs w:val="16"/>
        </w:rPr>
      </w:pPr>
      <w:r w:rsidRPr="00992B91">
        <w:rPr>
          <w:rFonts w:ascii="Verdana" w:hAnsi="Verdana" w:cs="Calibri"/>
          <w:sz w:val="16"/>
          <w:szCs w:val="16"/>
        </w:rPr>
        <w:t>W roku 2021</w:t>
      </w:r>
      <w:r>
        <w:rPr>
          <w:rFonts w:ascii="Verdana" w:hAnsi="Verdana" w:cs="Calibri"/>
          <w:sz w:val="16"/>
          <w:szCs w:val="16"/>
        </w:rPr>
        <w:t>,</w:t>
      </w:r>
      <w:r w:rsidRPr="00992B91">
        <w:rPr>
          <w:rFonts w:ascii="Verdana" w:hAnsi="Verdana" w:cs="Calibri"/>
          <w:sz w:val="16"/>
          <w:szCs w:val="16"/>
        </w:rPr>
        <w:t xml:space="preserve"> zgodnie z ustawą okołobudżetową</w:t>
      </w:r>
      <w:r>
        <w:rPr>
          <w:rFonts w:ascii="Verdana" w:hAnsi="Verdana" w:cs="Calibri"/>
          <w:sz w:val="16"/>
          <w:szCs w:val="16"/>
        </w:rPr>
        <w:t>,</w:t>
      </w:r>
      <w:r w:rsidRPr="00992B91">
        <w:rPr>
          <w:rFonts w:ascii="Verdana" w:hAnsi="Verdana" w:cs="Calibri"/>
          <w:sz w:val="16"/>
          <w:szCs w:val="16"/>
        </w:rPr>
        <w:t xml:space="preserve"> ograniczenia określonego w art. 243 ust. 1 ustawy o finansach publicznych w zakresie spłaty zobowiązań JST nie stosowało się do wykupów papierów wartościowych, spłaty rat kredytów i pożyczek wraz z należnymi odsetkami i dyskontem, odpowiednio emitowanych lub zaciągniętych </w:t>
      </w:r>
      <w:r>
        <w:rPr>
          <w:rFonts w:ascii="Verdana" w:hAnsi="Verdana" w:cs="Calibri"/>
          <w:sz w:val="16"/>
          <w:szCs w:val="16"/>
        </w:rPr>
        <w:br/>
      </w:r>
      <w:r w:rsidRPr="00992B91">
        <w:rPr>
          <w:rFonts w:ascii="Verdana" w:hAnsi="Verdana" w:cs="Calibri"/>
          <w:sz w:val="16"/>
          <w:szCs w:val="16"/>
        </w:rPr>
        <w:t>w roku 2021 do równowartości kwoty ubytku w wykonanych dochodach jednostki</w:t>
      </w:r>
      <w:r>
        <w:rPr>
          <w:rFonts w:ascii="Verdana" w:hAnsi="Verdana" w:cs="Calibri"/>
          <w:sz w:val="16"/>
          <w:szCs w:val="16"/>
        </w:rPr>
        <w:t>,</w:t>
      </w:r>
      <w:r w:rsidRPr="00BD1C8D">
        <w:t xml:space="preserve"> </w:t>
      </w:r>
      <w:r w:rsidRPr="00BD1C8D">
        <w:rPr>
          <w:rFonts w:ascii="Verdana" w:hAnsi="Verdana" w:cs="Calibri"/>
          <w:sz w:val="16"/>
          <w:szCs w:val="16"/>
        </w:rPr>
        <w:t>będącego skutkiem wystąpienia COVID-19</w:t>
      </w:r>
      <w:r w:rsidRPr="00992B91">
        <w:rPr>
          <w:rFonts w:ascii="Verdana" w:hAnsi="Verdana" w:cs="Calibri"/>
          <w:sz w:val="16"/>
          <w:szCs w:val="16"/>
        </w:rPr>
        <w:t>. Ponadto relacja, o której mowa w art. 242 ustawy o finansach publicznych, mogła zostać przekroczona o kwotę planowanych wydatków bieżących ponoszonych na przeciwdziałanie COVID-19 lub o kwotę planowanego ubytku w dochodach, będącego skutkiem wystąpienia COVID-19. Rozwiązania dostosowujące regulacje ustawowe dotyczące limitu oraz wskaźnika zadłużenia z art. 242 i 243 ustawy o finansach publicznych do sytuacji w jakiej znalazły się samorządy w związku z pandemią Covid-19 wprowadzane były na lata</w:t>
      </w:r>
      <w:r>
        <w:rPr>
          <w:rFonts w:ascii="Verdana" w:hAnsi="Verdana" w:cs="Calibri"/>
          <w:sz w:val="16"/>
          <w:szCs w:val="16"/>
        </w:rPr>
        <w:t>:</w:t>
      </w:r>
      <w:r w:rsidRPr="00992B91">
        <w:rPr>
          <w:rFonts w:ascii="Verdana" w:hAnsi="Verdana" w:cs="Calibri"/>
          <w:sz w:val="16"/>
          <w:szCs w:val="16"/>
        </w:rPr>
        <w:t xml:space="preserve"> 2020</w:t>
      </w:r>
      <w:r>
        <w:rPr>
          <w:rFonts w:ascii="Verdana" w:hAnsi="Verdana" w:cs="Calibri"/>
          <w:sz w:val="16"/>
          <w:szCs w:val="16"/>
        </w:rPr>
        <w:t>-</w:t>
      </w:r>
      <w:r w:rsidRPr="00992B91">
        <w:rPr>
          <w:rFonts w:ascii="Verdana" w:hAnsi="Verdana" w:cs="Calibri"/>
          <w:sz w:val="16"/>
          <w:szCs w:val="16"/>
        </w:rPr>
        <w:t>2021</w:t>
      </w:r>
      <w:r>
        <w:rPr>
          <w:rFonts w:ascii="Verdana" w:hAnsi="Verdana" w:cs="Calibri"/>
          <w:sz w:val="16"/>
          <w:szCs w:val="16"/>
        </w:rPr>
        <w:t>,</w:t>
      </w:r>
      <w:r w:rsidRPr="00992B91">
        <w:rPr>
          <w:rFonts w:ascii="Verdana" w:hAnsi="Verdana" w:cs="Calibri"/>
          <w:sz w:val="16"/>
          <w:szCs w:val="16"/>
        </w:rPr>
        <w:t xml:space="preserve"> co </w:t>
      </w:r>
      <w:r>
        <w:rPr>
          <w:rFonts w:ascii="Verdana" w:hAnsi="Verdana" w:cs="Calibri"/>
          <w:sz w:val="16"/>
          <w:szCs w:val="16"/>
        </w:rPr>
        <w:t>istotnie poluzowało</w:t>
      </w:r>
      <w:r w:rsidRPr="00992B91">
        <w:rPr>
          <w:rFonts w:ascii="Verdana" w:hAnsi="Verdana" w:cs="Calibri"/>
          <w:sz w:val="16"/>
          <w:szCs w:val="16"/>
        </w:rPr>
        <w:t xml:space="preserve"> ustawowe limity.</w:t>
      </w:r>
    </w:p>
    <w:p w:rsidR="000C0694" w:rsidRPr="00992B91" w:rsidRDefault="000C0694" w:rsidP="000C0694">
      <w:pPr>
        <w:spacing w:after="120"/>
        <w:jc w:val="both"/>
        <w:rPr>
          <w:rFonts w:ascii="Verdana" w:hAnsi="Verdana" w:cs="Calibri"/>
          <w:sz w:val="16"/>
          <w:szCs w:val="16"/>
        </w:rPr>
      </w:pPr>
      <w:r>
        <w:rPr>
          <w:rFonts w:ascii="Verdana" w:hAnsi="Verdana" w:cs="Calibri"/>
          <w:sz w:val="16"/>
          <w:szCs w:val="16"/>
        </w:rPr>
        <w:t>U</w:t>
      </w:r>
      <w:r w:rsidRPr="007C50F7">
        <w:rPr>
          <w:rFonts w:ascii="Verdana" w:hAnsi="Verdana" w:cs="Calibri"/>
          <w:sz w:val="16"/>
          <w:szCs w:val="16"/>
        </w:rPr>
        <w:t>staw</w:t>
      </w:r>
      <w:r>
        <w:rPr>
          <w:rFonts w:ascii="Verdana" w:hAnsi="Verdana" w:cs="Calibri"/>
          <w:sz w:val="16"/>
          <w:szCs w:val="16"/>
        </w:rPr>
        <w:t>a</w:t>
      </w:r>
      <w:r w:rsidRPr="007C50F7">
        <w:rPr>
          <w:rFonts w:ascii="Verdana" w:hAnsi="Verdana" w:cs="Calibri"/>
          <w:sz w:val="16"/>
          <w:szCs w:val="16"/>
        </w:rPr>
        <w:t xml:space="preserve"> o wsparciu jednostek samorządu terytorialnego w związku z Programem Polski Ład, z </w:t>
      </w:r>
      <w:r>
        <w:rPr>
          <w:rFonts w:ascii="Verdana" w:hAnsi="Verdana" w:cs="Calibri"/>
          <w:sz w:val="16"/>
          <w:szCs w:val="16"/>
        </w:rPr>
        <w:t>14</w:t>
      </w:r>
      <w:r w:rsidRPr="007C50F7">
        <w:rPr>
          <w:rFonts w:ascii="Verdana" w:hAnsi="Verdana" w:cs="Calibri"/>
          <w:sz w:val="16"/>
          <w:szCs w:val="16"/>
        </w:rPr>
        <w:t xml:space="preserve"> </w:t>
      </w:r>
      <w:r>
        <w:rPr>
          <w:rFonts w:ascii="Verdana" w:hAnsi="Verdana" w:cs="Calibri"/>
          <w:sz w:val="16"/>
          <w:szCs w:val="16"/>
        </w:rPr>
        <w:t>październik</w:t>
      </w:r>
      <w:r w:rsidRPr="007C50F7">
        <w:rPr>
          <w:rFonts w:ascii="Verdana" w:hAnsi="Verdana" w:cs="Calibri"/>
          <w:sz w:val="16"/>
          <w:szCs w:val="16"/>
        </w:rPr>
        <w:t>a</w:t>
      </w:r>
      <w:r>
        <w:rPr>
          <w:rFonts w:ascii="Verdana" w:hAnsi="Verdana" w:cs="Calibri"/>
          <w:sz w:val="16"/>
          <w:szCs w:val="16"/>
        </w:rPr>
        <w:t xml:space="preserve"> b.</w:t>
      </w:r>
      <w:r w:rsidRPr="007C50F7">
        <w:rPr>
          <w:rFonts w:ascii="Verdana" w:hAnsi="Verdana" w:cs="Calibri"/>
          <w:sz w:val="16"/>
          <w:szCs w:val="16"/>
        </w:rPr>
        <w:t xml:space="preserve">r., zawiera m.in. </w:t>
      </w:r>
      <w:r>
        <w:rPr>
          <w:rFonts w:ascii="Verdana" w:hAnsi="Verdana" w:cs="Calibri"/>
          <w:sz w:val="16"/>
          <w:szCs w:val="16"/>
        </w:rPr>
        <w:t xml:space="preserve">rozwiązania </w:t>
      </w:r>
      <w:r w:rsidRPr="007C50F7">
        <w:rPr>
          <w:rFonts w:ascii="Verdana" w:hAnsi="Verdana" w:cs="Calibri"/>
          <w:sz w:val="16"/>
          <w:szCs w:val="16"/>
        </w:rPr>
        <w:t>dotyczące przekazania z budżetu państwa dla JST dodatkowych środków jako wsparcia realizacji w roku 2022 zadań własnych samorządu terytorialnego w związku ze skutkami fiskalnymi Polskiego Ładu, zmiany w zakresie udziałów JST we wpływach z podatków dochodowych oraz uelastycznienie zarządzania budżetami JST poprzez modyfikację reguł fiskalnych obowiązujących JST.</w:t>
      </w:r>
      <w:r w:rsidRPr="00992B91">
        <w:rPr>
          <w:rFonts w:ascii="Verdana" w:hAnsi="Verdana" w:cs="Calibri"/>
          <w:sz w:val="16"/>
          <w:szCs w:val="16"/>
        </w:rPr>
        <w:t xml:space="preserve"> Wprowadzona </w:t>
      </w:r>
      <w:r>
        <w:rPr>
          <w:rFonts w:ascii="Verdana" w:hAnsi="Verdana" w:cs="Calibri"/>
          <w:sz w:val="16"/>
          <w:szCs w:val="16"/>
        </w:rPr>
        <w:t xml:space="preserve">została </w:t>
      </w:r>
      <w:r w:rsidRPr="00992B91">
        <w:rPr>
          <w:rFonts w:ascii="Verdana" w:hAnsi="Verdana" w:cs="Calibri"/>
          <w:sz w:val="16"/>
          <w:szCs w:val="16"/>
        </w:rPr>
        <w:t xml:space="preserve">też zmiana w sposobie ustalania limitu obsługi długu z art. 243 </w:t>
      </w:r>
      <w:r w:rsidRPr="000A509C">
        <w:rPr>
          <w:rFonts w:ascii="Verdana" w:hAnsi="Verdana" w:cs="Calibri"/>
          <w:sz w:val="16"/>
          <w:szCs w:val="16"/>
        </w:rPr>
        <w:t>ustawy o finansach publicznych</w:t>
      </w:r>
      <w:r>
        <w:rPr>
          <w:rFonts w:ascii="Verdana" w:hAnsi="Verdana" w:cs="Calibri"/>
          <w:sz w:val="16"/>
          <w:szCs w:val="16"/>
        </w:rPr>
        <w:t>,</w:t>
      </w:r>
      <w:r w:rsidRPr="00992B91">
        <w:rPr>
          <w:rFonts w:ascii="Verdana" w:hAnsi="Verdana" w:cs="Calibri"/>
          <w:sz w:val="16"/>
          <w:szCs w:val="16"/>
        </w:rPr>
        <w:t xml:space="preserve"> </w:t>
      </w:r>
      <w:r>
        <w:rPr>
          <w:rFonts w:ascii="Verdana" w:hAnsi="Verdana" w:cs="Calibri"/>
          <w:sz w:val="16"/>
          <w:szCs w:val="16"/>
        </w:rPr>
        <w:t>co istotnie wpłynęło na jego poluzowanie</w:t>
      </w:r>
      <w:r w:rsidRPr="00992B91">
        <w:rPr>
          <w:rFonts w:ascii="Verdana" w:hAnsi="Verdana" w:cs="Calibri"/>
          <w:sz w:val="16"/>
          <w:szCs w:val="16"/>
        </w:rPr>
        <w:t>. Do obliczania limitu można brać wielkość nadwyżek bieżących osiąganych nie w 3 ostatnich latach, ale (jeśli jest to dla danej JST korzystne) w ostatnich 7 latach.</w:t>
      </w:r>
      <w:r>
        <w:rPr>
          <w:rFonts w:ascii="Verdana" w:hAnsi="Verdana" w:cs="Calibri"/>
          <w:sz w:val="16"/>
          <w:szCs w:val="16"/>
        </w:rPr>
        <w:t xml:space="preserve"> M.st. Warszawa w latach 2022-2025 będzie stosowała 7 letni okres </w:t>
      </w:r>
      <w:r w:rsidRPr="007C50F7">
        <w:rPr>
          <w:rFonts w:ascii="Verdana" w:hAnsi="Verdana" w:cs="Calibri"/>
          <w:sz w:val="16"/>
          <w:szCs w:val="16"/>
        </w:rPr>
        <w:t>do wyliczenia relacji określonej w art. 243 ust. 1 ustawy o finansach publicznych</w:t>
      </w:r>
      <w:r>
        <w:rPr>
          <w:rFonts w:ascii="Verdana" w:hAnsi="Verdana" w:cs="Calibri"/>
          <w:sz w:val="16"/>
          <w:szCs w:val="16"/>
        </w:rPr>
        <w:t xml:space="preserve">. Wykorzystanie takiej możliwości </w:t>
      </w:r>
      <w:r w:rsidRPr="007C50F7">
        <w:rPr>
          <w:rFonts w:ascii="Verdana" w:hAnsi="Verdana" w:cs="Calibri"/>
          <w:sz w:val="16"/>
          <w:szCs w:val="16"/>
        </w:rPr>
        <w:t xml:space="preserve">pozwoli na zwiększenie różnicy pomiędzy limitem obciążeń budżetu związanych </w:t>
      </w:r>
      <w:r w:rsidRPr="007C50F7">
        <w:rPr>
          <w:rFonts w:ascii="Verdana" w:hAnsi="Verdana" w:cs="Calibri"/>
          <w:sz w:val="16"/>
          <w:szCs w:val="16"/>
        </w:rPr>
        <w:lastRenderedPageBreak/>
        <w:t>z obsługą zadłużenia a wskaźnikiem obsługi zadłużenia, a tym samym na zwiększenie w tych latach bezpieczeństwa spełnienia reguły ustawowej.</w:t>
      </w:r>
    </w:p>
    <w:p w:rsidR="000C0694" w:rsidRPr="00992B91" w:rsidRDefault="000C0694" w:rsidP="000C0694">
      <w:pPr>
        <w:spacing w:after="120"/>
        <w:jc w:val="both"/>
        <w:rPr>
          <w:rFonts w:ascii="Verdana" w:hAnsi="Verdana" w:cs="Calibri"/>
          <w:sz w:val="16"/>
          <w:szCs w:val="16"/>
        </w:rPr>
      </w:pPr>
      <w:r>
        <w:rPr>
          <w:rFonts w:ascii="Verdana" w:hAnsi="Verdana" w:cs="Calibri"/>
          <w:sz w:val="16"/>
          <w:szCs w:val="16"/>
        </w:rPr>
        <w:t>Dzięki p</w:t>
      </w:r>
      <w:r w:rsidRPr="00992B91">
        <w:rPr>
          <w:rFonts w:ascii="Verdana" w:hAnsi="Verdana" w:cs="Calibri"/>
          <w:sz w:val="16"/>
          <w:szCs w:val="16"/>
        </w:rPr>
        <w:t>owyższ</w:t>
      </w:r>
      <w:r>
        <w:rPr>
          <w:rFonts w:ascii="Verdana" w:hAnsi="Verdana" w:cs="Calibri"/>
          <w:sz w:val="16"/>
          <w:szCs w:val="16"/>
        </w:rPr>
        <w:t>ym</w:t>
      </w:r>
      <w:r w:rsidRPr="00992B91">
        <w:rPr>
          <w:rFonts w:ascii="Verdana" w:hAnsi="Verdana" w:cs="Calibri"/>
          <w:sz w:val="16"/>
          <w:szCs w:val="16"/>
        </w:rPr>
        <w:t xml:space="preserve"> zmian</w:t>
      </w:r>
      <w:r>
        <w:rPr>
          <w:rFonts w:ascii="Verdana" w:hAnsi="Verdana" w:cs="Calibri"/>
          <w:sz w:val="16"/>
          <w:szCs w:val="16"/>
        </w:rPr>
        <w:t>om</w:t>
      </w:r>
      <w:r w:rsidRPr="00992B91">
        <w:rPr>
          <w:rFonts w:ascii="Verdana" w:hAnsi="Verdana" w:cs="Calibri"/>
          <w:sz w:val="16"/>
          <w:szCs w:val="16"/>
        </w:rPr>
        <w:t xml:space="preserve"> </w:t>
      </w:r>
      <w:r>
        <w:rPr>
          <w:rFonts w:ascii="Verdana" w:hAnsi="Verdana" w:cs="Calibri"/>
          <w:sz w:val="16"/>
          <w:szCs w:val="16"/>
        </w:rPr>
        <w:t>m.st.</w:t>
      </w:r>
      <w:r w:rsidRPr="00992B91">
        <w:rPr>
          <w:rFonts w:ascii="Verdana" w:hAnsi="Verdana" w:cs="Calibri"/>
          <w:sz w:val="16"/>
          <w:szCs w:val="16"/>
        </w:rPr>
        <w:t xml:space="preserve"> Warszaw</w:t>
      </w:r>
      <w:r>
        <w:rPr>
          <w:rFonts w:ascii="Verdana" w:hAnsi="Verdana" w:cs="Calibri"/>
          <w:sz w:val="16"/>
          <w:szCs w:val="16"/>
        </w:rPr>
        <w:t>a</w:t>
      </w:r>
      <w:r w:rsidRPr="00992B91">
        <w:rPr>
          <w:rFonts w:ascii="Verdana" w:hAnsi="Verdana" w:cs="Calibri"/>
          <w:sz w:val="16"/>
          <w:szCs w:val="16"/>
        </w:rPr>
        <w:t xml:space="preserve"> </w:t>
      </w:r>
      <w:r>
        <w:rPr>
          <w:rFonts w:ascii="Verdana" w:hAnsi="Verdana" w:cs="Calibri"/>
          <w:sz w:val="16"/>
          <w:szCs w:val="16"/>
        </w:rPr>
        <w:t>utrzyma</w:t>
      </w:r>
      <w:r w:rsidRPr="00992B91">
        <w:rPr>
          <w:rFonts w:ascii="Verdana" w:hAnsi="Verdana" w:cs="Calibri"/>
          <w:sz w:val="16"/>
          <w:szCs w:val="16"/>
        </w:rPr>
        <w:t xml:space="preserve"> </w:t>
      </w:r>
      <w:r>
        <w:rPr>
          <w:rFonts w:ascii="Verdana" w:hAnsi="Verdana" w:cs="Calibri"/>
          <w:sz w:val="16"/>
          <w:szCs w:val="16"/>
        </w:rPr>
        <w:t xml:space="preserve">w roku 2022 i latach następnych </w:t>
      </w:r>
      <w:r w:rsidRPr="00992B91">
        <w:rPr>
          <w:rFonts w:ascii="Verdana" w:hAnsi="Verdana" w:cs="Calibri"/>
          <w:sz w:val="16"/>
          <w:szCs w:val="16"/>
        </w:rPr>
        <w:t xml:space="preserve">bufor pomiędzy dopuszczalnym limitem a wskaźnikiem obsługi zadłużenia z art. 243 </w:t>
      </w:r>
      <w:r w:rsidRPr="000A509C">
        <w:rPr>
          <w:rFonts w:ascii="Verdana" w:hAnsi="Verdana" w:cs="Calibri"/>
          <w:sz w:val="16"/>
          <w:szCs w:val="16"/>
        </w:rPr>
        <w:t>ustawy o finansach publicznych</w:t>
      </w:r>
      <w:r w:rsidRPr="00992B91">
        <w:rPr>
          <w:rFonts w:ascii="Verdana" w:hAnsi="Verdana" w:cs="Calibri"/>
          <w:sz w:val="16"/>
          <w:szCs w:val="16"/>
        </w:rPr>
        <w:t>.</w:t>
      </w:r>
    </w:p>
    <w:p w:rsidR="000C0694" w:rsidRPr="00383392" w:rsidRDefault="000C0694" w:rsidP="000C0694">
      <w:pPr>
        <w:spacing w:before="360" w:line="312" w:lineRule="auto"/>
        <w:jc w:val="both"/>
        <w:rPr>
          <w:rFonts w:ascii="Verdana" w:hAnsi="Verdana"/>
          <w:b/>
        </w:rPr>
      </w:pPr>
      <w:bookmarkStart w:id="12" w:name="bookmark6"/>
      <w:r>
        <w:rPr>
          <w:rFonts w:ascii="Verdana" w:hAnsi="Verdana"/>
          <w:b/>
        </w:rPr>
        <w:t xml:space="preserve">6. </w:t>
      </w:r>
      <w:r w:rsidRPr="00383392">
        <w:rPr>
          <w:rFonts w:ascii="Verdana" w:hAnsi="Verdana"/>
          <w:b/>
        </w:rPr>
        <w:t>Realizacja polityki długu</w:t>
      </w:r>
      <w:bookmarkEnd w:id="12"/>
    </w:p>
    <w:p w:rsidR="000C0694" w:rsidRPr="00383392" w:rsidRDefault="000C0694" w:rsidP="000C0694">
      <w:pPr>
        <w:spacing w:before="240"/>
        <w:jc w:val="both"/>
        <w:rPr>
          <w:rFonts w:ascii="Verdana" w:hAnsi="Verdana"/>
          <w:sz w:val="16"/>
          <w:szCs w:val="16"/>
        </w:rPr>
      </w:pPr>
      <w:r w:rsidRPr="00383392">
        <w:rPr>
          <w:rFonts w:ascii="Verdana" w:hAnsi="Verdana"/>
          <w:sz w:val="16"/>
          <w:szCs w:val="16"/>
        </w:rPr>
        <w:t xml:space="preserve">Na realizację polityki długu w najbliższym czasie </w:t>
      </w:r>
      <w:r>
        <w:rPr>
          <w:rFonts w:ascii="Verdana" w:hAnsi="Verdana"/>
          <w:sz w:val="16"/>
          <w:szCs w:val="16"/>
        </w:rPr>
        <w:t xml:space="preserve">nadal </w:t>
      </w:r>
      <w:r w:rsidRPr="00383392">
        <w:rPr>
          <w:rFonts w:ascii="Verdana" w:hAnsi="Verdana"/>
          <w:sz w:val="16"/>
          <w:szCs w:val="16"/>
        </w:rPr>
        <w:t xml:space="preserve">oddziaływać będą niekorzystne zmiany w gospodarce </w:t>
      </w:r>
      <w:r w:rsidRPr="00383392">
        <w:rPr>
          <w:rFonts w:ascii="Verdana" w:hAnsi="Verdana"/>
          <w:sz w:val="16"/>
          <w:szCs w:val="16"/>
        </w:rPr>
        <w:br/>
        <w:t xml:space="preserve">i finansach publicznych </w:t>
      </w:r>
      <w:r>
        <w:rPr>
          <w:rFonts w:ascii="Verdana" w:hAnsi="Verdana"/>
          <w:sz w:val="16"/>
          <w:szCs w:val="16"/>
        </w:rPr>
        <w:t>spowodowane</w:t>
      </w:r>
      <w:r w:rsidRPr="00383392">
        <w:rPr>
          <w:rFonts w:ascii="Verdana" w:hAnsi="Verdana"/>
          <w:sz w:val="16"/>
          <w:szCs w:val="16"/>
        </w:rPr>
        <w:t xml:space="preserve"> epidemią COVID-19. Zmiany te zaburz</w:t>
      </w:r>
      <w:r>
        <w:rPr>
          <w:rFonts w:ascii="Verdana" w:hAnsi="Verdana"/>
          <w:sz w:val="16"/>
          <w:szCs w:val="16"/>
        </w:rPr>
        <w:t>yły</w:t>
      </w:r>
      <w:r w:rsidRPr="00383392">
        <w:rPr>
          <w:rFonts w:ascii="Verdana" w:hAnsi="Verdana"/>
          <w:sz w:val="16"/>
          <w:szCs w:val="16"/>
        </w:rPr>
        <w:t xml:space="preserve"> przyjęte wcześniej plany dochodów i wydatków poprzez niemożliwe do wcześniejszego przewidzenia i uwzględnienia w polityce długu </w:t>
      </w:r>
      <w:r>
        <w:rPr>
          <w:rFonts w:ascii="Verdana" w:hAnsi="Verdana"/>
          <w:sz w:val="16"/>
          <w:szCs w:val="16"/>
        </w:rPr>
        <w:t>konsekwencje</w:t>
      </w:r>
      <w:r w:rsidRPr="00383392">
        <w:rPr>
          <w:rFonts w:ascii="Verdana" w:hAnsi="Verdana"/>
          <w:sz w:val="16"/>
          <w:szCs w:val="16"/>
        </w:rPr>
        <w:t xml:space="preserve"> finansow</w:t>
      </w:r>
      <w:r>
        <w:rPr>
          <w:rFonts w:ascii="Verdana" w:hAnsi="Verdana"/>
          <w:sz w:val="16"/>
          <w:szCs w:val="16"/>
        </w:rPr>
        <w:t>e</w:t>
      </w:r>
      <w:r w:rsidRPr="00383392">
        <w:rPr>
          <w:rFonts w:ascii="Verdana" w:hAnsi="Verdana"/>
          <w:sz w:val="16"/>
          <w:szCs w:val="16"/>
        </w:rPr>
        <w:t xml:space="preserve"> (spadek</w:t>
      </w:r>
      <w:r>
        <w:rPr>
          <w:rFonts w:ascii="Verdana" w:hAnsi="Verdana"/>
          <w:sz w:val="16"/>
          <w:szCs w:val="16"/>
        </w:rPr>
        <w:t xml:space="preserve"> prognozowanych</w:t>
      </w:r>
      <w:r w:rsidRPr="00383392">
        <w:rPr>
          <w:rFonts w:ascii="Verdana" w:hAnsi="Verdana"/>
          <w:sz w:val="16"/>
          <w:szCs w:val="16"/>
        </w:rPr>
        <w:t xml:space="preserve"> dochodów, wydatk</w:t>
      </w:r>
      <w:r>
        <w:rPr>
          <w:rFonts w:ascii="Verdana" w:hAnsi="Verdana"/>
          <w:sz w:val="16"/>
          <w:szCs w:val="16"/>
        </w:rPr>
        <w:t>i na</w:t>
      </w:r>
      <w:r w:rsidRPr="00383392">
        <w:rPr>
          <w:rFonts w:ascii="Verdana" w:hAnsi="Verdana"/>
          <w:sz w:val="16"/>
          <w:szCs w:val="16"/>
        </w:rPr>
        <w:t xml:space="preserve"> </w:t>
      </w:r>
      <w:r>
        <w:rPr>
          <w:rFonts w:ascii="Verdana" w:hAnsi="Verdana"/>
          <w:sz w:val="16"/>
          <w:szCs w:val="16"/>
        </w:rPr>
        <w:t>niwelowanie skutków</w:t>
      </w:r>
      <w:r w:rsidRPr="00383392">
        <w:rPr>
          <w:rFonts w:ascii="Verdana" w:hAnsi="Verdana"/>
          <w:sz w:val="16"/>
          <w:szCs w:val="16"/>
        </w:rPr>
        <w:t xml:space="preserve"> epidemii</w:t>
      </w:r>
      <w:r>
        <w:rPr>
          <w:rFonts w:ascii="Verdana" w:hAnsi="Verdana"/>
          <w:sz w:val="16"/>
          <w:szCs w:val="16"/>
        </w:rPr>
        <w:t xml:space="preserve">, droższe </w:t>
      </w:r>
      <w:r w:rsidRPr="00CB32E5">
        <w:rPr>
          <w:rFonts w:ascii="Verdana" w:hAnsi="Verdana"/>
          <w:sz w:val="16"/>
          <w:szCs w:val="16"/>
        </w:rPr>
        <w:t>inwestycje). Nowym elementem niepewności są wprowadzone pod koniec 2021 r. zmiany regulacyjne w zakresie dochodów JST, w szczególności w zakresie PIT oraz subwencji. Wymuszona</w:t>
      </w:r>
      <w:r>
        <w:rPr>
          <w:rFonts w:ascii="Verdana" w:hAnsi="Verdana"/>
          <w:sz w:val="16"/>
          <w:szCs w:val="16"/>
        </w:rPr>
        <w:t xml:space="preserve"> pandemią i zmianami regulacyjnymi r</w:t>
      </w:r>
      <w:r w:rsidRPr="00383392">
        <w:rPr>
          <w:rFonts w:ascii="Verdana" w:hAnsi="Verdana"/>
          <w:sz w:val="16"/>
          <w:szCs w:val="16"/>
        </w:rPr>
        <w:t xml:space="preserve">ewizja planów rozwojowych, może skutkować podjęciem działań związanych z aktywnym zarządzaniem długiem i rozważeniem operacji polegających na przesunięciu </w:t>
      </w:r>
      <w:r>
        <w:rPr>
          <w:rFonts w:ascii="Verdana" w:hAnsi="Verdana"/>
          <w:sz w:val="16"/>
          <w:szCs w:val="16"/>
        </w:rPr>
        <w:t xml:space="preserve">spłaty </w:t>
      </w:r>
      <w:r w:rsidRPr="00383392">
        <w:rPr>
          <w:rFonts w:ascii="Verdana" w:hAnsi="Verdana"/>
          <w:sz w:val="16"/>
          <w:szCs w:val="16"/>
        </w:rPr>
        <w:t xml:space="preserve">zobowiązań dłużnych </w:t>
      </w:r>
      <w:r>
        <w:rPr>
          <w:rFonts w:ascii="Verdana" w:hAnsi="Verdana"/>
          <w:sz w:val="16"/>
          <w:szCs w:val="16"/>
        </w:rPr>
        <w:t xml:space="preserve">zapadających </w:t>
      </w:r>
      <w:r w:rsidRPr="00383392">
        <w:rPr>
          <w:rFonts w:ascii="Verdana" w:hAnsi="Verdana"/>
          <w:sz w:val="16"/>
          <w:szCs w:val="16"/>
        </w:rPr>
        <w:t xml:space="preserve">w kolejnych latach. W bieżącym WPF założono również wydłużenie programu kredytowego </w:t>
      </w:r>
      <w:r w:rsidRPr="002E1967">
        <w:rPr>
          <w:rFonts w:ascii="Verdana" w:hAnsi="Verdana"/>
          <w:sz w:val="16"/>
          <w:szCs w:val="16"/>
        </w:rPr>
        <w:t>do roku 2030 oraz</w:t>
      </w:r>
      <w:r w:rsidRPr="00383392">
        <w:rPr>
          <w:rFonts w:ascii="Verdana" w:hAnsi="Verdana"/>
          <w:sz w:val="16"/>
          <w:szCs w:val="16"/>
        </w:rPr>
        <w:t xml:space="preserve"> jego podwyższenie w stosunku do planów z roku </w:t>
      </w:r>
      <w:r>
        <w:rPr>
          <w:rFonts w:ascii="Verdana" w:hAnsi="Verdana"/>
          <w:sz w:val="16"/>
          <w:szCs w:val="16"/>
        </w:rPr>
        <w:t>poprzedzającego pandemię COVID-19</w:t>
      </w:r>
      <w:r w:rsidRPr="00383392">
        <w:rPr>
          <w:rFonts w:ascii="Verdana" w:hAnsi="Verdana"/>
          <w:sz w:val="16"/>
          <w:szCs w:val="16"/>
        </w:rPr>
        <w:t xml:space="preserve">. Kwota ta jest wartością wynikową zapewniającą realizację założeń w zakresie wydatków, w szczególności wydatków majątkowych </w:t>
      </w:r>
      <w:r>
        <w:rPr>
          <w:rFonts w:ascii="Verdana" w:hAnsi="Verdana"/>
          <w:sz w:val="16"/>
          <w:szCs w:val="16"/>
        </w:rPr>
        <w:br/>
      </w:r>
      <w:r w:rsidRPr="00383392">
        <w:rPr>
          <w:rFonts w:ascii="Verdana" w:hAnsi="Verdana"/>
          <w:sz w:val="16"/>
          <w:szCs w:val="16"/>
        </w:rPr>
        <w:t>w sytuacji obniżenia prognozowanych dochodów.</w:t>
      </w:r>
    </w:p>
    <w:p w:rsidR="000C0694" w:rsidRDefault="000C0694" w:rsidP="000C0694">
      <w:pPr>
        <w:spacing w:before="120"/>
        <w:jc w:val="both"/>
        <w:rPr>
          <w:rFonts w:ascii="Verdana" w:hAnsi="Verdana"/>
          <w:sz w:val="16"/>
          <w:szCs w:val="16"/>
        </w:rPr>
      </w:pPr>
      <w:r w:rsidRPr="00383392">
        <w:rPr>
          <w:rFonts w:ascii="Verdana" w:hAnsi="Verdana"/>
          <w:sz w:val="16"/>
          <w:szCs w:val="16"/>
        </w:rPr>
        <w:t xml:space="preserve">Po stronie zaciągania nowych zobowiązań polityka </w:t>
      </w:r>
      <w:r>
        <w:rPr>
          <w:rFonts w:ascii="Verdana" w:hAnsi="Verdana"/>
          <w:sz w:val="16"/>
          <w:szCs w:val="16"/>
        </w:rPr>
        <w:t>długu</w:t>
      </w:r>
      <w:r w:rsidRPr="00383392">
        <w:rPr>
          <w:rFonts w:ascii="Verdana" w:hAnsi="Verdana"/>
          <w:sz w:val="16"/>
          <w:szCs w:val="16"/>
        </w:rPr>
        <w:t xml:space="preserve"> w pierwszej kolejności będzie obejmowała kredyty </w:t>
      </w:r>
      <w:r>
        <w:rPr>
          <w:rFonts w:ascii="Verdana" w:hAnsi="Verdana"/>
          <w:sz w:val="16"/>
          <w:szCs w:val="16"/>
        </w:rPr>
        <w:br/>
      </w:r>
      <w:r w:rsidRPr="00383392">
        <w:rPr>
          <w:rFonts w:ascii="Verdana" w:hAnsi="Verdana"/>
          <w:sz w:val="16"/>
          <w:szCs w:val="16"/>
        </w:rPr>
        <w:t xml:space="preserve">w międzynarodowych instytucjach finansowych. Oferują one najkorzystniejsze warunki oprocentowania </w:t>
      </w:r>
      <w:r w:rsidRPr="00383392">
        <w:rPr>
          <w:rFonts w:ascii="Verdana" w:hAnsi="Verdana"/>
          <w:sz w:val="16"/>
          <w:szCs w:val="16"/>
        </w:rPr>
        <w:br/>
        <w:t xml:space="preserve">i harmonogramy spłat w stosunku do oferty komercyjnej. </w:t>
      </w:r>
      <w:r>
        <w:rPr>
          <w:rFonts w:ascii="Verdana" w:hAnsi="Verdana"/>
          <w:sz w:val="16"/>
          <w:szCs w:val="16"/>
        </w:rPr>
        <w:t>Równocześnie, kontynuowana</w:t>
      </w:r>
      <w:r w:rsidRPr="00383392">
        <w:rPr>
          <w:rFonts w:ascii="Verdana" w:hAnsi="Verdana"/>
          <w:sz w:val="16"/>
          <w:szCs w:val="16"/>
        </w:rPr>
        <w:t xml:space="preserve"> będzie zasada mix-</w:t>
      </w:r>
      <w:proofErr w:type="spellStart"/>
      <w:r w:rsidRPr="00383392">
        <w:rPr>
          <w:rFonts w:ascii="Verdana" w:hAnsi="Verdana"/>
          <w:sz w:val="16"/>
          <w:szCs w:val="16"/>
        </w:rPr>
        <w:t>financing</w:t>
      </w:r>
      <w:proofErr w:type="spellEnd"/>
      <w:r w:rsidRPr="00383392">
        <w:rPr>
          <w:rFonts w:ascii="Verdana" w:hAnsi="Verdana"/>
          <w:sz w:val="16"/>
          <w:szCs w:val="16"/>
        </w:rPr>
        <w:t xml:space="preserve"> zapewniająca dostęp do możliwie szerokiego wachlarza rynkowych instrumentów dłużnych.</w:t>
      </w:r>
    </w:p>
    <w:p w:rsidR="000C0694" w:rsidRPr="00383392" w:rsidRDefault="000C0694" w:rsidP="000C0694">
      <w:pPr>
        <w:spacing w:before="360" w:line="312" w:lineRule="auto"/>
        <w:jc w:val="both"/>
        <w:rPr>
          <w:rFonts w:ascii="Verdana" w:hAnsi="Verdana"/>
          <w:b/>
        </w:rPr>
      </w:pPr>
      <w:bookmarkStart w:id="13" w:name="bookmark7"/>
      <w:r>
        <w:rPr>
          <w:rFonts w:ascii="Verdana" w:hAnsi="Verdana"/>
          <w:b/>
        </w:rPr>
        <w:t xml:space="preserve">7. </w:t>
      </w:r>
      <w:r w:rsidRPr="00383392">
        <w:rPr>
          <w:rFonts w:ascii="Verdana" w:hAnsi="Verdana"/>
          <w:b/>
        </w:rPr>
        <w:t>Ocena ryzyka związanego z długiem m.st. Warszawy</w:t>
      </w:r>
      <w:bookmarkEnd w:id="13"/>
    </w:p>
    <w:p w:rsidR="000C0694" w:rsidRPr="00383392" w:rsidRDefault="000C0694" w:rsidP="000C0694">
      <w:pPr>
        <w:numPr>
          <w:ilvl w:val="0"/>
          <w:numId w:val="43"/>
        </w:numPr>
        <w:spacing w:before="240"/>
        <w:ind w:left="284" w:hanging="284"/>
        <w:jc w:val="both"/>
        <w:rPr>
          <w:rFonts w:ascii="Verdana" w:hAnsi="Verdana"/>
          <w:sz w:val="16"/>
          <w:szCs w:val="16"/>
        </w:rPr>
      </w:pPr>
      <w:r w:rsidRPr="00383392">
        <w:rPr>
          <w:rFonts w:ascii="Verdana" w:hAnsi="Verdana"/>
          <w:b/>
          <w:sz w:val="16"/>
          <w:szCs w:val="16"/>
        </w:rPr>
        <w:t>Ryzyko stóp procentowych</w:t>
      </w:r>
      <w:r w:rsidRPr="00383392">
        <w:rPr>
          <w:rFonts w:ascii="Verdana" w:hAnsi="Verdana"/>
          <w:sz w:val="16"/>
          <w:szCs w:val="16"/>
        </w:rPr>
        <w:t xml:space="preserve"> </w:t>
      </w:r>
      <w:r>
        <w:rPr>
          <w:rFonts w:ascii="Verdana" w:hAnsi="Verdana"/>
          <w:sz w:val="16"/>
          <w:szCs w:val="16"/>
        </w:rPr>
        <w:t>–</w:t>
      </w:r>
      <w:r w:rsidRPr="00383392">
        <w:t xml:space="preserve"> </w:t>
      </w:r>
      <w:r>
        <w:rPr>
          <w:rFonts w:ascii="Verdana" w:hAnsi="Verdana"/>
          <w:sz w:val="16"/>
          <w:szCs w:val="16"/>
        </w:rPr>
        <w:t xml:space="preserve">po podjętej 6 października </w:t>
      </w:r>
      <w:r w:rsidRPr="00383392">
        <w:rPr>
          <w:rFonts w:ascii="Verdana" w:hAnsi="Verdana"/>
          <w:sz w:val="16"/>
          <w:szCs w:val="16"/>
        </w:rPr>
        <w:t>202</w:t>
      </w:r>
      <w:r>
        <w:rPr>
          <w:rFonts w:ascii="Verdana" w:hAnsi="Verdana"/>
          <w:sz w:val="16"/>
          <w:szCs w:val="16"/>
        </w:rPr>
        <w:t>1</w:t>
      </w:r>
      <w:r w:rsidRPr="00383392">
        <w:rPr>
          <w:rFonts w:ascii="Verdana" w:hAnsi="Verdana"/>
          <w:sz w:val="16"/>
          <w:szCs w:val="16"/>
        </w:rPr>
        <w:t xml:space="preserve"> roku </w:t>
      </w:r>
      <w:r>
        <w:rPr>
          <w:rFonts w:ascii="Verdana" w:hAnsi="Verdana"/>
          <w:sz w:val="16"/>
          <w:szCs w:val="16"/>
        </w:rPr>
        <w:t xml:space="preserve">przez Radę Polityki Pieniężnej decyzji o podwyżce stóp procentowych NBP krótkoterminowe rynkowe </w:t>
      </w:r>
      <w:r w:rsidRPr="00383392">
        <w:rPr>
          <w:rFonts w:ascii="Verdana" w:hAnsi="Verdana"/>
          <w:sz w:val="16"/>
          <w:szCs w:val="16"/>
        </w:rPr>
        <w:t xml:space="preserve">stopy procentowe </w:t>
      </w:r>
      <w:r>
        <w:rPr>
          <w:rFonts w:ascii="Verdana" w:hAnsi="Verdana"/>
          <w:sz w:val="16"/>
          <w:szCs w:val="16"/>
        </w:rPr>
        <w:t xml:space="preserve">pozostają na </w:t>
      </w:r>
      <w:r w:rsidRPr="00383392">
        <w:rPr>
          <w:rFonts w:ascii="Verdana" w:hAnsi="Verdana"/>
          <w:sz w:val="16"/>
          <w:szCs w:val="16"/>
        </w:rPr>
        <w:t>histor</w:t>
      </w:r>
      <w:r>
        <w:rPr>
          <w:rFonts w:ascii="Verdana" w:hAnsi="Verdana"/>
          <w:sz w:val="16"/>
          <w:szCs w:val="16"/>
        </w:rPr>
        <w:t>ycznie niskim</w:t>
      </w:r>
      <w:r w:rsidRPr="00383392">
        <w:rPr>
          <w:rFonts w:ascii="Verdana" w:hAnsi="Verdana"/>
          <w:sz w:val="16"/>
          <w:szCs w:val="16"/>
        </w:rPr>
        <w:t xml:space="preserve"> poziom</w:t>
      </w:r>
      <w:r>
        <w:rPr>
          <w:rFonts w:ascii="Verdana" w:hAnsi="Verdana"/>
          <w:sz w:val="16"/>
          <w:szCs w:val="16"/>
        </w:rPr>
        <w:t>ie, jednak w związku z presją inflacyjną ich dalszy wzrost w roku 2022 staje się bardzo prawdopodobny</w:t>
      </w:r>
      <w:r w:rsidRPr="00383392">
        <w:rPr>
          <w:rFonts w:ascii="Verdana" w:hAnsi="Verdana"/>
          <w:sz w:val="16"/>
          <w:szCs w:val="16"/>
        </w:rPr>
        <w:t xml:space="preserve">. </w:t>
      </w:r>
      <w:r w:rsidRPr="00383392">
        <w:rPr>
          <w:rFonts w:ascii="Verdana" w:hAnsi="Verdana"/>
          <w:sz w:val="16"/>
          <w:szCs w:val="16"/>
          <w:shd w:val="clear" w:color="auto" w:fill="FFFFFF" w:themeFill="background1"/>
        </w:rPr>
        <w:t xml:space="preserve">Udział </w:t>
      </w:r>
      <w:r w:rsidRPr="00383392">
        <w:rPr>
          <w:rFonts w:ascii="Verdana" w:hAnsi="Verdana"/>
          <w:sz w:val="16"/>
          <w:szCs w:val="16"/>
        </w:rPr>
        <w:t xml:space="preserve">zobowiązań Miasta opartych o </w:t>
      </w:r>
      <w:r w:rsidRPr="00383392">
        <w:rPr>
          <w:rFonts w:ascii="Verdana" w:hAnsi="Verdana"/>
          <w:sz w:val="16"/>
          <w:szCs w:val="16"/>
          <w:shd w:val="clear" w:color="auto" w:fill="FFFFFF" w:themeFill="background1"/>
        </w:rPr>
        <w:t xml:space="preserve">zmienną stopę procentową na koniec </w:t>
      </w:r>
      <w:r>
        <w:rPr>
          <w:rFonts w:ascii="Verdana" w:hAnsi="Verdana"/>
          <w:sz w:val="16"/>
          <w:szCs w:val="16"/>
          <w:shd w:val="clear" w:color="auto" w:fill="FFFFFF" w:themeFill="background1"/>
        </w:rPr>
        <w:t>września</w:t>
      </w:r>
      <w:r w:rsidRPr="00383392">
        <w:rPr>
          <w:rFonts w:ascii="Verdana" w:hAnsi="Verdana"/>
          <w:sz w:val="16"/>
          <w:szCs w:val="16"/>
          <w:shd w:val="clear" w:color="auto" w:fill="FFFFFF" w:themeFill="background1"/>
        </w:rPr>
        <w:t xml:space="preserve"> 202</w:t>
      </w:r>
      <w:r>
        <w:rPr>
          <w:rFonts w:ascii="Verdana" w:hAnsi="Verdana"/>
          <w:sz w:val="16"/>
          <w:szCs w:val="16"/>
          <w:shd w:val="clear" w:color="auto" w:fill="FFFFFF" w:themeFill="background1"/>
        </w:rPr>
        <w:t>1</w:t>
      </w:r>
      <w:r w:rsidRPr="00383392">
        <w:rPr>
          <w:rFonts w:ascii="Verdana" w:hAnsi="Verdana"/>
          <w:sz w:val="16"/>
          <w:szCs w:val="16"/>
          <w:shd w:val="clear" w:color="auto" w:fill="FFFFFF" w:themeFill="background1"/>
        </w:rPr>
        <w:t xml:space="preserve"> r. wynosił </w:t>
      </w:r>
      <w:r>
        <w:rPr>
          <w:rFonts w:ascii="Verdana" w:hAnsi="Verdana"/>
          <w:sz w:val="16"/>
          <w:szCs w:val="16"/>
          <w:shd w:val="clear" w:color="auto" w:fill="FFFFFF" w:themeFill="background1"/>
        </w:rPr>
        <w:t>27,7</w:t>
      </w:r>
      <w:r w:rsidRPr="00383392">
        <w:rPr>
          <w:rFonts w:ascii="Verdana" w:hAnsi="Verdana"/>
          <w:sz w:val="16"/>
          <w:szCs w:val="16"/>
          <w:shd w:val="clear" w:color="auto" w:fill="FFFFFF" w:themeFill="background1"/>
        </w:rPr>
        <w:t>%.</w:t>
      </w:r>
      <w:r w:rsidRPr="00383392">
        <w:rPr>
          <w:rFonts w:ascii="Verdana" w:hAnsi="Verdana"/>
          <w:noProof/>
          <w:sz w:val="16"/>
          <w:szCs w:val="16"/>
          <w:shd w:val="clear" w:color="auto" w:fill="FFFFFF" w:themeFill="background1"/>
        </w:rPr>
        <w:t xml:space="preserve"> Udział tych</w:t>
      </w:r>
      <w:r w:rsidRPr="00383392">
        <w:rPr>
          <w:rFonts w:ascii="Verdana" w:hAnsi="Verdana"/>
          <w:sz w:val="16"/>
          <w:szCs w:val="16"/>
        </w:rPr>
        <w:t xml:space="preserve"> zobowiązań</w:t>
      </w:r>
      <w:r w:rsidRPr="00383392">
        <w:rPr>
          <w:rFonts w:ascii="Verdana" w:hAnsi="Verdana"/>
          <w:sz w:val="16"/>
          <w:szCs w:val="16"/>
          <w:shd w:val="clear" w:color="auto" w:fill="FFFFFF" w:themeFill="background1"/>
        </w:rPr>
        <w:t xml:space="preserve"> w najbliższych latach pozostanie poniżej poziomu 50%, a tym samym ryzyko</w:t>
      </w:r>
      <w:r w:rsidRPr="00383392">
        <w:rPr>
          <w:rFonts w:ascii="Verdana" w:hAnsi="Verdana"/>
          <w:sz w:val="16"/>
          <w:szCs w:val="16"/>
        </w:rPr>
        <w:t xml:space="preserve"> stopy procentowej pozostanie</w:t>
      </w:r>
      <w:r>
        <w:rPr>
          <w:rFonts w:ascii="Verdana" w:hAnsi="Verdana"/>
          <w:sz w:val="16"/>
          <w:szCs w:val="16"/>
        </w:rPr>
        <w:t xml:space="preserve"> </w:t>
      </w:r>
      <w:r w:rsidRPr="00383392">
        <w:rPr>
          <w:rFonts w:ascii="Verdana" w:hAnsi="Verdana"/>
          <w:sz w:val="16"/>
          <w:szCs w:val="16"/>
        </w:rPr>
        <w:t xml:space="preserve">ograniczone. Z analizy wrażliwości wynika, że wzrost stopy rynkowej WIBOR o jeden punkt procentowy spowodowałby wzrost kosztów obsługi </w:t>
      </w:r>
      <w:r>
        <w:rPr>
          <w:rFonts w:ascii="Verdana" w:hAnsi="Verdana"/>
          <w:sz w:val="16"/>
          <w:szCs w:val="16"/>
        </w:rPr>
        <w:t>obecnego</w:t>
      </w:r>
      <w:r w:rsidRPr="00383392">
        <w:rPr>
          <w:rFonts w:ascii="Verdana" w:hAnsi="Verdana"/>
          <w:sz w:val="16"/>
          <w:szCs w:val="16"/>
        </w:rPr>
        <w:t xml:space="preserve"> długu w 202</w:t>
      </w:r>
      <w:r>
        <w:rPr>
          <w:rFonts w:ascii="Verdana" w:hAnsi="Verdana"/>
          <w:sz w:val="16"/>
          <w:szCs w:val="16"/>
        </w:rPr>
        <w:t>2</w:t>
      </w:r>
      <w:r w:rsidRPr="00383392">
        <w:rPr>
          <w:rFonts w:ascii="Verdana" w:hAnsi="Verdana"/>
          <w:sz w:val="16"/>
          <w:szCs w:val="16"/>
        </w:rPr>
        <w:t xml:space="preserve"> r. </w:t>
      </w:r>
      <w:r>
        <w:rPr>
          <w:rFonts w:ascii="Verdana" w:hAnsi="Verdana"/>
          <w:sz w:val="16"/>
          <w:szCs w:val="16"/>
        </w:rPr>
        <w:br/>
      </w:r>
      <w:r w:rsidRPr="00383392">
        <w:rPr>
          <w:rFonts w:ascii="Verdana" w:hAnsi="Verdana"/>
          <w:sz w:val="16"/>
          <w:szCs w:val="16"/>
        </w:rPr>
        <w:t>o ok</w:t>
      </w:r>
      <w:r w:rsidRPr="00B66D72">
        <w:rPr>
          <w:rFonts w:ascii="Verdana" w:hAnsi="Verdana"/>
          <w:sz w:val="16"/>
          <w:szCs w:val="16"/>
        </w:rPr>
        <w:t xml:space="preserve">. </w:t>
      </w:r>
      <w:r>
        <w:rPr>
          <w:rFonts w:ascii="Verdana" w:hAnsi="Verdana"/>
          <w:sz w:val="16"/>
          <w:szCs w:val="16"/>
        </w:rPr>
        <w:t>16,5</w:t>
      </w:r>
      <w:r w:rsidRPr="00B90C3B">
        <w:rPr>
          <w:rFonts w:ascii="Verdana" w:hAnsi="Verdana"/>
          <w:sz w:val="16"/>
          <w:szCs w:val="16"/>
        </w:rPr>
        <w:t xml:space="preserve"> mln zł.</w:t>
      </w:r>
      <w:r w:rsidRPr="00383392">
        <w:rPr>
          <w:rFonts w:ascii="Verdana" w:hAnsi="Verdana"/>
          <w:sz w:val="16"/>
          <w:szCs w:val="16"/>
        </w:rPr>
        <w:t xml:space="preserve"> Z poziomem stopy procentowej skorelowane są dochody Miasta z loko</w:t>
      </w:r>
      <w:r>
        <w:rPr>
          <w:rFonts w:ascii="Verdana" w:hAnsi="Verdana"/>
          <w:sz w:val="16"/>
          <w:szCs w:val="16"/>
        </w:rPr>
        <w:t>wania okresowo wolnych środków. Skutkiem wzrostu stóp rynkowych będą również wyższe wpływy z tytułu lokowania wolnych środków, częściowo rekompensujące wyższy koszt obsługi zadłużenia zaciągniętego na stopę zmienną</w:t>
      </w:r>
      <w:r w:rsidRPr="00383392">
        <w:rPr>
          <w:rFonts w:ascii="Verdana" w:hAnsi="Verdana"/>
          <w:sz w:val="16"/>
          <w:szCs w:val="16"/>
        </w:rPr>
        <w:t>.</w:t>
      </w:r>
    </w:p>
    <w:p w:rsidR="000C0694" w:rsidRPr="00383392" w:rsidRDefault="000C0694" w:rsidP="000C0694">
      <w:pPr>
        <w:numPr>
          <w:ilvl w:val="0"/>
          <w:numId w:val="43"/>
        </w:numPr>
        <w:spacing w:before="120"/>
        <w:ind w:left="284" w:hanging="284"/>
        <w:jc w:val="both"/>
        <w:rPr>
          <w:rFonts w:ascii="Verdana" w:hAnsi="Verdana"/>
          <w:sz w:val="16"/>
          <w:szCs w:val="16"/>
        </w:rPr>
      </w:pPr>
      <w:r w:rsidRPr="00383392">
        <w:rPr>
          <w:rFonts w:ascii="Verdana" w:hAnsi="Verdana"/>
          <w:b/>
          <w:sz w:val="16"/>
          <w:szCs w:val="16"/>
        </w:rPr>
        <w:t>Ryzyko walutowe</w:t>
      </w:r>
      <w:r w:rsidRPr="00383392">
        <w:rPr>
          <w:rFonts w:ascii="Verdana" w:hAnsi="Verdana"/>
          <w:sz w:val="16"/>
          <w:szCs w:val="16"/>
        </w:rPr>
        <w:t xml:space="preserve"> –</w:t>
      </w:r>
      <w:r>
        <w:rPr>
          <w:rFonts w:ascii="Verdana" w:hAnsi="Verdana"/>
          <w:sz w:val="16"/>
          <w:szCs w:val="16"/>
        </w:rPr>
        <w:t xml:space="preserve"> w grudniu 2020 r. oraz w grudniu 2021 r. zostało zaciągnięte zadłużenie w walucie obcej w łącznej  kwocie 134 mln euro </w:t>
      </w:r>
      <w:r w:rsidRPr="002B68EB">
        <w:rPr>
          <w:rFonts w:ascii="Verdana" w:hAnsi="Verdana"/>
          <w:sz w:val="16"/>
          <w:szCs w:val="16"/>
        </w:rPr>
        <w:t xml:space="preserve">(na koniec </w:t>
      </w:r>
      <w:r w:rsidRPr="00431B25">
        <w:rPr>
          <w:rFonts w:ascii="Verdana" w:hAnsi="Verdana"/>
          <w:sz w:val="16"/>
          <w:szCs w:val="16"/>
        </w:rPr>
        <w:t>grudnia</w:t>
      </w:r>
      <w:r w:rsidRPr="002B68EB">
        <w:rPr>
          <w:rFonts w:ascii="Verdana" w:hAnsi="Verdana"/>
          <w:sz w:val="16"/>
          <w:szCs w:val="16"/>
        </w:rPr>
        <w:t xml:space="preserve"> </w:t>
      </w:r>
      <w:r w:rsidRPr="00431B25">
        <w:rPr>
          <w:rFonts w:ascii="Verdana" w:hAnsi="Verdana"/>
          <w:sz w:val="16"/>
          <w:szCs w:val="16"/>
        </w:rPr>
        <w:t>2021 r. stanowiło to</w:t>
      </w:r>
      <w:r>
        <w:rPr>
          <w:rFonts w:ascii="Verdana" w:hAnsi="Verdana"/>
          <w:sz w:val="16"/>
          <w:szCs w:val="16"/>
        </w:rPr>
        <w:t xml:space="preserve"> ok.</w:t>
      </w:r>
      <w:r w:rsidRPr="00431B25">
        <w:rPr>
          <w:rFonts w:ascii="Verdana" w:hAnsi="Verdana"/>
          <w:sz w:val="16"/>
          <w:szCs w:val="16"/>
        </w:rPr>
        <w:t xml:space="preserve"> 10,7</w:t>
      </w:r>
      <w:r w:rsidRPr="002B68EB">
        <w:rPr>
          <w:rFonts w:ascii="Verdana" w:hAnsi="Verdana"/>
          <w:sz w:val="16"/>
          <w:szCs w:val="16"/>
        </w:rPr>
        <w:t>% zadłużenia ogółem).</w:t>
      </w:r>
      <w:r w:rsidRPr="00383392">
        <w:rPr>
          <w:rFonts w:ascii="Verdana" w:hAnsi="Verdana"/>
          <w:sz w:val="16"/>
          <w:szCs w:val="16"/>
        </w:rPr>
        <w:t xml:space="preserve"> Zaciąganie długu w walucie obcej ograniczone będzie do waluty euro i tylko do przypadków uzasadnionych możliwością pozyskania finansowania o parametrach wyraźnie korzystniejszych od finansowania w walucie krajowej. Udział zadłużenia w walucie obcej nie przekroczy 25% zadłużenia ogółem.</w:t>
      </w:r>
    </w:p>
    <w:p w:rsidR="000C0694" w:rsidRPr="00383392" w:rsidRDefault="000C0694" w:rsidP="000C0694">
      <w:pPr>
        <w:numPr>
          <w:ilvl w:val="0"/>
          <w:numId w:val="43"/>
        </w:numPr>
        <w:spacing w:before="120"/>
        <w:ind w:left="284" w:hanging="284"/>
        <w:jc w:val="both"/>
        <w:rPr>
          <w:rFonts w:ascii="Verdana" w:hAnsi="Verdana"/>
          <w:sz w:val="16"/>
          <w:szCs w:val="16"/>
        </w:rPr>
      </w:pPr>
      <w:r w:rsidRPr="00383392">
        <w:rPr>
          <w:rFonts w:ascii="Verdana" w:hAnsi="Verdana"/>
          <w:b/>
          <w:noProof/>
          <w:sz w:val="16"/>
          <w:szCs w:val="16"/>
        </w:rPr>
        <w:t xml:space="preserve">Ryzyko </w:t>
      </w:r>
      <w:r w:rsidRPr="00383392">
        <w:rPr>
          <w:rFonts w:ascii="Verdana" w:hAnsi="Verdana"/>
          <w:b/>
          <w:sz w:val="16"/>
          <w:szCs w:val="16"/>
        </w:rPr>
        <w:t>refinansowania</w:t>
      </w:r>
      <w:r w:rsidRPr="00383392">
        <w:rPr>
          <w:rFonts w:ascii="Verdana" w:hAnsi="Verdana"/>
          <w:noProof/>
          <w:sz w:val="16"/>
          <w:szCs w:val="16"/>
        </w:rPr>
        <w:t xml:space="preserve"> - ograniczenie tego ryzyka zostanie zapewnione poprzez wysoki poziom średniej zapadalności długu. </w:t>
      </w:r>
      <w:r w:rsidRPr="0056115D">
        <w:rPr>
          <w:rFonts w:ascii="Verdana" w:hAnsi="Verdana"/>
          <w:noProof/>
          <w:sz w:val="16"/>
          <w:szCs w:val="16"/>
        </w:rPr>
        <w:t>N</w:t>
      </w:r>
      <w:r w:rsidRPr="0056115D">
        <w:rPr>
          <w:rFonts w:ascii="Verdana" w:hAnsi="Verdana"/>
          <w:sz w:val="16"/>
          <w:szCs w:val="16"/>
        </w:rPr>
        <w:t xml:space="preserve">a koniec </w:t>
      </w:r>
      <w:r>
        <w:rPr>
          <w:rFonts w:ascii="Verdana" w:hAnsi="Verdana"/>
          <w:sz w:val="16"/>
          <w:szCs w:val="16"/>
        </w:rPr>
        <w:t xml:space="preserve">września </w:t>
      </w:r>
      <w:r w:rsidRPr="0056115D">
        <w:rPr>
          <w:rFonts w:ascii="Verdana" w:hAnsi="Verdana"/>
          <w:sz w:val="16"/>
          <w:szCs w:val="16"/>
        </w:rPr>
        <w:t xml:space="preserve">2021 r. wartość ta wyniosła </w:t>
      </w:r>
      <w:r>
        <w:rPr>
          <w:rFonts w:ascii="Verdana" w:hAnsi="Verdana"/>
          <w:sz w:val="16"/>
          <w:szCs w:val="16"/>
        </w:rPr>
        <w:t>9,5</w:t>
      </w:r>
      <w:r w:rsidRPr="0056115D">
        <w:rPr>
          <w:rFonts w:ascii="Verdana" w:hAnsi="Verdana"/>
          <w:sz w:val="16"/>
          <w:szCs w:val="16"/>
        </w:rPr>
        <w:t> lat</w:t>
      </w:r>
      <w:r w:rsidRPr="00383392">
        <w:rPr>
          <w:rFonts w:ascii="Verdana" w:hAnsi="Verdana"/>
          <w:sz w:val="16"/>
          <w:szCs w:val="16"/>
        </w:rPr>
        <w:t xml:space="preserve">, z czego średnia zapadalność długu zagranicznego wyniosła </w:t>
      </w:r>
      <w:r>
        <w:rPr>
          <w:rFonts w:ascii="Verdana" w:hAnsi="Verdana"/>
          <w:sz w:val="16"/>
          <w:szCs w:val="16"/>
        </w:rPr>
        <w:t>10,6</w:t>
      </w:r>
      <w:r w:rsidRPr="0056115D">
        <w:rPr>
          <w:rFonts w:ascii="Verdana" w:hAnsi="Verdana"/>
          <w:sz w:val="16"/>
          <w:szCs w:val="16"/>
        </w:rPr>
        <w:t xml:space="preserve"> lat</w:t>
      </w:r>
      <w:r w:rsidRPr="00383392">
        <w:rPr>
          <w:rFonts w:ascii="Verdana" w:hAnsi="Verdana"/>
          <w:sz w:val="16"/>
          <w:szCs w:val="16"/>
        </w:rPr>
        <w:t xml:space="preserve">, a średnia zapadalność długu krajowego </w:t>
      </w:r>
      <w:r>
        <w:rPr>
          <w:rFonts w:ascii="Verdana" w:hAnsi="Verdana"/>
          <w:sz w:val="16"/>
          <w:szCs w:val="16"/>
        </w:rPr>
        <w:t>4,4</w:t>
      </w:r>
      <w:r w:rsidRPr="0056115D">
        <w:rPr>
          <w:rFonts w:ascii="Verdana" w:hAnsi="Verdana"/>
          <w:sz w:val="16"/>
          <w:szCs w:val="16"/>
        </w:rPr>
        <w:t xml:space="preserve"> roku</w:t>
      </w:r>
      <w:r w:rsidRPr="00BA644C">
        <w:rPr>
          <w:rFonts w:ascii="Verdana" w:hAnsi="Verdana"/>
          <w:sz w:val="16"/>
          <w:szCs w:val="16"/>
        </w:rPr>
        <w:t>.</w:t>
      </w:r>
    </w:p>
    <w:p w:rsidR="000C0694" w:rsidRPr="00A3034D" w:rsidRDefault="000C0694" w:rsidP="000C0694">
      <w:pPr>
        <w:numPr>
          <w:ilvl w:val="0"/>
          <w:numId w:val="43"/>
        </w:numPr>
        <w:spacing w:before="120"/>
        <w:ind w:left="284" w:hanging="284"/>
        <w:jc w:val="both"/>
        <w:rPr>
          <w:rFonts w:ascii="Verdana" w:hAnsi="Verdana"/>
          <w:sz w:val="16"/>
          <w:szCs w:val="16"/>
        </w:rPr>
      </w:pPr>
      <w:r w:rsidRPr="00383392">
        <w:rPr>
          <w:rFonts w:ascii="Verdana" w:hAnsi="Verdana"/>
          <w:b/>
          <w:sz w:val="16"/>
          <w:szCs w:val="16"/>
        </w:rPr>
        <w:lastRenderedPageBreak/>
        <w:t>Ryzyko przekroczenia limitu obsługi zadłużenia</w:t>
      </w:r>
      <w:r w:rsidRPr="00383392">
        <w:rPr>
          <w:rFonts w:ascii="Verdana" w:hAnsi="Verdana"/>
          <w:sz w:val="16"/>
          <w:szCs w:val="16"/>
        </w:rPr>
        <w:t xml:space="preserve"> (wynikającego z art. 243</w:t>
      </w:r>
      <w:r>
        <w:rPr>
          <w:rFonts w:ascii="Verdana" w:hAnsi="Verdana"/>
          <w:sz w:val="16"/>
          <w:szCs w:val="16"/>
        </w:rPr>
        <w:t xml:space="preserve"> </w:t>
      </w:r>
      <w:r w:rsidRPr="00992B91">
        <w:rPr>
          <w:rFonts w:ascii="Verdana" w:hAnsi="Verdana"/>
          <w:iCs/>
          <w:sz w:val="16"/>
          <w:szCs w:val="16"/>
        </w:rPr>
        <w:t>ustawy o finansach publicznych</w:t>
      </w:r>
      <w:r w:rsidRPr="001B4C7D">
        <w:rPr>
          <w:rFonts w:ascii="Verdana" w:hAnsi="Verdana"/>
          <w:sz w:val="16"/>
          <w:szCs w:val="16"/>
        </w:rPr>
        <w:t>)</w:t>
      </w:r>
      <w:r w:rsidRPr="00383392">
        <w:rPr>
          <w:rFonts w:ascii="Verdana" w:hAnsi="Verdana"/>
          <w:sz w:val="16"/>
          <w:szCs w:val="16"/>
        </w:rPr>
        <w:t xml:space="preserve"> - istotną kwestią będą zmiany w dochodach z tytułu udziału JST w podatkach CIT i PIT a także dochodach własnych, w znacznej części zależnych od </w:t>
      </w:r>
      <w:r>
        <w:rPr>
          <w:rFonts w:ascii="Verdana" w:hAnsi="Verdana"/>
          <w:sz w:val="16"/>
          <w:szCs w:val="16"/>
        </w:rPr>
        <w:t>zmian regulacyjnych</w:t>
      </w:r>
      <w:r w:rsidRPr="00383392">
        <w:rPr>
          <w:rFonts w:ascii="Verdana" w:hAnsi="Verdana"/>
          <w:sz w:val="16"/>
          <w:szCs w:val="16"/>
        </w:rPr>
        <w:t>, wpływając</w:t>
      </w:r>
      <w:r>
        <w:rPr>
          <w:rFonts w:ascii="Verdana" w:hAnsi="Verdana"/>
          <w:sz w:val="16"/>
          <w:szCs w:val="16"/>
        </w:rPr>
        <w:t>e</w:t>
      </w:r>
      <w:r w:rsidRPr="00383392">
        <w:rPr>
          <w:rFonts w:ascii="Verdana" w:hAnsi="Verdana"/>
          <w:sz w:val="16"/>
          <w:szCs w:val="16"/>
        </w:rPr>
        <w:t xml:space="preserve"> na obniżenie nadwyżki bieżącej. </w:t>
      </w:r>
      <w:r w:rsidRPr="00BA644C">
        <w:rPr>
          <w:rFonts w:ascii="Verdana" w:hAnsi="Verdana"/>
          <w:sz w:val="16"/>
          <w:szCs w:val="16"/>
        </w:rPr>
        <w:t>Najniższy poziom prognozowanej różnicy pomiędzy dopuszczalnym limitem, a wskaźnikiem obsługi długu (z uwzględnieniem ustawowych wył</w:t>
      </w:r>
      <w:r>
        <w:rPr>
          <w:rFonts w:ascii="Verdana" w:hAnsi="Verdana"/>
          <w:sz w:val="16"/>
          <w:szCs w:val="16"/>
        </w:rPr>
        <w:t>ą</w:t>
      </w:r>
      <w:r w:rsidRPr="00BA644C">
        <w:rPr>
          <w:rFonts w:ascii="Verdana" w:hAnsi="Verdana"/>
          <w:sz w:val="16"/>
          <w:szCs w:val="16"/>
        </w:rPr>
        <w:t>czeń) wystąpi w 2027</w:t>
      </w:r>
      <w:r>
        <w:rPr>
          <w:rFonts w:ascii="Verdana" w:hAnsi="Verdana"/>
          <w:sz w:val="16"/>
          <w:szCs w:val="16"/>
        </w:rPr>
        <w:t xml:space="preserve"> r.</w:t>
      </w:r>
      <w:r w:rsidRPr="00BA644C">
        <w:rPr>
          <w:rFonts w:ascii="Verdana" w:hAnsi="Verdana"/>
          <w:sz w:val="16"/>
          <w:szCs w:val="16"/>
        </w:rPr>
        <w:t xml:space="preserve"> i wyniesie </w:t>
      </w:r>
      <w:r>
        <w:rPr>
          <w:rFonts w:ascii="Verdana" w:hAnsi="Verdana"/>
          <w:sz w:val="16"/>
          <w:szCs w:val="16"/>
        </w:rPr>
        <w:t>0,25</w:t>
      </w:r>
      <w:r w:rsidRPr="00BA644C">
        <w:rPr>
          <w:rFonts w:ascii="Verdana" w:hAnsi="Verdana"/>
          <w:sz w:val="16"/>
          <w:szCs w:val="16"/>
        </w:rPr>
        <w:t xml:space="preserve"> pkt proc.</w:t>
      </w:r>
    </w:p>
    <w:p w:rsidR="000C0694" w:rsidRDefault="000C0694" w:rsidP="000C0694">
      <w:pPr>
        <w:numPr>
          <w:ilvl w:val="0"/>
          <w:numId w:val="43"/>
        </w:numPr>
        <w:spacing w:before="120"/>
        <w:ind w:left="284" w:hanging="284"/>
        <w:jc w:val="both"/>
        <w:rPr>
          <w:rFonts w:ascii="Verdana" w:hAnsi="Verdana" w:cs="Verdana"/>
          <w:sz w:val="16"/>
          <w:szCs w:val="16"/>
        </w:rPr>
      </w:pPr>
      <w:r w:rsidRPr="002905BC">
        <w:rPr>
          <w:rFonts w:ascii="Verdana" w:hAnsi="Verdana"/>
          <w:b/>
          <w:sz w:val="16"/>
          <w:szCs w:val="16"/>
        </w:rPr>
        <w:t>Ryzyko dotyczące zobowiązań finansowych podmiotów zależnych</w:t>
      </w:r>
      <w:r w:rsidRPr="002905BC">
        <w:rPr>
          <w:rFonts w:ascii="Verdana" w:hAnsi="Verdana"/>
          <w:sz w:val="16"/>
          <w:szCs w:val="16"/>
        </w:rPr>
        <w:t xml:space="preserve"> - </w:t>
      </w:r>
      <w:r w:rsidRPr="002905BC">
        <w:rPr>
          <w:rFonts w:ascii="Verdana" w:hAnsi="Verdana" w:cs="Verdana"/>
          <w:sz w:val="16"/>
          <w:szCs w:val="16"/>
        </w:rPr>
        <w:t>zadłużenie podmiotów zależnych</w:t>
      </w:r>
      <w:r w:rsidRPr="00383392">
        <w:rPr>
          <w:rFonts w:ascii="Verdana" w:hAnsi="Verdana"/>
          <w:sz w:val="16"/>
          <w:szCs w:val="16"/>
          <w:vertAlign w:val="superscript"/>
        </w:rPr>
        <w:footnoteReference w:id="15"/>
      </w:r>
      <w:r w:rsidRPr="002905BC">
        <w:rPr>
          <w:rFonts w:ascii="Verdana" w:hAnsi="Verdana" w:cs="Verdana"/>
          <w:sz w:val="16"/>
          <w:szCs w:val="16"/>
        </w:rPr>
        <w:t xml:space="preserve"> nie jest zobowiązaniem Miasta i jedynie pośrednio, w szczególnych sytuacjach, może mieć wpływ na jego sytuację finansową. </w:t>
      </w:r>
      <w:r w:rsidRPr="002905BC">
        <w:rPr>
          <w:rFonts w:ascii="Verdana" w:hAnsi="Verdana"/>
          <w:sz w:val="16"/>
          <w:szCs w:val="16"/>
        </w:rPr>
        <w:t xml:space="preserve">Realizacja inwestycji samorządowych ma charakter kompleksowy, tj. </w:t>
      </w:r>
      <w:r>
        <w:rPr>
          <w:rFonts w:ascii="Verdana" w:hAnsi="Verdana"/>
          <w:sz w:val="16"/>
          <w:szCs w:val="16"/>
        </w:rPr>
        <w:t>prowadzona jest</w:t>
      </w:r>
      <w:r w:rsidRPr="002905BC">
        <w:rPr>
          <w:rFonts w:ascii="Verdana" w:hAnsi="Verdana"/>
          <w:sz w:val="16"/>
          <w:szCs w:val="16"/>
        </w:rPr>
        <w:t xml:space="preserve"> przez Miasto i za pośrednictwem in</w:t>
      </w:r>
      <w:r>
        <w:rPr>
          <w:rFonts w:ascii="Verdana" w:hAnsi="Verdana"/>
          <w:sz w:val="16"/>
          <w:szCs w:val="16"/>
        </w:rPr>
        <w:t>westycji</w:t>
      </w:r>
      <w:r w:rsidRPr="002905BC">
        <w:rPr>
          <w:rFonts w:ascii="Verdana" w:hAnsi="Verdana"/>
          <w:sz w:val="16"/>
          <w:szCs w:val="16"/>
        </w:rPr>
        <w:t xml:space="preserve"> spółek komunalnych, które zaciągają zobowiązania na własny rachunek. Banki na zabezpieczenie kredytów udzielanych spółkom komunalnym mogą wymagać zabezpieczenia ze strony samorządu w formie poręczenia kredytu, które jest zobowiązaniem wykazywanym we wskaźniku obsługi długu. Pomimo tego, iż </w:t>
      </w:r>
      <w:r>
        <w:rPr>
          <w:rFonts w:ascii="Verdana" w:hAnsi="Verdana"/>
          <w:sz w:val="16"/>
          <w:szCs w:val="16"/>
        </w:rPr>
        <w:t xml:space="preserve">samodzielne </w:t>
      </w:r>
      <w:r w:rsidRPr="002905BC">
        <w:rPr>
          <w:rFonts w:ascii="Verdana" w:hAnsi="Verdana" w:cs="Verdana"/>
          <w:sz w:val="16"/>
          <w:szCs w:val="16"/>
        </w:rPr>
        <w:t>zadłużenie podmiotów zależnych nie jest uwzględniane we wskaźnikach zadłużenia Miasta i w WPF, jest analizowane i brane pod uwagę przez agencje ratingowe i podmioty finansujące przy ocenie zdolności kredytowej Miasta. Biuro Długu i Restrukturyzacji Wierzytelności Urzędu m.st. Warszawy prowadzi stały monitoring oceny zdolności kredytowej i równowagi finansowej podmiotów zależnych. Zgodnie z obowiązującymi przepisami Miasto sporządza i przesyła do RIO (a RIO przekazuje do Ministra Finansów) skonsolidowany bilans (zawierają</w:t>
      </w:r>
      <w:r>
        <w:rPr>
          <w:rFonts w:ascii="Verdana" w:hAnsi="Verdana" w:cs="Verdana"/>
          <w:sz w:val="16"/>
          <w:szCs w:val="16"/>
        </w:rPr>
        <w:t>cy</w:t>
      </w:r>
      <w:r w:rsidRPr="002905BC">
        <w:rPr>
          <w:rFonts w:ascii="Verdana" w:hAnsi="Verdana" w:cs="Verdana"/>
          <w:sz w:val="16"/>
          <w:szCs w:val="16"/>
        </w:rPr>
        <w:t xml:space="preserve"> zobowiązania finansowe długo- i krótkoterminowe)</w:t>
      </w:r>
      <w:r>
        <w:rPr>
          <w:rFonts w:ascii="Verdana" w:hAnsi="Verdana" w:cs="Verdana"/>
          <w:sz w:val="16"/>
          <w:szCs w:val="16"/>
        </w:rPr>
        <w:t xml:space="preserve"> </w:t>
      </w:r>
      <w:r w:rsidRPr="002905BC">
        <w:rPr>
          <w:rFonts w:ascii="Verdana" w:hAnsi="Verdana" w:cs="Verdana"/>
          <w:sz w:val="16"/>
          <w:szCs w:val="16"/>
        </w:rPr>
        <w:t>obejmujący bilanse wszystkich jednostek podległych oraz bilanse jednostek podporządkowanych Miastu, bez względu na ich status formalnoprawny.</w:t>
      </w:r>
    </w:p>
    <w:p w:rsidR="000C0694" w:rsidRPr="00383392" w:rsidRDefault="000C0694" w:rsidP="000C0694">
      <w:pPr>
        <w:spacing w:before="360" w:line="312" w:lineRule="auto"/>
        <w:jc w:val="both"/>
        <w:rPr>
          <w:rFonts w:ascii="Verdana" w:hAnsi="Verdana"/>
          <w:b/>
        </w:rPr>
      </w:pPr>
      <w:bookmarkStart w:id="14" w:name="bookmark9"/>
      <w:r>
        <w:rPr>
          <w:rFonts w:ascii="Verdana" w:hAnsi="Verdana"/>
          <w:b/>
        </w:rPr>
        <w:t xml:space="preserve">8. </w:t>
      </w:r>
      <w:r w:rsidRPr="00383392">
        <w:rPr>
          <w:rFonts w:ascii="Verdana" w:hAnsi="Verdana"/>
          <w:b/>
        </w:rPr>
        <w:t>Kontrola realizacji polityki długu</w:t>
      </w:r>
      <w:bookmarkEnd w:id="14"/>
    </w:p>
    <w:p w:rsidR="000C0694" w:rsidRPr="00383392" w:rsidRDefault="000C0694" w:rsidP="000C0694">
      <w:pPr>
        <w:spacing w:before="240"/>
        <w:jc w:val="both"/>
        <w:rPr>
          <w:rFonts w:ascii="Verdana" w:hAnsi="Verdana"/>
          <w:sz w:val="16"/>
          <w:szCs w:val="16"/>
        </w:rPr>
      </w:pPr>
      <w:r w:rsidRPr="00383392">
        <w:rPr>
          <w:rFonts w:ascii="Verdana" w:hAnsi="Verdana"/>
          <w:sz w:val="16"/>
          <w:szCs w:val="16"/>
        </w:rPr>
        <w:t xml:space="preserve">Bieżące </w:t>
      </w:r>
      <w:r w:rsidRPr="00383392">
        <w:rPr>
          <w:rFonts w:ascii="Verdana" w:hAnsi="Verdana"/>
          <w:iCs/>
          <w:sz w:val="16"/>
          <w:szCs w:val="16"/>
        </w:rPr>
        <w:t>monitorowanie</w:t>
      </w:r>
      <w:r w:rsidRPr="00383392">
        <w:rPr>
          <w:rFonts w:ascii="Verdana" w:hAnsi="Verdana"/>
          <w:sz w:val="16"/>
          <w:szCs w:val="16"/>
        </w:rPr>
        <w:t xml:space="preserve"> parametrów określonych w polityce długu możliwe jest poprzez wykorzystanie następujących instrumentów:</w:t>
      </w:r>
    </w:p>
    <w:p w:rsidR="000C0694" w:rsidRPr="00383392" w:rsidRDefault="000C0694" w:rsidP="000C0694">
      <w:pPr>
        <w:numPr>
          <w:ilvl w:val="0"/>
          <w:numId w:val="44"/>
        </w:numPr>
        <w:spacing w:before="120"/>
        <w:ind w:left="284" w:hanging="284"/>
        <w:jc w:val="both"/>
        <w:rPr>
          <w:rFonts w:ascii="Verdana" w:hAnsi="Verdana"/>
          <w:sz w:val="16"/>
          <w:szCs w:val="16"/>
        </w:rPr>
      </w:pPr>
      <w:r w:rsidRPr="00383392">
        <w:rPr>
          <w:rFonts w:ascii="Verdana" w:hAnsi="Verdana"/>
          <w:b/>
          <w:sz w:val="16"/>
          <w:szCs w:val="16"/>
        </w:rPr>
        <w:t>Raportowanie</w:t>
      </w:r>
      <w:r w:rsidRPr="00383392">
        <w:rPr>
          <w:rFonts w:ascii="Verdana" w:hAnsi="Verdana"/>
          <w:sz w:val="16"/>
          <w:szCs w:val="16"/>
        </w:rPr>
        <w:t xml:space="preserve">. W cyklach kwartalnych przygotowywane są raporty dotyczące długu bezpośredniego oraz podmiotów zależnych, a w cyklach półrocznych dokonywany jest przegląd zidentyfikowanych </w:t>
      </w:r>
      <w:proofErr w:type="spellStart"/>
      <w:r w:rsidRPr="00383392">
        <w:rPr>
          <w:rFonts w:ascii="Verdana" w:hAnsi="Verdana"/>
          <w:sz w:val="16"/>
          <w:szCs w:val="16"/>
        </w:rPr>
        <w:t>ryzyk</w:t>
      </w:r>
      <w:proofErr w:type="spellEnd"/>
      <w:r w:rsidRPr="00383392">
        <w:rPr>
          <w:rFonts w:ascii="Verdana" w:hAnsi="Verdana"/>
          <w:sz w:val="16"/>
          <w:szCs w:val="16"/>
        </w:rPr>
        <w:t xml:space="preserve"> związanych z zadłużeniem.</w:t>
      </w:r>
    </w:p>
    <w:p w:rsidR="000C0694" w:rsidRPr="00383392" w:rsidRDefault="000C0694" w:rsidP="000C0694">
      <w:pPr>
        <w:numPr>
          <w:ilvl w:val="0"/>
          <w:numId w:val="44"/>
        </w:numPr>
        <w:spacing w:before="120"/>
        <w:ind w:left="284" w:hanging="284"/>
        <w:jc w:val="both"/>
        <w:rPr>
          <w:rFonts w:ascii="Verdana" w:hAnsi="Verdana"/>
          <w:sz w:val="16"/>
          <w:szCs w:val="16"/>
        </w:rPr>
      </w:pPr>
      <w:r w:rsidRPr="00383392">
        <w:rPr>
          <w:rFonts w:ascii="Verdana" w:hAnsi="Verdana"/>
          <w:b/>
          <w:sz w:val="16"/>
          <w:szCs w:val="16"/>
        </w:rPr>
        <w:t>Przejrzyste zasady zarządzania finansami</w:t>
      </w:r>
      <w:r w:rsidRPr="00383392">
        <w:rPr>
          <w:rFonts w:ascii="Verdana" w:hAnsi="Verdana"/>
          <w:sz w:val="16"/>
          <w:szCs w:val="16"/>
        </w:rPr>
        <w:t xml:space="preserve">. Mają one istotne znaczenie dla pozyskiwania zewnętrznego finansowania inwestycji m.st. Warszawy, zwłaszcza w postaci środków zwrotnych. Przejrzystość finansów wzmacnia wiarygodność kredytową Miasta i polepsza oceny ratingowe. Miasto na swoich stronach internetowych publikuje raporty finansowe o charakterze sprawozdawczym, wykonanie budżetu (kwartalne </w:t>
      </w:r>
      <w:r w:rsidRPr="00383392">
        <w:rPr>
          <w:rFonts w:ascii="Verdana" w:hAnsi="Verdana"/>
          <w:sz w:val="16"/>
          <w:szCs w:val="16"/>
        </w:rPr>
        <w:br/>
        <w:t>i roczne), WPF i szczegółowe dane o swoim zadłużeniu.</w:t>
      </w:r>
    </w:p>
    <w:p w:rsidR="000C0694" w:rsidRPr="00383392" w:rsidRDefault="000C0694" w:rsidP="000C0694">
      <w:pPr>
        <w:numPr>
          <w:ilvl w:val="0"/>
          <w:numId w:val="44"/>
        </w:numPr>
        <w:spacing w:before="120"/>
        <w:ind w:left="284" w:hanging="284"/>
        <w:jc w:val="both"/>
        <w:rPr>
          <w:rFonts w:ascii="Verdana" w:hAnsi="Verdana"/>
          <w:sz w:val="16"/>
          <w:szCs w:val="16"/>
        </w:rPr>
      </w:pPr>
      <w:r w:rsidRPr="00383392">
        <w:rPr>
          <w:rFonts w:ascii="Verdana" w:hAnsi="Verdana"/>
          <w:b/>
          <w:sz w:val="16"/>
          <w:szCs w:val="16"/>
        </w:rPr>
        <w:t>Kontrole Regionalnej Izby Obrachunkowej (RIO).</w:t>
      </w:r>
      <w:r w:rsidRPr="00383392">
        <w:rPr>
          <w:rFonts w:ascii="Verdana" w:hAnsi="Verdana"/>
          <w:sz w:val="16"/>
          <w:szCs w:val="16"/>
        </w:rPr>
        <w:t xml:space="preserve"> RIO opiniuje projekty budżetu i WPF oraz sprawozdania z wykonania budżetu. Wydaje opinie w zakresie: </w:t>
      </w:r>
    </w:p>
    <w:p w:rsidR="000C0694" w:rsidRPr="00383392" w:rsidRDefault="000C0694" w:rsidP="000C0694">
      <w:pPr>
        <w:spacing w:before="60"/>
        <w:ind w:left="284"/>
        <w:jc w:val="both"/>
        <w:rPr>
          <w:rFonts w:ascii="Verdana" w:hAnsi="Verdana"/>
          <w:sz w:val="16"/>
          <w:szCs w:val="16"/>
        </w:rPr>
      </w:pPr>
      <w:r w:rsidRPr="00383392">
        <w:rPr>
          <w:rFonts w:ascii="Verdana" w:hAnsi="Verdana"/>
          <w:sz w:val="16"/>
          <w:szCs w:val="16"/>
        </w:rPr>
        <w:t xml:space="preserve">- prawidłowości planowanej kwoty długu, </w:t>
      </w:r>
    </w:p>
    <w:p w:rsidR="000C0694" w:rsidRPr="00383392" w:rsidRDefault="000C0694" w:rsidP="000C0694">
      <w:pPr>
        <w:spacing w:before="60"/>
        <w:ind w:left="284"/>
        <w:jc w:val="both"/>
        <w:rPr>
          <w:rFonts w:ascii="Verdana" w:hAnsi="Verdana"/>
          <w:sz w:val="16"/>
          <w:szCs w:val="16"/>
        </w:rPr>
      </w:pPr>
      <w:r w:rsidRPr="00383392">
        <w:rPr>
          <w:rFonts w:ascii="Verdana" w:hAnsi="Verdana"/>
          <w:sz w:val="16"/>
          <w:szCs w:val="16"/>
        </w:rPr>
        <w:t>- możliwości sfinansowania deficytu,</w:t>
      </w:r>
    </w:p>
    <w:p w:rsidR="000C0694" w:rsidRPr="00383392" w:rsidRDefault="000C0694" w:rsidP="000C0694">
      <w:pPr>
        <w:spacing w:before="60"/>
        <w:ind w:left="284"/>
        <w:jc w:val="both"/>
        <w:rPr>
          <w:rFonts w:ascii="Verdana" w:hAnsi="Verdana"/>
          <w:sz w:val="16"/>
          <w:szCs w:val="16"/>
        </w:rPr>
      </w:pPr>
      <w:r w:rsidRPr="00383392">
        <w:rPr>
          <w:rFonts w:ascii="Verdana" w:hAnsi="Verdana"/>
          <w:sz w:val="16"/>
          <w:szCs w:val="16"/>
        </w:rPr>
        <w:t>- możliwości spłaty planowanego zadłużenia.</w:t>
      </w:r>
    </w:p>
    <w:p w:rsidR="000C0694" w:rsidRPr="00383392" w:rsidRDefault="000C0694" w:rsidP="000C0694">
      <w:pPr>
        <w:numPr>
          <w:ilvl w:val="0"/>
          <w:numId w:val="44"/>
        </w:numPr>
        <w:spacing w:before="120"/>
        <w:ind w:left="284" w:hanging="284"/>
        <w:jc w:val="both"/>
        <w:rPr>
          <w:rFonts w:ascii="Verdana" w:hAnsi="Verdana"/>
          <w:sz w:val="16"/>
          <w:szCs w:val="16"/>
        </w:rPr>
      </w:pPr>
      <w:r w:rsidRPr="00383392">
        <w:rPr>
          <w:rFonts w:ascii="Verdana" w:hAnsi="Verdana"/>
          <w:b/>
          <w:sz w:val="16"/>
          <w:szCs w:val="16"/>
        </w:rPr>
        <w:t>Ocena ratingowa</w:t>
      </w:r>
      <w:r w:rsidRPr="00383392">
        <w:rPr>
          <w:rFonts w:ascii="Verdana" w:hAnsi="Verdana"/>
          <w:sz w:val="16"/>
          <w:szCs w:val="16"/>
        </w:rPr>
        <w:t xml:space="preserve">. Stanowi uzupełnienie przeprowadzanych głównie w zakresie formalno-prawnym kontroli nadzorczych. Odnosi się ona do posiadanego zadłużenia oraz sposobu jego zarządzania. Miasto posiada oceny </w:t>
      </w:r>
      <w:r>
        <w:rPr>
          <w:rFonts w:ascii="Verdana" w:hAnsi="Verdana"/>
          <w:sz w:val="16"/>
          <w:szCs w:val="16"/>
        </w:rPr>
        <w:t xml:space="preserve">dwóch </w:t>
      </w:r>
      <w:r w:rsidRPr="00383392">
        <w:rPr>
          <w:rFonts w:ascii="Verdana" w:hAnsi="Verdana"/>
          <w:sz w:val="16"/>
          <w:szCs w:val="16"/>
        </w:rPr>
        <w:t xml:space="preserve">agencji ratingowych: </w:t>
      </w:r>
    </w:p>
    <w:p w:rsidR="000C0694" w:rsidRPr="00383392" w:rsidRDefault="000C0694" w:rsidP="000C0694">
      <w:pPr>
        <w:numPr>
          <w:ilvl w:val="0"/>
          <w:numId w:val="52"/>
        </w:numPr>
        <w:spacing w:before="60"/>
        <w:ind w:left="568" w:hanging="284"/>
        <w:jc w:val="both"/>
        <w:rPr>
          <w:rFonts w:ascii="Verdana" w:hAnsi="Verdana"/>
          <w:sz w:val="16"/>
          <w:szCs w:val="16"/>
        </w:rPr>
      </w:pPr>
      <w:r w:rsidRPr="00383392">
        <w:rPr>
          <w:rFonts w:ascii="Verdana" w:hAnsi="Verdana"/>
          <w:b/>
          <w:sz w:val="16"/>
          <w:szCs w:val="16"/>
        </w:rPr>
        <w:lastRenderedPageBreak/>
        <w:t>A2 z perspektywą stabilną</w:t>
      </w:r>
      <w:r w:rsidRPr="00383392">
        <w:rPr>
          <w:rFonts w:ascii="Verdana" w:hAnsi="Verdana"/>
          <w:sz w:val="16"/>
          <w:szCs w:val="16"/>
        </w:rPr>
        <w:t xml:space="preserve"> nadaną przez międzynarodową </w:t>
      </w:r>
      <w:r w:rsidRPr="00383392">
        <w:rPr>
          <w:rFonts w:ascii="Verdana" w:hAnsi="Verdana"/>
          <w:b/>
          <w:sz w:val="16"/>
          <w:szCs w:val="16"/>
        </w:rPr>
        <w:t xml:space="preserve">agencję </w:t>
      </w:r>
      <w:proofErr w:type="spellStart"/>
      <w:r w:rsidRPr="00383392">
        <w:rPr>
          <w:rFonts w:ascii="Verdana" w:hAnsi="Verdana"/>
          <w:b/>
          <w:sz w:val="16"/>
          <w:szCs w:val="16"/>
        </w:rPr>
        <w:t>Moody’s</w:t>
      </w:r>
      <w:proofErr w:type="spellEnd"/>
      <w:r w:rsidRPr="00383392">
        <w:rPr>
          <w:rFonts w:ascii="Verdana" w:hAnsi="Verdana"/>
          <w:sz w:val="16"/>
          <w:szCs w:val="16"/>
        </w:rPr>
        <w:t xml:space="preserve"> (ostatnia weryfikacja </w:t>
      </w:r>
      <w:r>
        <w:rPr>
          <w:rFonts w:ascii="Verdana" w:hAnsi="Verdana"/>
          <w:sz w:val="16"/>
          <w:szCs w:val="16"/>
        </w:rPr>
        <w:t>7</w:t>
      </w:r>
      <w:r w:rsidRPr="00383392">
        <w:rPr>
          <w:rFonts w:ascii="Verdana" w:hAnsi="Verdana"/>
          <w:sz w:val="16"/>
          <w:szCs w:val="16"/>
        </w:rPr>
        <w:t> grudnia 20</w:t>
      </w:r>
      <w:r>
        <w:rPr>
          <w:rFonts w:ascii="Verdana" w:hAnsi="Verdana"/>
          <w:sz w:val="16"/>
          <w:szCs w:val="16"/>
        </w:rPr>
        <w:t>21</w:t>
      </w:r>
      <w:r w:rsidRPr="00383392">
        <w:rPr>
          <w:rFonts w:ascii="Verdana" w:hAnsi="Verdana"/>
          <w:sz w:val="16"/>
          <w:szCs w:val="16"/>
        </w:rPr>
        <w:t xml:space="preserve"> r.),</w:t>
      </w:r>
    </w:p>
    <w:p w:rsidR="000C0694" w:rsidRPr="00383392" w:rsidRDefault="000C0694" w:rsidP="000C0694">
      <w:pPr>
        <w:numPr>
          <w:ilvl w:val="0"/>
          <w:numId w:val="52"/>
        </w:numPr>
        <w:spacing w:before="60"/>
        <w:ind w:left="568" w:hanging="284"/>
        <w:jc w:val="both"/>
        <w:rPr>
          <w:rFonts w:ascii="Verdana" w:hAnsi="Verdana"/>
          <w:sz w:val="16"/>
          <w:szCs w:val="16"/>
        </w:rPr>
      </w:pPr>
      <w:r w:rsidRPr="00383392">
        <w:rPr>
          <w:rFonts w:ascii="Verdana" w:hAnsi="Verdana"/>
          <w:b/>
          <w:sz w:val="16"/>
          <w:szCs w:val="16"/>
        </w:rPr>
        <w:t>A- oraz AAA (</w:t>
      </w:r>
      <w:proofErr w:type="spellStart"/>
      <w:r w:rsidRPr="00383392">
        <w:rPr>
          <w:rFonts w:ascii="Verdana" w:hAnsi="Verdana"/>
          <w:b/>
          <w:sz w:val="16"/>
          <w:szCs w:val="16"/>
        </w:rPr>
        <w:t>pol</w:t>
      </w:r>
      <w:proofErr w:type="spellEnd"/>
      <w:r w:rsidRPr="00383392">
        <w:rPr>
          <w:rFonts w:ascii="Verdana" w:hAnsi="Verdana"/>
          <w:b/>
          <w:sz w:val="16"/>
          <w:szCs w:val="16"/>
        </w:rPr>
        <w:t xml:space="preserve">) </w:t>
      </w:r>
      <w:r w:rsidRPr="00383392">
        <w:rPr>
          <w:rFonts w:ascii="Verdana" w:hAnsi="Verdana"/>
          <w:sz w:val="16"/>
          <w:szCs w:val="16"/>
        </w:rPr>
        <w:t xml:space="preserve">– nadaną przez międzynarodową </w:t>
      </w:r>
      <w:r w:rsidRPr="00383392">
        <w:rPr>
          <w:rFonts w:ascii="Verdana" w:hAnsi="Verdana"/>
          <w:b/>
          <w:sz w:val="16"/>
          <w:szCs w:val="16"/>
        </w:rPr>
        <w:t xml:space="preserve">agencję Fitch </w:t>
      </w:r>
      <w:proofErr w:type="spellStart"/>
      <w:r w:rsidRPr="00383392">
        <w:rPr>
          <w:rFonts w:ascii="Verdana" w:hAnsi="Verdana"/>
          <w:b/>
          <w:sz w:val="16"/>
          <w:szCs w:val="16"/>
        </w:rPr>
        <w:t>Ratings</w:t>
      </w:r>
      <w:proofErr w:type="spellEnd"/>
      <w:r w:rsidRPr="00383392">
        <w:rPr>
          <w:rFonts w:ascii="Verdana" w:hAnsi="Verdana"/>
          <w:b/>
          <w:sz w:val="16"/>
          <w:szCs w:val="16"/>
        </w:rPr>
        <w:t xml:space="preserve"> </w:t>
      </w:r>
      <w:r w:rsidRPr="00383392">
        <w:rPr>
          <w:rFonts w:ascii="Verdana" w:hAnsi="Verdana"/>
          <w:sz w:val="16"/>
          <w:szCs w:val="16"/>
        </w:rPr>
        <w:t>(ostatnia weryfikacja</w:t>
      </w:r>
      <w:r w:rsidRPr="00383392">
        <w:rPr>
          <w:rFonts w:ascii="Verdana" w:hAnsi="Verdana"/>
          <w:b/>
          <w:sz w:val="16"/>
          <w:szCs w:val="16"/>
        </w:rPr>
        <w:t xml:space="preserve"> </w:t>
      </w:r>
      <w:r w:rsidR="0050183E">
        <w:rPr>
          <w:rFonts w:ascii="Verdana" w:hAnsi="Verdana"/>
          <w:b/>
          <w:sz w:val="16"/>
          <w:szCs w:val="16"/>
        </w:rPr>
        <w:br/>
      </w:r>
      <w:r>
        <w:rPr>
          <w:rFonts w:ascii="Verdana" w:hAnsi="Verdana"/>
          <w:sz w:val="16"/>
          <w:szCs w:val="16"/>
        </w:rPr>
        <w:t>28</w:t>
      </w:r>
      <w:r w:rsidRPr="00383392">
        <w:rPr>
          <w:rFonts w:ascii="Verdana" w:hAnsi="Verdana"/>
          <w:sz w:val="16"/>
          <w:szCs w:val="16"/>
        </w:rPr>
        <w:t xml:space="preserve"> </w:t>
      </w:r>
      <w:r>
        <w:rPr>
          <w:rFonts w:ascii="Verdana" w:hAnsi="Verdana"/>
          <w:sz w:val="16"/>
          <w:szCs w:val="16"/>
        </w:rPr>
        <w:t>maja</w:t>
      </w:r>
      <w:r w:rsidRPr="00383392">
        <w:rPr>
          <w:rFonts w:ascii="Verdana" w:hAnsi="Verdana"/>
          <w:sz w:val="16"/>
          <w:szCs w:val="16"/>
        </w:rPr>
        <w:t xml:space="preserve"> 202</w:t>
      </w:r>
      <w:r>
        <w:rPr>
          <w:rFonts w:ascii="Verdana" w:hAnsi="Verdana"/>
          <w:sz w:val="16"/>
          <w:szCs w:val="16"/>
        </w:rPr>
        <w:t>1</w:t>
      </w:r>
      <w:r w:rsidRPr="00383392">
        <w:rPr>
          <w:rFonts w:ascii="Verdana" w:hAnsi="Verdana"/>
          <w:sz w:val="16"/>
          <w:szCs w:val="16"/>
        </w:rPr>
        <w:t xml:space="preserve"> r.).</w:t>
      </w:r>
    </w:p>
    <w:p w:rsidR="000C0694" w:rsidRDefault="000C0694" w:rsidP="000C0694">
      <w:pPr>
        <w:numPr>
          <w:ilvl w:val="0"/>
          <w:numId w:val="44"/>
        </w:numPr>
        <w:spacing w:before="120"/>
        <w:ind w:left="284" w:hanging="284"/>
        <w:jc w:val="both"/>
        <w:rPr>
          <w:rFonts w:ascii="Verdana" w:hAnsi="Verdana"/>
          <w:bCs/>
          <w:sz w:val="16"/>
          <w:szCs w:val="16"/>
        </w:rPr>
      </w:pPr>
      <w:r w:rsidRPr="00383392">
        <w:rPr>
          <w:rFonts w:ascii="Verdana" w:hAnsi="Verdana"/>
          <w:b/>
          <w:sz w:val="16"/>
          <w:szCs w:val="16"/>
        </w:rPr>
        <w:t>Kontrola zadłużenia niestandardowego.</w:t>
      </w:r>
      <w:r w:rsidRPr="00383392">
        <w:rPr>
          <w:rFonts w:ascii="Verdana" w:hAnsi="Verdana"/>
          <w:sz w:val="16"/>
          <w:szCs w:val="16"/>
        </w:rPr>
        <w:t xml:space="preserve"> Wprowadzone zostały odpowiednie reguły pozwalające </w:t>
      </w:r>
      <w:r w:rsidRPr="00383392">
        <w:rPr>
          <w:rFonts w:ascii="Verdana" w:hAnsi="Verdana"/>
          <w:sz w:val="16"/>
          <w:szCs w:val="16"/>
        </w:rPr>
        <w:br/>
        <w:t xml:space="preserve">na monitorowanie oraz limitowanie zawierania umów generujących tego typu zobowiązania. W celu ograniczenia ryzyka dotyczącego wzrostu zadłużenia i pogorszenia wskaźnika zadłużeniowego związanego </w:t>
      </w:r>
      <w:r w:rsidRPr="00383392">
        <w:rPr>
          <w:rFonts w:ascii="Verdana" w:hAnsi="Verdana"/>
          <w:sz w:val="16"/>
          <w:szCs w:val="16"/>
        </w:rPr>
        <w:br/>
        <w:t xml:space="preserve">z poszerzeniem kategorii kredytów i pożyczek o nowe tytuły dłużne (zgodnie z obowiązującym rozporządzeniem Ministra Finansów z dnia 28 grudnia 2011 r. </w:t>
      </w:r>
      <w:r w:rsidRPr="00383392">
        <w:rPr>
          <w:rFonts w:ascii="Verdana" w:hAnsi="Verdana"/>
          <w:bCs/>
          <w:sz w:val="16"/>
          <w:szCs w:val="16"/>
        </w:rPr>
        <w:t xml:space="preserve">w sprawie szczegółowego sposobu klasyfikacji tytułów dłużnych zaliczanych do państwowego długu publicznego, Dz.U. 2011 nr 298 poz. 1767) </w:t>
      </w:r>
      <w:r w:rsidRPr="00383392">
        <w:rPr>
          <w:rFonts w:ascii="Verdana" w:hAnsi="Verdana"/>
          <w:sz w:val="16"/>
          <w:szCs w:val="16"/>
        </w:rPr>
        <w:t xml:space="preserve">od 2012 r. </w:t>
      </w:r>
      <w:r w:rsidRPr="00383392">
        <w:rPr>
          <w:rFonts w:ascii="Verdana" w:hAnsi="Verdana"/>
          <w:bCs/>
          <w:sz w:val="16"/>
          <w:szCs w:val="16"/>
        </w:rPr>
        <w:t xml:space="preserve">w formie wytycznych stosowane są procedury zawierania umów wieloletnich. Dotyczyć to może: umów PPP, umów sprzedaży w ratach, umów nienazwanych o terminie zapłaty dłuższym niż rok oraz umów leasingu, </w:t>
      </w:r>
      <w:r w:rsidRPr="00383392">
        <w:rPr>
          <w:rFonts w:ascii="Verdana" w:hAnsi="Verdana"/>
          <w:bCs/>
          <w:sz w:val="16"/>
          <w:szCs w:val="16"/>
        </w:rPr>
        <w:br/>
        <w:t>w których ryzyko i korzyści ponosi korzystający z rzeczy. Dotychczas w finansach Miasta nie wystąpiły zobowiązania dotyczące tego rodzaju umów.</w:t>
      </w:r>
    </w:p>
    <w:p w:rsidR="000C0694" w:rsidRPr="00E30E07" w:rsidRDefault="000C0694" w:rsidP="000C0694">
      <w:pPr>
        <w:numPr>
          <w:ilvl w:val="0"/>
          <w:numId w:val="44"/>
        </w:numPr>
        <w:spacing w:before="120"/>
        <w:ind w:left="284" w:hanging="284"/>
        <w:jc w:val="both"/>
        <w:rPr>
          <w:rFonts w:ascii="Verdana" w:hAnsi="Verdana"/>
          <w:bCs/>
          <w:sz w:val="16"/>
          <w:szCs w:val="16"/>
        </w:rPr>
      </w:pPr>
      <w:r w:rsidRPr="00E30E07">
        <w:rPr>
          <w:rFonts w:ascii="Verdana" w:hAnsi="Verdana" w:cs="Arial"/>
          <w:b/>
          <w:sz w:val="16"/>
          <w:szCs w:val="16"/>
        </w:rPr>
        <w:t xml:space="preserve">Monitorowanie </w:t>
      </w:r>
      <w:r w:rsidRPr="00E30E07">
        <w:rPr>
          <w:rFonts w:ascii="Verdana" w:hAnsi="Verdana"/>
          <w:b/>
          <w:sz w:val="16"/>
          <w:szCs w:val="16"/>
        </w:rPr>
        <w:t>długu</w:t>
      </w:r>
      <w:r w:rsidRPr="00E30E07">
        <w:rPr>
          <w:rFonts w:ascii="Verdana" w:hAnsi="Verdana" w:cs="Arial"/>
          <w:b/>
          <w:sz w:val="16"/>
          <w:szCs w:val="16"/>
        </w:rPr>
        <w:t xml:space="preserve"> pośredniego poprzez bieżące śledzenie </w:t>
      </w:r>
      <w:r w:rsidRPr="00E30E07">
        <w:rPr>
          <w:rFonts w:ascii="Verdana" w:hAnsi="Verdana" w:cs="Verdana"/>
          <w:b/>
          <w:sz w:val="16"/>
          <w:szCs w:val="16"/>
        </w:rPr>
        <w:t>zadłużenia podmiotów zależnych.</w:t>
      </w:r>
      <w:r w:rsidRPr="00E30E07">
        <w:rPr>
          <w:rFonts w:ascii="Verdana" w:hAnsi="Verdana" w:cs="Verdana"/>
          <w:sz w:val="16"/>
          <w:szCs w:val="16"/>
        </w:rPr>
        <w:t xml:space="preserve"> Miasto posiada 100% udziałów w 23 spółkach prawa handlowego, z czego kluczową pozycję zajmuje </w:t>
      </w:r>
      <w:r w:rsidRPr="00E30E07">
        <w:rPr>
          <w:rFonts w:ascii="Verdana" w:hAnsi="Verdana" w:cs="Verdana"/>
          <w:sz w:val="16"/>
          <w:szCs w:val="16"/>
        </w:rPr>
        <w:br/>
        <w:t>9 podmiotów monitorowanych przez międzynarodowe agencje ratingowe. Podmiotami których zadłużenie poddane jest kontroli w pierwszej kolejności, są te o największej skali funkcjonowania i znaczeniu, których suma bilansowa przekracza 150 mln zł oraz podmioty prowadzące działalność leczniczą.</w:t>
      </w:r>
    </w:p>
    <w:p w:rsidR="0079046D" w:rsidRPr="00383392" w:rsidRDefault="006422A8" w:rsidP="0079046D">
      <w:pPr>
        <w:spacing w:before="360"/>
        <w:jc w:val="both"/>
        <w:rPr>
          <w:rFonts w:ascii="Verdana" w:hAnsi="Verdana"/>
          <w:b/>
          <w:bCs/>
        </w:rPr>
      </w:pPr>
      <w:r w:rsidRPr="00011AAA">
        <w:rPr>
          <w:rFonts w:ascii="Verdana" w:hAnsi="Verdana"/>
          <w:noProof/>
          <w:sz w:val="16"/>
          <w:szCs w:val="16"/>
        </w:rPr>
        <mc:AlternateContent>
          <mc:Choice Requires="wps">
            <w:drawing>
              <wp:anchor distT="0" distB="0" distL="114300" distR="114300" simplePos="0" relativeHeight="251695104" behindDoc="0" locked="0" layoutInCell="1" allowOverlap="1" wp14:anchorId="771FB912" wp14:editId="170BD610">
                <wp:simplePos x="0" y="0"/>
                <wp:positionH relativeFrom="margin">
                  <wp:posOffset>231775</wp:posOffset>
                </wp:positionH>
                <wp:positionV relativeFrom="paragraph">
                  <wp:posOffset>494030</wp:posOffset>
                </wp:positionV>
                <wp:extent cx="2438400" cy="60960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43105E" w:rsidRPr="007A5B45" w:rsidRDefault="0043105E" w:rsidP="0079046D">
                            <w:pPr>
                              <w:jc w:val="center"/>
                              <w:rPr>
                                <w:rFonts w:ascii="Verdana" w:hAnsi="Verdana"/>
                                <w:sz w:val="16"/>
                                <w:szCs w:val="16"/>
                              </w:rPr>
                            </w:pPr>
                            <w:r w:rsidRPr="007A5B45">
                              <w:rPr>
                                <w:rFonts w:ascii="Verdana" w:hAnsi="Verdana"/>
                                <w:sz w:val="16"/>
                                <w:szCs w:val="16"/>
                              </w:rPr>
                              <w:t>Skarbnik m.st. Warszawy</w:t>
                            </w:r>
                          </w:p>
                          <w:p w:rsidR="0043105E" w:rsidRPr="007A5B45" w:rsidRDefault="0043105E" w:rsidP="0079046D">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FB912" id="Pole tekstowe 24" o:spid="_x0000_s1031" type="#_x0000_t202" style="position:absolute;left:0;text-align:left;margin-left:18.25pt;margin-top:38.9pt;width:192pt;height:4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" fillcolor="white [3201]" stroked="f" strokeweight=".5pt">
                <v:textbox>
                  <w:txbxContent>
                    <w:p w:rsidR="0043105E" w:rsidRPr="007A5B45" w:rsidRDefault="0043105E" w:rsidP="0079046D">
                      <w:pPr>
                        <w:jc w:val="center"/>
                        <w:rPr>
                          <w:rFonts w:ascii="Verdana" w:hAnsi="Verdana"/>
                          <w:sz w:val="16"/>
                          <w:szCs w:val="16"/>
                        </w:rPr>
                      </w:pPr>
                      <w:r w:rsidRPr="007A5B45">
                        <w:rPr>
                          <w:rFonts w:ascii="Verdana" w:hAnsi="Verdana"/>
                          <w:sz w:val="16"/>
                          <w:szCs w:val="16"/>
                        </w:rPr>
                        <w:t>Skarbnik m.st. Warszawy</w:t>
                      </w:r>
                    </w:p>
                    <w:p w:rsidR="0043105E" w:rsidRPr="007A5B45" w:rsidRDefault="0043105E" w:rsidP="0079046D">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v:textbox>
                <w10:wrap anchorx="margin"/>
              </v:shape>
            </w:pict>
          </mc:Fallback>
        </mc:AlternateContent>
      </w:r>
      <w:r w:rsidRPr="00011AAA">
        <w:rPr>
          <w:rFonts w:ascii="Verdana" w:hAnsi="Verdana"/>
          <w:noProof/>
          <w:sz w:val="16"/>
          <w:szCs w:val="16"/>
        </w:rPr>
        <mc:AlternateContent>
          <mc:Choice Requires="wps">
            <w:drawing>
              <wp:anchor distT="0" distB="0" distL="114300" distR="114300" simplePos="0" relativeHeight="251696128" behindDoc="0" locked="0" layoutInCell="1" allowOverlap="1" wp14:anchorId="3C1FD44B" wp14:editId="2C2008BB">
                <wp:simplePos x="0" y="0"/>
                <wp:positionH relativeFrom="margin">
                  <wp:posOffset>3073400</wp:posOffset>
                </wp:positionH>
                <wp:positionV relativeFrom="paragraph">
                  <wp:posOffset>507365</wp:posOffset>
                </wp:positionV>
                <wp:extent cx="2438400" cy="6096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43105E" w:rsidRPr="007A5B45" w:rsidRDefault="0043105E" w:rsidP="0079046D">
                            <w:pPr>
                              <w:jc w:val="center"/>
                              <w:rPr>
                                <w:rFonts w:ascii="Verdana" w:hAnsi="Verdana"/>
                                <w:sz w:val="16"/>
                                <w:szCs w:val="16"/>
                              </w:rPr>
                            </w:pPr>
                            <w:r w:rsidRPr="007A5B45">
                              <w:rPr>
                                <w:rFonts w:ascii="Verdana" w:hAnsi="Verdana"/>
                                <w:sz w:val="16"/>
                                <w:szCs w:val="16"/>
                              </w:rPr>
                              <w:t>Prezydent m.st. Warszawy</w:t>
                            </w:r>
                          </w:p>
                          <w:p w:rsidR="0043105E" w:rsidRPr="0023713D" w:rsidRDefault="0043105E" w:rsidP="0079046D">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D44B" id="Pole tekstowe 3" o:spid="_x0000_s1032" type="#_x0000_t202" style="position:absolute;left:0;text-align:left;margin-left:242pt;margin-top:39.95pt;width:192pt;height: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" fillcolor="white [3201]" stroked="f" strokeweight=".5pt">
                <v:textbox>
                  <w:txbxContent>
                    <w:p w:rsidR="0043105E" w:rsidRPr="007A5B45" w:rsidRDefault="0043105E" w:rsidP="0079046D">
                      <w:pPr>
                        <w:jc w:val="center"/>
                        <w:rPr>
                          <w:rFonts w:ascii="Verdana" w:hAnsi="Verdana"/>
                          <w:sz w:val="16"/>
                          <w:szCs w:val="16"/>
                        </w:rPr>
                      </w:pPr>
                      <w:r w:rsidRPr="007A5B45">
                        <w:rPr>
                          <w:rFonts w:ascii="Verdana" w:hAnsi="Verdana"/>
                          <w:sz w:val="16"/>
                          <w:szCs w:val="16"/>
                        </w:rPr>
                        <w:t>Prezydent m.st. Warszawy</w:t>
                      </w:r>
                    </w:p>
                    <w:p w:rsidR="0043105E" w:rsidRPr="0023713D" w:rsidRDefault="0043105E" w:rsidP="0079046D">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w10:wrap anchorx="margin"/>
              </v:shape>
            </w:pict>
          </mc:Fallback>
        </mc:AlternateContent>
      </w:r>
    </w:p>
    <w:p w:rsidR="0079046D" w:rsidRPr="000C0694" w:rsidRDefault="0079046D" w:rsidP="000C0694">
      <w:pPr>
        <w:spacing w:before="120"/>
        <w:jc w:val="both"/>
        <w:rPr>
          <w:rFonts w:ascii="Verdana" w:hAnsi="Verdana"/>
          <w:bCs/>
          <w:sz w:val="16"/>
          <w:szCs w:val="16"/>
        </w:rPr>
      </w:pPr>
      <w:r w:rsidRPr="00E30E07">
        <w:rPr>
          <w:rFonts w:ascii="Verdana" w:hAnsi="Verdana" w:cs="Verdana"/>
          <w:sz w:val="16"/>
          <w:szCs w:val="16"/>
        </w:rPr>
        <w:t>.</w:t>
      </w:r>
      <w:r w:rsidRPr="00570F89">
        <w:rPr>
          <w:rFonts w:ascii="Verdana" w:hAnsi="Verdana"/>
          <w:noProof/>
          <w:sz w:val="16"/>
          <w:szCs w:val="16"/>
        </w:rPr>
        <w:t xml:space="preserve"> </w:t>
      </w:r>
    </w:p>
    <w:p w:rsidR="000C0694" w:rsidRPr="00E30E07" w:rsidRDefault="000C0694" w:rsidP="000C0694">
      <w:pPr>
        <w:spacing w:before="120"/>
        <w:jc w:val="both"/>
        <w:rPr>
          <w:rFonts w:ascii="Verdana" w:hAnsi="Verdana"/>
          <w:bCs/>
          <w:sz w:val="16"/>
          <w:szCs w:val="16"/>
        </w:rPr>
      </w:pPr>
    </w:p>
    <w:p w:rsidR="003446B1" w:rsidRPr="0080214F" w:rsidRDefault="003446B1" w:rsidP="0080214F">
      <w:pPr>
        <w:jc w:val="both"/>
        <w:rPr>
          <w:rFonts w:ascii="Verdana" w:hAnsi="Verdana" w:cs="Arial"/>
          <w:sz w:val="16"/>
          <w:szCs w:val="16"/>
        </w:rPr>
      </w:pPr>
    </w:p>
    <w:sectPr w:rsidR="003446B1" w:rsidRPr="0080214F" w:rsidSect="00F33C94">
      <w:type w:val="oddPage"/>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2A" w:rsidRDefault="002A522A">
      <w:r>
        <w:separator/>
      </w:r>
    </w:p>
  </w:endnote>
  <w:endnote w:type="continuationSeparator" w:id="0">
    <w:p w:rsidR="002A522A" w:rsidRDefault="002A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ewBrunswick">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wis721LtEU">
    <w:altName w:val="Swis 72 1 Light EU"/>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94" w:rsidRPr="00F351C0" w:rsidRDefault="00F33C94"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BC3719">
      <w:rPr>
        <w:rStyle w:val="Numerstrony"/>
        <w:noProof/>
        <w:sz w:val="18"/>
        <w:szCs w:val="18"/>
      </w:rPr>
      <w:t>7</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BC3719">
      <w:rPr>
        <w:rStyle w:val="Numerstrony"/>
        <w:noProof/>
        <w:sz w:val="18"/>
        <w:szCs w:val="18"/>
      </w:rPr>
      <w:t>85</w:t>
    </w:r>
    <w:r w:rsidRPr="00F351C0">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2A" w:rsidRDefault="002A522A">
      <w:r>
        <w:separator/>
      </w:r>
    </w:p>
  </w:footnote>
  <w:footnote w:type="continuationSeparator" w:id="0">
    <w:p w:rsidR="002A522A" w:rsidRDefault="002A522A">
      <w:r>
        <w:continuationSeparator/>
      </w:r>
    </w:p>
  </w:footnote>
  <w:footnote w:id="1">
    <w:p w:rsidR="0043105E" w:rsidRPr="005335E1" w:rsidRDefault="0043105E" w:rsidP="007F07DD">
      <w:pPr>
        <w:pStyle w:val="Tekstprzypisudolnego"/>
        <w:ind w:firstLine="140"/>
        <w:rPr>
          <w:rFonts w:ascii="Verdana" w:hAnsi="Verdana" w:cs="Arial"/>
          <w:i w:val="0"/>
          <w:sz w:val="14"/>
          <w:szCs w:val="14"/>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2">
    <w:p w:rsidR="0043105E" w:rsidRPr="004560FF" w:rsidRDefault="0043105E" w:rsidP="007F07DD">
      <w:pPr>
        <w:pStyle w:val="Tekstprzypisudolnego"/>
        <w:rPr>
          <w:rFonts w:ascii="Verdana" w:hAnsi="Verdana"/>
          <w:i w:val="0"/>
          <w:sz w:val="14"/>
          <w:szCs w:val="14"/>
        </w:rPr>
      </w:pPr>
      <w:r w:rsidRPr="004560FF">
        <w:rPr>
          <w:rStyle w:val="Odwoanieprzypisudolnego"/>
          <w:rFonts w:ascii="Verdana" w:hAnsi="Verdana"/>
          <w:i w:val="0"/>
          <w:sz w:val="16"/>
          <w:szCs w:val="16"/>
        </w:rPr>
        <w:footnoteRef/>
      </w:r>
      <w:r w:rsidRPr="004560FF">
        <w:rPr>
          <w:rFonts w:ascii="Verdana" w:hAnsi="Verdana"/>
          <w:i w:val="0"/>
          <w:sz w:val="16"/>
          <w:szCs w:val="16"/>
        </w:rPr>
        <w:t xml:space="preserve"> </w:t>
      </w:r>
      <w:r w:rsidRPr="004560FF">
        <w:rPr>
          <w:rFonts w:ascii="Verdana" w:hAnsi="Verdana" w:cs="Arial"/>
          <w:i w:val="0"/>
          <w:sz w:val="14"/>
          <w:szCs w:val="14"/>
        </w:rPr>
        <w:t>Zmiany wymienionej ustawy zostały ogłoszone w</w:t>
      </w:r>
      <w:r w:rsidRPr="004560FF">
        <w:rPr>
          <w:rFonts w:ascii="Verdana" w:hAnsi="Verdana"/>
          <w:i w:val="0"/>
          <w:sz w:val="14"/>
          <w:szCs w:val="14"/>
        </w:rPr>
        <w:t xml:space="preserve"> Dz. U. z 2009 r. </w:t>
      </w:r>
      <w:r w:rsidRPr="004560FF">
        <w:rPr>
          <w:rFonts w:ascii="Verdana" w:hAnsi="Verdana" w:cs="Arial"/>
          <w:i w:val="0"/>
          <w:sz w:val="14"/>
          <w:szCs w:val="14"/>
        </w:rPr>
        <w:t xml:space="preserve">Nr 219 poz. 1706, z 2010 r. Nr 96 poz. 620, </w:t>
      </w:r>
      <w:r>
        <w:rPr>
          <w:rFonts w:ascii="Verdana" w:hAnsi="Verdana" w:cs="Arial"/>
          <w:i w:val="0"/>
          <w:sz w:val="14"/>
          <w:szCs w:val="14"/>
        </w:rPr>
        <w:t xml:space="preserve">Nr 108 poz. 685, </w:t>
      </w:r>
      <w:r w:rsidRPr="004560FF">
        <w:rPr>
          <w:rFonts w:ascii="Verdana" w:hAnsi="Verdana" w:cs="Arial"/>
          <w:i w:val="0"/>
          <w:sz w:val="14"/>
          <w:szCs w:val="14"/>
        </w:rPr>
        <w:t xml:space="preserve">Nr 152 poz. 1020, Nr 161 poz. 1078, Nr 226 poz. 1475 i Nr 238 poz. 1578, z 2011 r. Nr 171 poz. 1016, Nr 178 </w:t>
      </w:r>
      <w:r>
        <w:rPr>
          <w:rFonts w:ascii="Verdana" w:hAnsi="Verdana" w:cs="Arial"/>
          <w:i w:val="0"/>
          <w:sz w:val="14"/>
          <w:szCs w:val="14"/>
        </w:rPr>
        <w:br/>
      </w:r>
      <w:r w:rsidRPr="004560FF">
        <w:rPr>
          <w:rFonts w:ascii="Verdana" w:hAnsi="Verdana" w:cs="Arial"/>
          <w:i w:val="0"/>
          <w:sz w:val="14"/>
          <w:szCs w:val="14"/>
        </w:rPr>
        <w:t>poz. 1061 i Nr 197 poz. 1170, z 2012 r. poz. 986, 1456 i 1548 oraz  z 2014 r. poz. 1457</w:t>
      </w:r>
    </w:p>
  </w:footnote>
  <w:footnote w:id="3">
    <w:p w:rsidR="0043105E" w:rsidRPr="005335E1" w:rsidRDefault="0043105E" w:rsidP="007F07DD">
      <w:pPr>
        <w:pStyle w:val="Tekstprzypisudolnego"/>
        <w:ind w:firstLine="140"/>
        <w:rPr>
          <w:rFonts w:ascii="Verdana" w:hAnsi="Verdana" w:cs="Arial"/>
          <w:i w:val="0"/>
          <w:sz w:val="14"/>
          <w:szCs w:val="14"/>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4">
    <w:p w:rsidR="0043105E" w:rsidRPr="005E3938" w:rsidRDefault="0043105E" w:rsidP="007F07DD">
      <w:pPr>
        <w:pStyle w:val="Tekstprzypisudolnego"/>
        <w:ind w:firstLine="140"/>
        <w:jc w:val="left"/>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Główny Urząd Statystyczny, „Szybki szacunek wskaźnika cen towarów i usług konsumpcyjnych w listopadzie </w:t>
      </w:r>
      <w:r>
        <w:rPr>
          <w:rFonts w:ascii="Verdana" w:hAnsi="Verdana" w:cs="Arial"/>
          <w:i w:val="0"/>
          <w:sz w:val="14"/>
          <w:szCs w:val="14"/>
        </w:rPr>
        <w:br/>
        <w:t>2021 r.”, 30 listopada 2021 r.</w:t>
      </w:r>
    </w:p>
  </w:footnote>
  <w:footnote w:id="5">
    <w:p w:rsidR="0043105E" w:rsidRPr="005B3AF2" w:rsidRDefault="0043105E" w:rsidP="007F07DD">
      <w:pPr>
        <w:pStyle w:val="Tekstprzypisudolnego"/>
        <w:ind w:firstLine="160"/>
        <w:rPr>
          <w:i w:val="0"/>
        </w:rPr>
      </w:pPr>
      <w:r w:rsidRPr="00384973">
        <w:rPr>
          <w:rStyle w:val="Odwoanieprzypisudolnego"/>
          <w:rFonts w:ascii="Verdana" w:hAnsi="Verdana"/>
          <w:i w:val="0"/>
          <w:sz w:val="16"/>
          <w:szCs w:val="16"/>
        </w:rPr>
        <w:footnoteRef/>
      </w:r>
      <w:r w:rsidRPr="005B3AF2">
        <w:rPr>
          <w:i w:val="0"/>
        </w:rPr>
        <w:t xml:space="preserve"> </w:t>
      </w:r>
      <w:r w:rsidRPr="002850E8">
        <w:rPr>
          <w:rFonts w:ascii="Verdana" w:hAnsi="Verdana" w:cs="Verdana"/>
          <w:i w:val="0"/>
          <w:sz w:val="14"/>
          <w:szCs w:val="14"/>
        </w:rPr>
        <w:t xml:space="preserve">Efektem było przejście podatników podatku dochodowego od osób fizycznych prowadzących działalność gospodarczą </w:t>
      </w:r>
      <w:r>
        <w:rPr>
          <w:rFonts w:ascii="Verdana" w:hAnsi="Verdana" w:cs="Verdana"/>
          <w:i w:val="0"/>
          <w:sz w:val="14"/>
          <w:szCs w:val="14"/>
        </w:rPr>
        <w:br/>
      </w:r>
      <w:r w:rsidRPr="002850E8">
        <w:rPr>
          <w:rFonts w:ascii="Verdana" w:hAnsi="Verdana" w:cs="Verdana"/>
          <w:i w:val="0"/>
          <w:sz w:val="14"/>
          <w:szCs w:val="14"/>
        </w:rPr>
        <w:t xml:space="preserve">z opodatkowania na zasadach ogólnych, które stanowi podstawę udziału jednostek samorządu terytorialnego we wpływach </w:t>
      </w:r>
      <w:r>
        <w:rPr>
          <w:rFonts w:ascii="Verdana" w:hAnsi="Verdana" w:cs="Verdana"/>
          <w:i w:val="0"/>
          <w:sz w:val="14"/>
          <w:szCs w:val="14"/>
        </w:rPr>
        <w:br/>
      </w:r>
      <w:r w:rsidRPr="002850E8">
        <w:rPr>
          <w:rFonts w:ascii="Verdana" w:hAnsi="Verdana" w:cs="Verdana"/>
          <w:i w:val="0"/>
          <w:sz w:val="14"/>
          <w:szCs w:val="14"/>
        </w:rPr>
        <w:t>z podatku dochodowego na zryczałtowany podatek dochodowy, który nie podlega dystrybucji do jednostek samorządowych</w:t>
      </w:r>
      <w:r>
        <w:rPr>
          <w:rFonts w:ascii="Verdana" w:hAnsi="Verdana" w:cs="Verdana"/>
          <w:i w:val="0"/>
          <w:sz w:val="14"/>
          <w:szCs w:val="14"/>
        </w:rPr>
        <w:t>.</w:t>
      </w:r>
    </w:p>
  </w:footnote>
  <w:footnote w:id="6">
    <w:p w:rsidR="0043105E" w:rsidRPr="005E3938" w:rsidRDefault="0043105E" w:rsidP="007F07DD">
      <w:pPr>
        <w:pStyle w:val="Tekstprzypisudolnego"/>
        <w:ind w:firstLine="140"/>
        <w:jc w:val="left"/>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Narodowy Bank Polski, „Projekcja inflacji i wzrostu gospodarczego Narodowego Banku Polskiego na podstawie modelu NECMOD”, 8 listopada 2021 r.</w:t>
      </w:r>
    </w:p>
  </w:footnote>
  <w:footnote w:id="7">
    <w:p w:rsidR="0043105E" w:rsidRPr="005E3938" w:rsidRDefault="0043105E" w:rsidP="007F07DD">
      <w:pPr>
        <w:pStyle w:val="Tekstprzypisudolnego"/>
        <w:ind w:firstLine="140"/>
        <w:jc w:val="left"/>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Główny Urząd Statystyczny, „Szybki szacunek wskaźnika cen towarów i usług konsumpcyjnych w listopadzie </w:t>
      </w:r>
      <w:r>
        <w:rPr>
          <w:rFonts w:ascii="Verdana" w:hAnsi="Verdana" w:cs="Arial"/>
          <w:i w:val="0"/>
          <w:sz w:val="14"/>
          <w:szCs w:val="14"/>
        </w:rPr>
        <w:br/>
        <w:t>2021 r.”, 30 listopada 2021 r.</w:t>
      </w:r>
    </w:p>
  </w:footnote>
  <w:footnote w:id="8">
    <w:p w:rsidR="0043105E" w:rsidRPr="002B7679" w:rsidRDefault="0043105E" w:rsidP="007F07DD">
      <w:pPr>
        <w:autoSpaceDE w:val="0"/>
        <w:autoSpaceDN w:val="0"/>
        <w:adjustRightInd w:val="0"/>
        <w:spacing w:line="240" w:lineRule="auto"/>
        <w:ind w:firstLine="567"/>
        <w:jc w:val="both"/>
        <w:rPr>
          <w:rFonts w:ascii="Verdana" w:hAnsi="Verdana" w:cs="Verdana"/>
          <w:i/>
          <w:sz w:val="14"/>
          <w:szCs w:val="14"/>
        </w:rPr>
      </w:pPr>
      <w:r w:rsidRPr="00DE381C">
        <w:rPr>
          <w:rStyle w:val="Odwoanieprzypisudolnego"/>
          <w:rFonts w:ascii="Verdana" w:hAnsi="Verdana"/>
          <w:sz w:val="16"/>
          <w:szCs w:val="16"/>
        </w:rPr>
        <w:footnoteRef/>
      </w:r>
      <w:r w:rsidRPr="00DE381C">
        <w:rPr>
          <w:rFonts w:ascii="Verdana" w:hAnsi="Verdana"/>
          <w:sz w:val="16"/>
          <w:szCs w:val="16"/>
        </w:rPr>
        <w:t xml:space="preserve"> </w:t>
      </w:r>
      <w:r w:rsidRPr="00DE381C">
        <w:rPr>
          <w:rFonts w:ascii="Verdana" w:hAnsi="Verdana"/>
          <w:sz w:val="14"/>
          <w:szCs w:val="14"/>
        </w:rPr>
        <w:t xml:space="preserve">Wykazane w dalszej części opracowania wartości parametrów budżetowych </w:t>
      </w:r>
      <w:r>
        <w:rPr>
          <w:rFonts w:ascii="Verdana" w:hAnsi="Verdana"/>
          <w:sz w:val="14"/>
          <w:szCs w:val="14"/>
        </w:rPr>
        <w:t>dla 2021</w:t>
      </w:r>
      <w:r w:rsidRPr="00DE381C">
        <w:rPr>
          <w:rFonts w:ascii="Verdana" w:hAnsi="Verdana"/>
          <w:sz w:val="14"/>
          <w:szCs w:val="14"/>
        </w:rPr>
        <w:t xml:space="preserve"> r. są </w:t>
      </w:r>
      <w:r>
        <w:rPr>
          <w:rFonts w:ascii="Verdana" w:hAnsi="Verdana"/>
          <w:sz w:val="14"/>
          <w:szCs w:val="14"/>
        </w:rPr>
        <w:t>zgodne z planem aktualnym na 16 grudnia 2021</w:t>
      </w:r>
      <w:r w:rsidRPr="00483B8D">
        <w:rPr>
          <w:rFonts w:ascii="Verdana" w:hAnsi="Verdana"/>
          <w:sz w:val="14"/>
          <w:szCs w:val="14"/>
        </w:rPr>
        <w:t xml:space="preserve"> r. - po zmianach objętych </w:t>
      </w:r>
      <w:r>
        <w:rPr>
          <w:rFonts w:ascii="Verdana" w:hAnsi="Verdana"/>
          <w:sz w:val="14"/>
          <w:szCs w:val="14"/>
        </w:rPr>
        <w:t>uchwałą</w:t>
      </w:r>
      <w:r w:rsidRPr="00483B8D">
        <w:rPr>
          <w:rFonts w:ascii="Verdana" w:hAnsi="Verdana"/>
          <w:sz w:val="14"/>
          <w:szCs w:val="14"/>
        </w:rPr>
        <w:t xml:space="preserve"> nr </w:t>
      </w:r>
      <w:r w:rsidRPr="00BF0897">
        <w:rPr>
          <w:rFonts w:ascii="Verdana" w:hAnsi="Verdana"/>
          <w:sz w:val="14"/>
          <w:szCs w:val="14"/>
        </w:rPr>
        <w:t>LV</w:t>
      </w:r>
      <w:r>
        <w:rPr>
          <w:rFonts w:ascii="Verdana" w:hAnsi="Verdana"/>
          <w:sz w:val="14"/>
          <w:szCs w:val="14"/>
        </w:rPr>
        <w:t>III/1828</w:t>
      </w:r>
      <w:r w:rsidRPr="00BF0897">
        <w:rPr>
          <w:rFonts w:ascii="Verdana" w:hAnsi="Verdana"/>
          <w:sz w:val="14"/>
          <w:szCs w:val="14"/>
        </w:rPr>
        <w:t>/2021</w:t>
      </w:r>
      <w:r>
        <w:rPr>
          <w:rFonts w:ascii="Verdana" w:hAnsi="Verdana"/>
          <w:sz w:val="14"/>
          <w:szCs w:val="14"/>
        </w:rPr>
        <w:t xml:space="preserve"> Rady m.st. Warszawy z</w:t>
      </w:r>
      <w:r w:rsidRPr="00483B8D">
        <w:rPr>
          <w:rFonts w:ascii="Verdana" w:hAnsi="Verdana"/>
          <w:sz w:val="14"/>
          <w:szCs w:val="14"/>
        </w:rPr>
        <w:t xml:space="preserve"> </w:t>
      </w:r>
      <w:r>
        <w:rPr>
          <w:rFonts w:ascii="Verdana" w:hAnsi="Verdana"/>
          <w:sz w:val="14"/>
          <w:szCs w:val="14"/>
        </w:rPr>
        <w:t>16 grudnia 2021</w:t>
      </w:r>
      <w:r w:rsidRPr="00483B8D">
        <w:rPr>
          <w:rFonts w:ascii="Verdana" w:hAnsi="Verdana"/>
          <w:sz w:val="14"/>
          <w:szCs w:val="14"/>
        </w:rPr>
        <w:t xml:space="preserve"> r. </w:t>
      </w:r>
      <w:r>
        <w:rPr>
          <w:rFonts w:ascii="Verdana" w:hAnsi="Verdana"/>
          <w:sz w:val="14"/>
          <w:szCs w:val="14"/>
        </w:rPr>
        <w:br/>
      </w:r>
      <w:r w:rsidRPr="002B7679">
        <w:rPr>
          <w:rFonts w:ascii="Verdana" w:hAnsi="Verdana"/>
          <w:i/>
          <w:sz w:val="14"/>
          <w:szCs w:val="14"/>
        </w:rPr>
        <w:t>w sprawie zmian w budżecie m.st. Warszawy na 2021 r.</w:t>
      </w:r>
    </w:p>
  </w:footnote>
  <w:footnote w:id="9">
    <w:p w:rsidR="0043105E" w:rsidRPr="00EB24C3" w:rsidRDefault="0043105E" w:rsidP="007F07DD">
      <w:pPr>
        <w:pStyle w:val="Tekstprzypisudolnego"/>
        <w:rPr>
          <w:rFonts w:ascii="Verdana" w:hAnsi="Verdana"/>
          <w:i w:val="0"/>
          <w:sz w:val="14"/>
          <w:szCs w:val="14"/>
        </w:rPr>
      </w:pPr>
      <w:r w:rsidRPr="000A6485">
        <w:rPr>
          <w:rStyle w:val="Odwoanieprzypisudolnego"/>
          <w:rFonts w:ascii="Verdana" w:hAnsi="Verdana"/>
          <w:i w:val="0"/>
          <w:sz w:val="16"/>
          <w:szCs w:val="16"/>
        </w:rPr>
        <w:footnoteRef/>
      </w:r>
      <w:r w:rsidRPr="000A6485">
        <w:rPr>
          <w:rFonts w:ascii="Verdana" w:hAnsi="Verdana"/>
          <w:i w:val="0"/>
          <w:sz w:val="16"/>
          <w:szCs w:val="16"/>
        </w:rPr>
        <w:t xml:space="preserve"> </w:t>
      </w:r>
      <w:r w:rsidRPr="00715C46">
        <w:rPr>
          <w:rFonts w:ascii="Verdana" w:hAnsi="Verdana" w:cs="Arial"/>
          <w:i w:val="0"/>
          <w:sz w:val="14"/>
          <w:szCs w:val="14"/>
        </w:rPr>
        <w:t xml:space="preserve">Dochody i wydatki budżetowe związane z Programem „Rodzina 500 Plus” zaplanowano przy założeniu przejęcia przez Zakład Ubezpieczeń Społecznych od czerwca 2022 r. realizacji wypłat świadczeń objętych Programem, co przewiduje ustawa </w:t>
      </w:r>
      <w:r>
        <w:rPr>
          <w:rFonts w:ascii="Verdana" w:hAnsi="Verdana" w:cs="Arial"/>
          <w:i w:val="0"/>
          <w:sz w:val="14"/>
          <w:szCs w:val="14"/>
        </w:rPr>
        <w:br/>
      </w:r>
      <w:r w:rsidRPr="00715C46">
        <w:rPr>
          <w:rFonts w:ascii="Verdana" w:hAnsi="Verdana" w:cs="Arial"/>
          <w:i w:val="0"/>
          <w:sz w:val="14"/>
          <w:szCs w:val="14"/>
        </w:rPr>
        <w:t xml:space="preserve">z 17 września 2021 r. </w:t>
      </w:r>
      <w:r w:rsidRPr="00715C46">
        <w:rPr>
          <w:rFonts w:ascii="Verdana" w:hAnsi="Verdana" w:cs="Arial"/>
          <w:sz w:val="14"/>
          <w:szCs w:val="14"/>
        </w:rPr>
        <w:t>o zmianie ustawy o pomocy państwa w wychowaniu dzieci oraz niektórych innych ustaw</w:t>
      </w:r>
      <w:r>
        <w:rPr>
          <w:rFonts w:ascii="Verdana" w:hAnsi="Verdana" w:cs="Arial"/>
          <w:i w:val="0"/>
          <w:sz w:val="14"/>
          <w:szCs w:val="14"/>
        </w:rPr>
        <w:t xml:space="preserve"> (Dz.U. poz. 1981)</w:t>
      </w:r>
      <w:r w:rsidRPr="00715C46">
        <w:rPr>
          <w:rFonts w:ascii="Verdana" w:hAnsi="Verdana" w:cs="Arial"/>
          <w:i w:val="0"/>
          <w:sz w:val="14"/>
          <w:szCs w:val="14"/>
        </w:rPr>
        <w:t xml:space="preserve">. Dochody i wydatki związane z realizacją Programu „Rodzina 500 Plus” planowane na 2022 r. wynoszą </w:t>
      </w:r>
      <w:r>
        <w:rPr>
          <w:rFonts w:ascii="Verdana" w:hAnsi="Verdana" w:cs="Arial"/>
          <w:b/>
          <w:i w:val="0"/>
          <w:sz w:val="14"/>
          <w:szCs w:val="14"/>
        </w:rPr>
        <w:t>835</w:t>
      </w:r>
      <w:r w:rsidRPr="00715C46">
        <w:rPr>
          <w:rFonts w:ascii="Verdana" w:hAnsi="Verdana" w:cs="Arial"/>
          <w:b/>
          <w:i w:val="0"/>
          <w:sz w:val="14"/>
          <w:szCs w:val="14"/>
        </w:rPr>
        <w:t xml:space="preserve"> mln zł</w:t>
      </w:r>
      <w:r w:rsidRPr="00715C46">
        <w:rPr>
          <w:rFonts w:ascii="Verdana" w:hAnsi="Verdana" w:cs="Arial"/>
          <w:i w:val="0"/>
          <w:sz w:val="14"/>
          <w:szCs w:val="14"/>
        </w:rPr>
        <w:t xml:space="preserve"> wobec </w:t>
      </w:r>
      <w:r>
        <w:rPr>
          <w:rFonts w:ascii="Verdana" w:hAnsi="Verdana" w:cs="Arial"/>
          <w:i w:val="0"/>
          <w:sz w:val="14"/>
          <w:szCs w:val="14"/>
        </w:rPr>
        <w:br/>
      </w:r>
      <w:r>
        <w:rPr>
          <w:rFonts w:ascii="Verdana" w:hAnsi="Verdana" w:cs="Arial"/>
          <w:b/>
          <w:i w:val="0"/>
          <w:sz w:val="14"/>
          <w:szCs w:val="14"/>
        </w:rPr>
        <w:t>2,022</w:t>
      </w:r>
      <w:r w:rsidRPr="00715C46">
        <w:rPr>
          <w:rFonts w:ascii="Verdana" w:hAnsi="Verdana" w:cs="Arial"/>
          <w:b/>
          <w:i w:val="0"/>
          <w:sz w:val="14"/>
          <w:szCs w:val="14"/>
        </w:rPr>
        <w:t xml:space="preserve"> mld zł</w:t>
      </w:r>
      <w:r w:rsidRPr="00715C46">
        <w:rPr>
          <w:rFonts w:ascii="Verdana" w:hAnsi="Verdana" w:cs="Arial"/>
          <w:i w:val="0"/>
          <w:sz w:val="14"/>
          <w:szCs w:val="14"/>
        </w:rPr>
        <w:t xml:space="preserve"> w 2021 r. </w:t>
      </w:r>
      <w:r w:rsidRPr="00715C46">
        <w:rPr>
          <w:rFonts w:ascii="Verdana" w:hAnsi="Verdana"/>
          <w:i w:val="0"/>
          <w:sz w:val="14"/>
          <w:szCs w:val="14"/>
        </w:rPr>
        <w:t xml:space="preserve">Parametry budżetowe na kolejne lata objęte WPF, tj. 2023-2050, nie obejmują zadań związanych </w:t>
      </w:r>
      <w:r>
        <w:rPr>
          <w:rFonts w:ascii="Verdana" w:hAnsi="Verdana"/>
          <w:i w:val="0"/>
          <w:sz w:val="14"/>
          <w:szCs w:val="14"/>
        </w:rPr>
        <w:br/>
      </w:r>
      <w:r w:rsidRPr="00715C46">
        <w:rPr>
          <w:rFonts w:ascii="Verdana" w:hAnsi="Verdana"/>
          <w:i w:val="0"/>
          <w:sz w:val="14"/>
          <w:szCs w:val="14"/>
        </w:rPr>
        <w:t>z realizacją Programu „Rodzina 500 Plus”.</w:t>
      </w:r>
    </w:p>
  </w:footnote>
  <w:footnote w:id="10">
    <w:p w:rsidR="0043105E" w:rsidRPr="00651D6E" w:rsidRDefault="0043105E" w:rsidP="007F07DD">
      <w:pPr>
        <w:pStyle w:val="Tekstprzypisudolnego"/>
        <w:rPr>
          <w:rFonts w:ascii="Verdana" w:hAnsi="Verdana"/>
          <w:i w:val="0"/>
          <w:sz w:val="14"/>
          <w:szCs w:val="14"/>
        </w:rPr>
      </w:pPr>
      <w:r w:rsidRPr="000A6485">
        <w:rPr>
          <w:rStyle w:val="Odwoanieprzypisudolnego"/>
          <w:rFonts w:ascii="Verdana" w:hAnsi="Verdana"/>
          <w:i w:val="0"/>
          <w:sz w:val="16"/>
          <w:szCs w:val="16"/>
        </w:rPr>
        <w:footnoteRef/>
      </w:r>
      <w:r w:rsidRPr="000A6485">
        <w:rPr>
          <w:rFonts w:ascii="Verdana" w:hAnsi="Verdana"/>
          <w:i w:val="0"/>
          <w:sz w:val="16"/>
          <w:szCs w:val="16"/>
        </w:rPr>
        <w:t xml:space="preserve"> </w:t>
      </w:r>
      <w:r w:rsidRPr="000728B6">
        <w:rPr>
          <w:rFonts w:ascii="Verdana" w:hAnsi="Verdana"/>
          <w:bCs/>
          <w:i w:val="0"/>
          <w:sz w:val="14"/>
          <w:szCs w:val="14"/>
        </w:rPr>
        <w:t xml:space="preserve">Zgodnie z </w:t>
      </w:r>
      <w:r w:rsidRPr="000728B6">
        <w:rPr>
          <w:rFonts w:ascii="Verdana" w:hAnsi="Verdana" w:cs="Arial"/>
          <w:i w:val="0"/>
          <w:sz w:val="14"/>
          <w:szCs w:val="14"/>
        </w:rPr>
        <w:t xml:space="preserve">ustawą z 17 września 2021 r. </w:t>
      </w:r>
      <w:r w:rsidRPr="000728B6">
        <w:rPr>
          <w:rFonts w:ascii="Verdana" w:hAnsi="Verdana" w:cs="Arial"/>
          <w:sz w:val="14"/>
          <w:szCs w:val="14"/>
        </w:rPr>
        <w:t>o zmianie ustawy o pomocy państwa w wychowaniu dzieci oraz niektórych innych ustaw</w:t>
      </w:r>
      <w:r>
        <w:rPr>
          <w:rFonts w:ascii="Verdana" w:hAnsi="Verdana" w:cs="Arial"/>
          <w:i w:val="0"/>
          <w:sz w:val="14"/>
          <w:szCs w:val="14"/>
        </w:rPr>
        <w:t xml:space="preserve"> (Dz.U. poz. 1981)</w:t>
      </w:r>
      <w:r w:rsidRPr="000728B6">
        <w:rPr>
          <w:rFonts w:ascii="Verdana" w:hAnsi="Verdana" w:cs="Arial"/>
          <w:i w:val="0"/>
          <w:sz w:val="14"/>
          <w:szCs w:val="14"/>
        </w:rPr>
        <w:t xml:space="preserve"> obsługę Programu od czerwca 2022 r. ma przejąć Zakład Ubezpieczeń Społecznych, w związku </w:t>
      </w:r>
      <w:r>
        <w:rPr>
          <w:rFonts w:ascii="Verdana" w:hAnsi="Verdana" w:cs="Arial"/>
          <w:i w:val="0"/>
          <w:sz w:val="14"/>
          <w:szCs w:val="14"/>
        </w:rPr>
        <w:br/>
      </w:r>
      <w:r w:rsidRPr="000728B6">
        <w:rPr>
          <w:rFonts w:ascii="Verdana" w:hAnsi="Verdana" w:cs="Arial"/>
          <w:i w:val="0"/>
          <w:sz w:val="14"/>
          <w:szCs w:val="14"/>
        </w:rPr>
        <w:t xml:space="preserve">z czym zaplanowany poziom wydatków na realizację Programu ulega obniżeniu z poziomu </w:t>
      </w:r>
      <w:r>
        <w:rPr>
          <w:rFonts w:ascii="Verdana" w:hAnsi="Verdana" w:cs="Arial"/>
          <w:b/>
          <w:i w:val="0"/>
          <w:sz w:val="14"/>
          <w:szCs w:val="14"/>
        </w:rPr>
        <w:t>2,002</w:t>
      </w:r>
      <w:r w:rsidRPr="000728B6">
        <w:rPr>
          <w:rFonts w:ascii="Verdana" w:hAnsi="Verdana" w:cs="Arial"/>
          <w:b/>
          <w:i w:val="0"/>
          <w:sz w:val="14"/>
          <w:szCs w:val="14"/>
        </w:rPr>
        <w:t xml:space="preserve"> mld zł</w:t>
      </w:r>
      <w:r w:rsidRPr="000728B6">
        <w:rPr>
          <w:rFonts w:ascii="Verdana" w:hAnsi="Verdana" w:cs="Arial"/>
          <w:i w:val="0"/>
          <w:sz w:val="14"/>
          <w:szCs w:val="14"/>
        </w:rPr>
        <w:t xml:space="preserve"> w 2021 r. do </w:t>
      </w:r>
      <w:r>
        <w:rPr>
          <w:rFonts w:ascii="Verdana" w:hAnsi="Verdana" w:cs="Arial"/>
          <w:i w:val="0"/>
          <w:sz w:val="14"/>
          <w:szCs w:val="14"/>
        </w:rPr>
        <w:br/>
      </w:r>
      <w:r>
        <w:rPr>
          <w:rFonts w:ascii="Verdana" w:hAnsi="Verdana" w:cs="Arial"/>
          <w:b/>
          <w:i w:val="0"/>
          <w:sz w:val="14"/>
          <w:szCs w:val="14"/>
        </w:rPr>
        <w:t>835</w:t>
      </w:r>
      <w:r w:rsidRPr="000728B6">
        <w:rPr>
          <w:rFonts w:ascii="Verdana" w:hAnsi="Verdana" w:cs="Arial"/>
          <w:b/>
          <w:i w:val="0"/>
          <w:sz w:val="14"/>
          <w:szCs w:val="14"/>
        </w:rPr>
        <w:t xml:space="preserve"> mln zł</w:t>
      </w:r>
      <w:r w:rsidRPr="000728B6">
        <w:rPr>
          <w:rFonts w:ascii="Verdana" w:hAnsi="Verdana" w:cs="Arial"/>
          <w:i w:val="0"/>
          <w:sz w:val="14"/>
          <w:szCs w:val="14"/>
        </w:rPr>
        <w:t xml:space="preserve"> w 2022 r., a od 2023 r. założone limity wydatków bieżących nie obejmują realizacji Programu. </w:t>
      </w:r>
    </w:p>
  </w:footnote>
  <w:footnote w:id="11">
    <w:p w:rsidR="0043105E" w:rsidRPr="005335E1" w:rsidRDefault="0043105E" w:rsidP="007F07DD">
      <w:pPr>
        <w:pStyle w:val="Tekstprzypisudolnego"/>
        <w:ind w:firstLine="140"/>
        <w:rPr>
          <w:rFonts w:ascii="Verdana" w:hAnsi="Verdana" w:cs="Arial"/>
          <w:i w:val="0"/>
          <w:sz w:val="14"/>
          <w:szCs w:val="14"/>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12">
    <w:p w:rsidR="0043105E" w:rsidRDefault="0043105E" w:rsidP="000C0694">
      <w:pPr>
        <w:pStyle w:val="Tekstprzypisudolnego"/>
        <w:tabs>
          <w:tab w:val="clear" w:pos="851"/>
          <w:tab w:val="left" w:pos="567"/>
        </w:tabs>
        <w:rPr>
          <w:rFonts w:ascii="Verdana" w:hAnsi="Verdana"/>
          <w:sz w:val="16"/>
          <w:szCs w:val="16"/>
        </w:rPr>
      </w:pPr>
      <w:r w:rsidRPr="009039B9">
        <w:rPr>
          <w:rStyle w:val="Odwoanieprzypisudolnego"/>
          <w:rFonts w:ascii="Verdana" w:hAnsi="Verdana"/>
          <w:i w:val="0"/>
          <w:sz w:val="16"/>
          <w:szCs w:val="16"/>
        </w:rPr>
        <w:footnoteRef/>
      </w:r>
      <w:r w:rsidRPr="009039B9">
        <w:rPr>
          <w:rFonts w:ascii="Verdana" w:hAnsi="Verdana"/>
          <w:i w:val="0"/>
          <w:sz w:val="16"/>
          <w:szCs w:val="16"/>
        </w:rPr>
        <w:t xml:space="preserve"> </w:t>
      </w:r>
      <w:r w:rsidRPr="009039B9">
        <w:rPr>
          <w:rFonts w:ascii="Verdana" w:hAnsi="Verdana"/>
          <w:i w:val="0"/>
          <w:sz w:val="14"/>
          <w:szCs w:val="14"/>
        </w:rPr>
        <w:t>N</w:t>
      </w:r>
      <w:r w:rsidRPr="00385CE1">
        <w:rPr>
          <w:rFonts w:ascii="Verdana" w:hAnsi="Verdana"/>
          <w:i w:val="0"/>
          <w:sz w:val="14"/>
          <w:szCs w:val="14"/>
        </w:rPr>
        <w:t>a potrzeby formułowanej polityki zadłużenia wykorzystywane są informacje publikowane przez Ministerstwo Finansów dotyczące polityki długu Skarbu Państwa oraz oficjalne dane i prognozy dotyczące sytuacji gospodarczej i rynku kapitałowego - programów unijnych, stóp procentowych, ryzyk</w:t>
      </w:r>
      <w:r>
        <w:rPr>
          <w:rFonts w:ascii="Verdana" w:hAnsi="Verdana"/>
          <w:i w:val="0"/>
          <w:sz w:val="14"/>
          <w:szCs w:val="14"/>
        </w:rPr>
        <w:t>a</w:t>
      </w:r>
      <w:r w:rsidRPr="00385CE1">
        <w:rPr>
          <w:rFonts w:ascii="Verdana" w:hAnsi="Verdana"/>
          <w:i w:val="0"/>
          <w:sz w:val="14"/>
          <w:szCs w:val="14"/>
        </w:rPr>
        <w:t xml:space="preserve"> kursow</w:t>
      </w:r>
      <w:r>
        <w:rPr>
          <w:rFonts w:ascii="Verdana" w:hAnsi="Verdana"/>
          <w:i w:val="0"/>
          <w:sz w:val="14"/>
          <w:szCs w:val="14"/>
        </w:rPr>
        <w:t>ego</w:t>
      </w:r>
      <w:r w:rsidRPr="00385CE1">
        <w:rPr>
          <w:rFonts w:ascii="Verdana" w:hAnsi="Verdana"/>
          <w:i w:val="0"/>
          <w:sz w:val="14"/>
          <w:szCs w:val="14"/>
        </w:rPr>
        <w:t>. Podstawę teoretyczną przygotowywanej polityki długu stanowią tematyczne publikacje naukowe zarówno krajowe jak i zagraniczne.</w:t>
      </w:r>
    </w:p>
  </w:footnote>
  <w:footnote w:id="13">
    <w:p w:rsidR="0043105E" w:rsidRPr="005335E1" w:rsidRDefault="0043105E" w:rsidP="000C0694">
      <w:pPr>
        <w:pStyle w:val="Tekstprzypisudolnego"/>
        <w:ind w:firstLine="566"/>
        <w:rPr>
          <w:rFonts w:ascii="Verdana" w:hAnsi="Verdana" w:cs="Arial"/>
          <w:i w:val="0"/>
          <w:sz w:val="14"/>
          <w:szCs w:val="14"/>
        </w:rPr>
      </w:pPr>
      <w:r w:rsidRPr="009039B9">
        <w:rPr>
          <w:rStyle w:val="Odwoanieprzypisudolnego"/>
          <w:rFonts w:ascii="Verdana" w:hAnsi="Verdana"/>
          <w:i w:val="0"/>
          <w:sz w:val="16"/>
          <w:szCs w:val="16"/>
        </w:rPr>
        <w:footnoteRef/>
      </w:r>
      <w:r w:rsidRPr="009039B9">
        <w:rPr>
          <w:rFonts w:ascii="Verdana" w:hAnsi="Verdana"/>
          <w:i w:val="0"/>
          <w:sz w:val="16"/>
          <w:szCs w:val="16"/>
        </w:rPr>
        <w:t xml:space="preserve"> </w:t>
      </w:r>
      <w:r w:rsidRPr="009039B9">
        <w:rPr>
          <w:rFonts w:ascii="Verdana" w:hAnsi="Verdana" w:cs="Arial"/>
          <w:i w:val="0"/>
          <w:sz w:val="14"/>
          <w:szCs w:val="14"/>
        </w:rPr>
        <w:t>Z</w:t>
      </w:r>
      <w:r>
        <w:rPr>
          <w:rFonts w:ascii="Verdana" w:hAnsi="Verdana" w:cs="Arial"/>
          <w:i w:val="0"/>
          <w:sz w:val="14"/>
          <w:szCs w:val="14"/>
        </w:rPr>
        <w:t xml:space="preserve">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14">
    <w:p w:rsidR="0043105E" w:rsidRDefault="0043105E" w:rsidP="000C0694">
      <w:pPr>
        <w:pStyle w:val="Tekstprzypisudolnego"/>
      </w:pPr>
      <w:r>
        <w:rPr>
          <w:rStyle w:val="Odwoanieprzypisudolnego"/>
        </w:rPr>
        <w:footnoteRef/>
      </w:r>
      <w:r>
        <w:t xml:space="preserve"> </w:t>
      </w:r>
      <w:r w:rsidRPr="00332694">
        <w:rPr>
          <w:rFonts w:ascii="Verdana" w:hAnsi="Verdana"/>
          <w:i w:val="0"/>
          <w:sz w:val="14"/>
          <w:szCs w:val="14"/>
        </w:rPr>
        <w:t xml:space="preserve">Do końca roku 2021 polityka długu stawiała sobie za cel utrzymanie zadłużenia Warszawy poniżej poziomu 50% </w:t>
      </w:r>
      <w:r>
        <w:rPr>
          <w:rFonts w:ascii="Verdana" w:hAnsi="Verdana"/>
          <w:i w:val="0"/>
          <w:sz w:val="14"/>
          <w:szCs w:val="14"/>
        </w:rPr>
        <w:br/>
      </w:r>
      <w:r w:rsidRPr="00332694">
        <w:rPr>
          <w:rFonts w:ascii="Verdana" w:hAnsi="Verdana"/>
          <w:i w:val="0"/>
          <w:sz w:val="14"/>
          <w:szCs w:val="14"/>
        </w:rPr>
        <w:t xml:space="preserve">w relacji do rocznych dochodów budżetowych. Rewizja tego wskaźnika o 5 </w:t>
      </w:r>
      <w:proofErr w:type="spellStart"/>
      <w:r w:rsidRPr="00332694">
        <w:rPr>
          <w:rFonts w:ascii="Verdana" w:hAnsi="Verdana"/>
          <w:i w:val="0"/>
          <w:sz w:val="14"/>
          <w:szCs w:val="14"/>
        </w:rPr>
        <w:t>p.p</w:t>
      </w:r>
      <w:proofErr w:type="spellEnd"/>
      <w:r w:rsidRPr="00332694">
        <w:rPr>
          <w:rFonts w:ascii="Verdana" w:hAnsi="Verdana"/>
          <w:i w:val="0"/>
          <w:sz w:val="14"/>
          <w:szCs w:val="14"/>
        </w:rPr>
        <w:t>. w górę wynika ze zmiany regulacyjnej polegającej na ustawowym pomniejszeniu dochodów o dotacje celowe przeznaczone na wypłaty świadczeń 500+. W nowym systemie wypłaty te realizować będzie ZUS. Oznacza to spadek dochodów, w stosunku do wcześniej planowanych do 2 mld zł. rocznie.</w:t>
      </w:r>
    </w:p>
  </w:footnote>
  <w:footnote w:id="15">
    <w:p w:rsidR="0043105E" w:rsidRPr="00215038" w:rsidRDefault="0043105E" w:rsidP="000C0694">
      <w:pPr>
        <w:pStyle w:val="Tekstprzypisudolnego"/>
        <w:ind w:left="170" w:hanging="170"/>
        <w:rPr>
          <w:i w:val="0"/>
          <w:sz w:val="18"/>
          <w:szCs w:val="18"/>
        </w:rPr>
      </w:pPr>
      <w:r w:rsidRPr="00A478E4">
        <w:rPr>
          <w:rStyle w:val="Odwoanieprzypisudolnego"/>
          <w:sz w:val="18"/>
          <w:szCs w:val="18"/>
        </w:rPr>
        <w:footnoteRef/>
      </w:r>
      <w:r w:rsidRPr="00A478E4">
        <w:rPr>
          <w:sz w:val="18"/>
          <w:szCs w:val="18"/>
        </w:rPr>
        <w:t xml:space="preserve"> </w:t>
      </w:r>
      <w:r w:rsidRPr="00215038">
        <w:rPr>
          <w:rFonts w:ascii="Verdana" w:hAnsi="Verdana"/>
          <w:i w:val="0"/>
          <w:sz w:val="14"/>
          <w:szCs w:val="14"/>
        </w:rPr>
        <w:t xml:space="preserve">Podmioty zależne to wszystkie podmioty posiadające osobowość prawną (prawnie wyodrębnione), które są utworzone lub prowadzone przez m.st. Warszawa tj. m.in. kapitałowe spółki prawa handlowego utworzone przez Miasto oraz samorządowe instytucje kultury, </w:t>
      </w:r>
      <w:proofErr w:type="spellStart"/>
      <w:r w:rsidRPr="00215038">
        <w:rPr>
          <w:rFonts w:ascii="Verdana" w:hAnsi="Verdana"/>
          <w:i w:val="0"/>
          <w:sz w:val="14"/>
          <w:szCs w:val="14"/>
        </w:rPr>
        <w:t>SPZOZy</w:t>
      </w:r>
      <w:proofErr w:type="spellEnd"/>
      <w:r w:rsidRPr="00215038">
        <w:rPr>
          <w:rFonts w:ascii="Verdana" w:hAnsi="Verdana"/>
          <w:i w:val="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5E"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2022-2050</w:t>
    </w:r>
  </w:p>
  <w:p w:rsidR="0043105E" w:rsidRPr="006231C3"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5E"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2022-2050</w:t>
    </w:r>
  </w:p>
  <w:p w:rsidR="0043105E" w:rsidRPr="006231C3"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5E"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2022-2050</w:t>
    </w:r>
  </w:p>
  <w:p w:rsidR="0043105E" w:rsidRPr="006231C3"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05E"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2022-2050</w:t>
    </w:r>
  </w:p>
  <w:p w:rsidR="0043105E" w:rsidRPr="006231C3" w:rsidRDefault="0043105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POLITYKA DŁUGU EDYCJA 2022 ROK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701"/>
    <w:multiLevelType w:val="hybridMultilevel"/>
    <w:tmpl w:val="62027AA2"/>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 w15:restartNumberingAfterBreak="0">
    <w:nsid w:val="04B67B92"/>
    <w:multiLevelType w:val="hybridMultilevel"/>
    <w:tmpl w:val="C87255E4"/>
    <w:lvl w:ilvl="0" w:tplc="8C2E3A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9155C"/>
    <w:multiLevelType w:val="hybridMultilevel"/>
    <w:tmpl w:val="5BF0654A"/>
    <w:lvl w:ilvl="0" w:tplc="8C2E3A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E57C76"/>
    <w:multiLevelType w:val="hybridMultilevel"/>
    <w:tmpl w:val="E08E63D4"/>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6648AB0">
      <w:start w:val="1"/>
      <w:numFmt w:val="bullet"/>
      <w:lvlText w:val=""/>
      <w:lvlJc w:val="left"/>
      <w:pPr>
        <w:tabs>
          <w:tab w:val="num" w:pos="1440"/>
        </w:tabs>
        <w:ind w:left="1440" w:hanging="360"/>
      </w:pPr>
      <w:rPr>
        <w:rFonts w:ascii="Symbol" w:hAnsi="Symbol" w:hint="default"/>
        <w:color w:val="auto"/>
        <w:sz w:val="20"/>
        <w:szCs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42650"/>
    <w:multiLevelType w:val="hybridMultilevel"/>
    <w:tmpl w:val="FA9CFBF4"/>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FA3E98"/>
    <w:multiLevelType w:val="hybridMultilevel"/>
    <w:tmpl w:val="10A87A88"/>
    <w:lvl w:ilvl="0" w:tplc="D3FCE27A">
      <w:start w:val="1"/>
      <w:numFmt w:val="bullet"/>
      <w:lvlText w:val=""/>
      <w:lvlJc w:val="left"/>
      <w:pPr>
        <w:tabs>
          <w:tab w:val="num" w:pos="720"/>
        </w:tabs>
        <w:ind w:left="72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60180"/>
    <w:multiLevelType w:val="hybridMultilevel"/>
    <w:tmpl w:val="787CA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3B02B4"/>
    <w:multiLevelType w:val="hybridMultilevel"/>
    <w:tmpl w:val="B7B6307C"/>
    <w:lvl w:ilvl="0" w:tplc="826010EE">
      <w:start w:val="1"/>
      <w:numFmt w:val="bullet"/>
      <w:lvlText w:val="-"/>
      <w:lvlJc w:val="left"/>
      <w:pPr>
        <w:ind w:left="720" w:hanging="360"/>
      </w:pPr>
      <w:rPr>
        <w:rFonts w:hint="default"/>
      </w:rPr>
    </w:lvl>
    <w:lvl w:ilvl="1" w:tplc="879CEC5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EB6379"/>
    <w:multiLevelType w:val="hybridMultilevel"/>
    <w:tmpl w:val="A7A0389C"/>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D0806"/>
    <w:multiLevelType w:val="hybridMultilevel"/>
    <w:tmpl w:val="FB58235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1D393D"/>
    <w:multiLevelType w:val="hybridMultilevel"/>
    <w:tmpl w:val="575A9F0A"/>
    <w:lvl w:ilvl="0" w:tplc="D28AA100">
      <w:start w:val="1"/>
      <w:numFmt w:val="bullet"/>
      <w:lvlText w:val=""/>
      <w:lvlJc w:val="left"/>
      <w:pPr>
        <w:tabs>
          <w:tab w:val="num" w:pos="927"/>
        </w:tabs>
        <w:ind w:left="927" w:hanging="360"/>
      </w:pPr>
      <w:rPr>
        <w:rFonts w:ascii="Wingdings" w:hAnsi="Wingdings" w:hint="default"/>
      </w:rPr>
    </w:lvl>
    <w:lvl w:ilvl="1" w:tplc="04150003">
      <w:start w:val="1"/>
      <w:numFmt w:val="bullet"/>
      <w:lvlText w:val="o"/>
      <w:lvlJc w:val="left"/>
      <w:pPr>
        <w:tabs>
          <w:tab w:val="num" w:pos="2007"/>
        </w:tabs>
        <w:ind w:left="2007" w:hanging="360"/>
      </w:pPr>
      <w:rPr>
        <w:rFonts w:ascii="Courier New" w:hAnsi="Courier New" w:cs="Courier New" w:hint="default"/>
      </w:rPr>
    </w:lvl>
    <w:lvl w:ilvl="2" w:tplc="E506CDE4">
      <w:numFmt w:val="bullet"/>
      <w:lvlText w:val=""/>
      <w:lvlJc w:val="left"/>
      <w:pPr>
        <w:ind w:left="2727" w:hanging="360"/>
      </w:pPr>
      <w:rPr>
        <w:rFonts w:ascii="Symbol" w:eastAsia="MS Mincho" w:hAnsi="Symbol" w:cs="Times New Roman"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C150993"/>
    <w:multiLevelType w:val="hybridMultilevel"/>
    <w:tmpl w:val="EF923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383F14"/>
    <w:multiLevelType w:val="hybridMultilevel"/>
    <w:tmpl w:val="4AF62F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A044F5"/>
    <w:multiLevelType w:val="hybridMultilevel"/>
    <w:tmpl w:val="623CE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B5553F"/>
    <w:multiLevelType w:val="hybridMultilevel"/>
    <w:tmpl w:val="4DDA3E3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A2DB1"/>
    <w:multiLevelType w:val="hybridMultilevel"/>
    <w:tmpl w:val="56A2ED92"/>
    <w:lvl w:ilvl="0" w:tplc="826010E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477A9F"/>
    <w:multiLevelType w:val="hybridMultilevel"/>
    <w:tmpl w:val="FCB65784"/>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49350DC"/>
    <w:multiLevelType w:val="hybridMultilevel"/>
    <w:tmpl w:val="B7CCBBE8"/>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75002"/>
    <w:multiLevelType w:val="hybridMultilevel"/>
    <w:tmpl w:val="40F2E366"/>
    <w:lvl w:ilvl="0" w:tplc="609CB994">
      <w:start w:val="1"/>
      <w:numFmt w:val="bullet"/>
      <w:lvlText w:val=""/>
      <w:lvlJc w:val="left"/>
      <w:pPr>
        <w:tabs>
          <w:tab w:val="num" w:pos="720"/>
        </w:tabs>
        <w:ind w:left="720" w:hanging="360"/>
      </w:pPr>
      <w:rPr>
        <w:rFonts w:ascii="Wingdings" w:hAnsi="Wingdings" w:hint="default"/>
      </w:rPr>
    </w:lvl>
    <w:lvl w:ilvl="1" w:tplc="1186BDCA" w:tentative="1">
      <w:start w:val="1"/>
      <w:numFmt w:val="bullet"/>
      <w:lvlText w:val=""/>
      <w:lvlJc w:val="left"/>
      <w:pPr>
        <w:tabs>
          <w:tab w:val="num" w:pos="1440"/>
        </w:tabs>
        <w:ind w:left="1440" w:hanging="360"/>
      </w:pPr>
      <w:rPr>
        <w:rFonts w:ascii="Wingdings" w:hAnsi="Wingdings" w:hint="default"/>
      </w:rPr>
    </w:lvl>
    <w:lvl w:ilvl="2" w:tplc="8F36A5D2" w:tentative="1">
      <w:start w:val="1"/>
      <w:numFmt w:val="bullet"/>
      <w:lvlText w:val=""/>
      <w:lvlJc w:val="left"/>
      <w:pPr>
        <w:tabs>
          <w:tab w:val="num" w:pos="2160"/>
        </w:tabs>
        <w:ind w:left="2160" w:hanging="360"/>
      </w:pPr>
      <w:rPr>
        <w:rFonts w:ascii="Wingdings" w:hAnsi="Wingdings" w:hint="default"/>
      </w:rPr>
    </w:lvl>
    <w:lvl w:ilvl="3" w:tplc="E3C6C9BA" w:tentative="1">
      <w:start w:val="1"/>
      <w:numFmt w:val="bullet"/>
      <w:lvlText w:val=""/>
      <w:lvlJc w:val="left"/>
      <w:pPr>
        <w:tabs>
          <w:tab w:val="num" w:pos="2880"/>
        </w:tabs>
        <w:ind w:left="2880" w:hanging="360"/>
      </w:pPr>
      <w:rPr>
        <w:rFonts w:ascii="Wingdings" w:hAnsi="Wingdings" w:hint="default"/>
      </w:rPr>
    </w:lvl>
    <w:lvl w:ilvl="4" w:tplc="92C86CD4" w:tentative="1">
      <w:start w:val="1"/>
      <w:numFmt w:val="bullet"/>
      <w:lvlText w:val=""/>
      <w:lvlJc w:val="left"/>
      <w:pPr>
        <w:tabs>
          <w:tab w:val="num" w:pos="3600"/>
        </w:tabs>
        <w:ind w:left="3600" w:hanging="360"/>
      </w:pPr>
      <w:rPr>
        <w:rFonts w:ascii="Wingdings" w:hAnsi="Wingdings" w:hint="default"/>
      </w:rPr>
    </w:lvl>
    <w:lvl w:ilvl="5" w:tplc="6FD830AC" w:tentative="1">
      <w:start w:val="1"/>
      <w:numFmt w:val="bullet"/>
      <w:lvlText w:val=""/>
      <w:lvlJc w:val="left"/>
      <w:pPr>
        <w:tabs>
          <w:tab w:val="num" w:pos="4320"/>
        </w:tabs>
        <w:ind w:left="4320" w:hanging="360"/>
      </w:pPr>
      <w:rPr>
        <w:rFonts w:ascii="Wingdings" w:hAnsi="Wingdings" w:hint="default"/>
      </w:rPr>
    </w:lvl>
    <w:lvl w:ilvl="6" w:tplc="BA8E5090" w:tentative="1">
      <w:start w:val="1"/>
      <w:numFmt w:val="bullet"/>
      <w:lvlText w:val=""/>
      <w:lvlJc w:val="left"/>
      <w:pPr>
        <w:tabs>
          <w:tab w:val="num" w:pos="5040"/>
        </w:tabs>
        <w:ind w:left="5040" w:hanging="360"/>
      </w:pPr>
      <w:rPr>
        <w:rFonts w:ascii="Wingdings" w:hAnsi="Wingdings" w:hint="default"/>
      </w:rPr>
    </w:lvl>
    <w:lvl w:ilvl="7" w:tplc="24D8B3F4" w:tentative="1">
      <w:start w:val="1"/>
      <w:numFmt w:val="bullet"/>
      <w:lvlText w:val=""/>
      <w:lvlJc w:val="left"/>
      <w:pPr>
        <w:tabs>
          <w:tab w:val="num" w:pos="5760"/>
        </w:tabs>
        <w:ind w:left="5760" w:hanging="360"/>
      </w:pPr>
      <w:rPr>
        <w:rFonts w:ascii="Wingdings" w:hAnsi="Wingdings" w:hint="default"/>
      </w:rPr>
    </w:lvl>
    <w:lvl w:ilvl="8" w:tplc="0B12EE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1F79FC"/>
    <w:multiLevelType w:val="hybridMultilevel"/>
    <w:tmpl w:val="04B86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56280E"/>
    <w:multiLevelType w:val="hybridMultilevel"/>
    <w:tmpl w:val="C5B89558"/>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2A967DFF"/>
    <w:multiLevelType w:val="hybridMultilevel"/>
    <w:tmpl w:val="061E10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CE80EA1"/>
    <w:multiLevelType w:val="hybridMultilevel"/>
    <w:tmpl w:val="F2DA3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7D3B30"/>
    <w:multiLevelType w:val="hybridMultilevel"/>
    <w:tmpl w:val="A45615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F032C1"/>
    <w:multiLevelType w:val="hybridMultilevel"/>
    <w:tmpl w:val="1CE042B8"/>
    <w:lvl w:ilvl="0" w:tplc="A99682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34FB379D"/>
    <w:multiLevelType w:val="hybridMultilevel"/>
    <w:tmpl w:val="6206ED24"/>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6" w15:restartNumberingAfterBreak="0">
    <w:nsid w:val="35C45831"/>
    <w:multiLevelType w:val="hybridMultilevel"/>
    <w:tmpl w:val="311C7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6145769"/>
    <w:multiLevelType w:val="hybridMultilevel"/>
    <w:tmpl w:val="4C84D1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2F3507"/>
    <w:multiLevelType w:val="hybridMultilevel"/>
    <w:tmpl w:val="330CA9D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844D37"/>
    <w:multiLevelType w:val="hybridMultilevel"/>
    <w:tmpl w:val="163A359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39BD38A2"/>
    <w:multiLevelType w:val="hybridMultilevel"/>
    <w:tmpl w:val="DC8694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2839AC"/>
    <w:multiLevelType w:val="hybridMultilevel"/>
    <w:tmpl w:val="9988801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3C8A400A"/>
    <w:multiLevelType w:val="hybridMultilevel"/>
    <w:tmpl w:val="E4B45BF8"/>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996CFC"/>
    <w:multiLevelType w:val="hybridMultilevel"/>
    <w:tmpl w:val="BE94D69C"/>
    <w:lvl w:ilvl="0" w:tplc="9AE27220">
      <w:start w:val="1"/>
      <w:numFmt w:val="bullet"/>
      <w:lvlText w:val=""/>
      <w:lvlJc w:val="left"/>
      <w:pPr>
        <w:tabs>
          <w:tab w:val="num" w:pos="720"/>
        </w:tabs>
        <w:ind w:left="720" w:hanging="360"/>
      </w:pPr>
      <w:rPr>
        <w:rFonts w:ascii="Wingdings" w:hAnsi="Wingdings" w:hint="default"/>
      </w:rPr>
    </w:lvl>
    <w:lvl w:ilvl="1" w:tplc="C9FA2C26" w:tentative="1">
      <w:start w:val="1"/>
      <w:numFmt w:val="bullet"/>
      <w:lvlText w:val=""/>
      <w:lvlJc w:val="left"/>
      <w:pPr>
        <w:tabs>
          <w:tab w:val="num" w:pos="1440"/>
        </w:tabs>
        <w:ind w:left="1440" w:hanging="360"/>
      </w:pPr>
      <w:rPr>
        <w:rFonts w:ascii="Wingdings" w:hAnsi="Wingdings" w:hint="default"/>
      </w:rPr>
    </w:lvl>
    <w:lvl w:ilvl="2" w:tplc="36D2637A" w:tentative="1">
      <w:start w:val="1"/>
      <w:numFmt w:val="bullet"/>
      <w:lvlText w:val=""/>
      <w:lvlJc w:val="left"/>
      <w:pPr>
        <w:tabs>
          <w:tab w:val="num" w:pos="2160"/>
        </w:tabs>
        <w:ind w:left="2160" w:hanging="360"/>
      </w:pPr>
      <w:rPr>
        <w:rFonts w:ascii="Wingdings" w:hAnsi="Wingdings" w:hint="default"/>
      </w:rPr>
    </w:lvl>
    <w:lvl w:ilvl="3" w:tplc="9A425656" w:tentative="1">
      <w:start w:val="1"/>
      <w:numFmt w:val="bullet"/>
      <w:lvlText w:val=""/>
      <w:lvlJc w:val="left"/>
      <w:pPr>
        <w:tabs>
          <w:tab w:val="num" w:pos="2880"/>
        </w:tabs>
        <w:ind w:left="2880" w:hanging="360"/>
      </w:pPr>
      <w:rPr>
        <w:rFonts w:ascii="Wingdings" w:hAnsi="Wingdings" w:hint="default"/>
      </w:rPr>
    </w:lvl>
    <w:lvl w:ilvl="4" w:tplc="A4028DF2" w:tentative="1">
      <w:start w:val="1"/>
      <w:numFmt w:val="bullet"/>
      <w:lvlText w:val=""/>
      <w:lvlJc w:val="left"/>
      <w:pPr>
        <w:tabs>
          <w:tab w:val="num" w:pos="3600"/>
        </w:tabs>
        <w:ind w:left="3600" w:hanging="360"/>
      </w:pPr>
      <w:rPr>
        <w:rFonts w:ascii="Wingdings" w:hAnsi="Wingdings" w:hint="default"/>
      </w:rPr>
    </w:lvl>
    <w:lvl w:ilvl="5" w:tplc="E2487DE8" w:tentative="1">
      <w:start w:val="1"/>
      <w:numFmt w:val="bullet"/>
      <w:lvlText w:val=""/>
      <w:lvlJc w:val="left"/>
      <w:pPr>
        <w:tabs>
          <w:tab w:val="num" w:pos="4320"/>
        </w:tabs>
        <w:ind w:left="4320" w:hanging="360"/>
      </w:pPr>
      <w:rPr>
        <w:rFonts w:ascii="Wingdings" w:hAnsi="Wingdings" w:hint="default"/>
      </w:rPr>
    </w:lvl>
    <w:lvl w:ilvl="6" w:tplc="9AF65572" w:tentative="1">
      <w:start w:val="1"/>
      <w:numFmt w:val="bullet"/>
      <w:lvlText w:val=""/>
      <w:lvlJc w:val="left"/>
      <w:pPr>
        <w:tabs>
          <w:tab w:val="num" w:pos="5040"/>
        </w:tabs>
        <w:ind w:left="5040" w:hanging="360"/>
      </w:pPr>
      <w:rPr>
        <w:rFonts w:ascii="Wingdings" w:hAnsi="Wingdings" w:hint="default"/>
      </w:rPr>
    </w:lvl>
    <w:lvl w:ilvl="7" w:tplc="92C6460C" w:tentative="1">
      <w:start w:val="1"/>
      <w:numFmt w:val="bullet"/>
      <w:lvlText w:val=""/>
      <w:lvlJc w:val="left"/>
      <w:pPr>
        <w:tabs>
          <w:tab w:val="num" w:pos="5760"/>
        </w:tabs>
        <w:ind w:left="5760" w:hanging="360"/>
      </w:pPr>
      <w:rPr>
        <w:rFonts w:ascii="Wingdings" w:hAnsi="Wingdings" w:hint="default"/>
      </w:rPr>
    </w:lvl>
    <w:lvl w:ilvl="8" w:tplc="BFDE536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8565D"/>
    <w:multiLevelType w:val="hybridMultilevel"/>
    <w:tmpl w:val="02ACB958"/>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ED7DE9"/>
    <w:multiLevelType w:val="hybridMultilevel"/>
    <w:tmpl w:val="5112B1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AB6B98"/>
    <w:multiLevelType w:val="hybridMultilevel"/>
    <w:tmpl w:val="EAE285EE"/>
    <w:lvl w:ilvl="0" w:tplc="04150003">
      <w:start w:val="1"/>
      <w:numFmt w:val="bullet"/>
      <w:lvlText w:val="o"/>
      <w:lvlJc w:val="left"/>
      <w:pPr>
        <w:ind w:left="99" w:hanging="360"/>
      </w:pPr>
      <w:rPr>
        <w:rFonts w:ascii="Courier New" w:hAnsi="Courier New" w:cs="Courier New" w:hint="default"/>
      </w:rPr>
    </w:lvl>
    <w:lvl w:ilvl="1" w:tplc="04150003" w:tentative="1">
      <w:start w:val="1"/>
      <w:numFmt w:val="bullet"/>
      <w:lvlText w:val="o"/>
      <w:lvlJc w:val="left"/>
      <w:pPr>
        <w:ind w:left="819" w:hanging="360"/>
      </w:pPr>
      <w:rPr>
        <w:rFonts w:ascii="Courier New" w:hAnsi="Courier New" w:cs="Courier New" w:hint="default"/>
      </w:rPr>
    </w:lvl>
    <w:lvl w:ilvl="2" w:tplc="04150005" w:tentative="1">
      <w:start w:val="1"/>
      <w:numFmt w:val="bullet"/>
      <w:lvlText w:val=""/>
      <w:lvlJc w:val="left"/>
      <w:pPr>
        <w:ind w:left="1539" w:hanging="360"/>
      </w:pPr>
      <w:rPr>
        <w:rFonts w:ascii="Wingdings" w:hAnsi="Wingdings" w:hint="default"/>
      </w:rPr>
    </w:lvl>
    <w:lvl w:ilvl="3" w:tplc="04150001" w:tentative="1">
      <w:start w:val="1"/>
      <w:numFmt w:val="bullet"/>
      <w:lvlText w:val=""/>
      <w:lvlJc w:val="left"/>
      <w:pPr>
        <w:ind w:left="2259" w:hanging="360"/>
      </w:pPr>
      <w:rPr>
        <w:rFonts w:ascii="Symbol" w:hAnsi="Symbol" w:hint="default"/>
      </w:rPr>
    </w:lvl>
    <w:lvl w:ilvl="4" w:tplc="04150003" w:tentative="1">
      <w:start w:val="1"/>
      <w:numFmt w:val="bullet"/>
      <w:lvlText w:val="o"/>
      <w:lvlJc w:val="left"/>
      <w:pPr>
        <w:ind w:left="2979" w:hanging="360"/>
      </w:pPr>
      <w:rPr>
        <w:rFonts w:ascii="Courier New" w:hAnsi="Courier New" w:cs="Courier New" w:hint="default"/>
      </w:rPr>
    </w:lvl>
    <w:lvl w:ilvl="5" w:tplc="04150005" w:tentative="1">
      <w:start w:val="1"/>
      <w:numFmt w:val="bullet"/>
      <w:lvlText w:val=""/>
      <w:lvlJc w:val="left"/>
      <w:pPr>
        <w:ind w:left="3699" w:hanging="360"/>
      </w:pPr>
      <w:rPr>
        <w:rFonts w:ascii="Wingdings" w:hAnsi="Wingdings" w:hint="default"/>
      </w:rPr>
    </w:lvl>
    <w:lvl w:ilvl="6" w:tplc="04150001" w:tentative="1">
      <w:start w:val="1"/>
      <w:numFmt w:val="bullet"/>
      <w:lvlText w:val=""/>
      <w:lvlJc w:val="left"/>
      <w:pPr>
        <w:ind w:left="4419" w:hanging="360"/>
      </w:pPr>
      <w:rPr>
        <w:rFonts w:ascii="Symbol" w:hAnsi="Symbol" w:hint="default"/>
      </w:rPr>
    </w:lvl>
    <w:lvl w:ilvl="7" w:tplc="04150003" w:tentative="1">
      <w:start w:val="1"/>
      <w:numFmt w:val="bullet"/>
      <w:lvlText w:val="o"/>
      <w:lvlJc w:val="left"/>
      <w:pPr>
        <w:ind w:left="5139" w:hanging="360"/>
      </w:pPr>
      <w:rPr>
        <w:rFonts w:ascii="Courier New" w:hAnsi="Courier New" w:cs="Courier New" w:hint="default"/>
      </w:rPr>
    </w:lvl>
    <w:lvl w:ilvl="8" w:tplc="04150005" w:tentative="1">
      <w:start w:val="1"/>
      <w:numFmt w:val="bullet"/>
      <w:lvlText w:val=""/>
      <w:lvlJc w:val="left"/>
      <w:pPr>
        <w:ind w:left="5859" w:hanging="360"/>
      </w:pPr>
      <w:rPr>
        <w:rFonts w:ascii="Wingdings" w:hAnsi="Wingdings" w:hint="default"/>
      </w:rPr>
    </w:lvl>
  </w:abstractNum>
  <w:abstractNum w:abstractNumId="37" w15:restartNumberingAfterBreak="0">
    <w:nsid w:val="3FFD0C91"/>
    <w:multiLevelType w:val="hybridMultilevel"/>
    <w:tmpl w:val="AA9C8F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12C6888"/>
    <w:multiLevelType w:val="hybridMultilevel"/>
    <w:tmpl w:val="DAFC729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3D4565E"/>
    <w:multiLevelType w:val="hybridMultilevel"/>
    <w:tmpl w:val="1FB86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E159AC"/>
    <w:multiLevelType w:val="hybridMultilevel"/>
    <w:tmpl w:val="BA08547C"/>
    <w:lvl w:ilvl="0" w:tplc="D3FCE27A">
      <w:start w:val="1"/>
      <w:numFmt w:val="bullet"/>
      <w:lvlText w:val=""/>
      <w:lvlJc w:val="left"/>
      <w:pPr>
        <w:ind w:left="720" w:hanging="360"/>
      </w:pPr>
      <w:rPr>
        <w:rFonts w:ascii="Wingdings" w:hAnsi="Wingdings"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796940"/>
    <w:multiLevelType w:val="hybridMultilevel"/>
    <w:tmpl w:val="27181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BE30B5"/>
    <w:multiLevelType w:val="hybridMultilevel"/>
    <w:tmpl w:val="8F9489A8"/>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961A001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BE4674"/>
    <w:multiLevelType w:val="hybridMultilevel"/>
    <w:tmpl w:val="00B8FAA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AB8363B"/>
    <w:multiLevelType w:val="hybridMultilevel"/>
    <w:tmpl w:val="5982305C"/>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45" w15:restartNumberingAfterBreak="0">
    <w:nsid w:val="4B7635EB"/>
    <w:multiLevelType w:val="hybridMultilevel"/>
    <w:tmpl w:val="4DD0B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8E7AF8"/>
    <w:multiLevelType w:val="hybridMultilevel"/>
    <w:tmpl w:val="B6C896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0562AC"/>
    <w:multiLevelType w:val="hybridMultilevel"/>
    <w:tmpl w:val="6298D124"/>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8" w15:restartNumberingAfterBreak="0">
    <w:nsid w:val="4E3466EA"/>
    <w:multiLevelType w:val="hybridMultilevel"/>
    <w:tmpl w:val="D862C206"/>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4FBB0163"/>
    <w:multiLevelType w:val="hybridMultilevel"/>
    <w:tmpl w:val="B0B464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8E1845"/>
    <w:multiLevelType w:val="hybridMultilevel"/>
    <w:tmpl w:val="7E446A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DA0FE1"/>
    <w:multiLevelType w:val="hybridMultilevel"/>
    <w:tmpl w:val="D0CE15C2"/>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510D16DB"/>
    <w:multiLevelType w:val="hybridMultilevel"/>
    <w:tmpl w:val="E6060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F73CD8"/>
    <w:multiLevelType w:val="hybridMultilevel"/>
    <w:tmpl w:val="F5D6D4B0"/>
    <w:lvl w:ilvl="0" w:tplc="961A001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4" w15:restartNumberingAfterBreak="1">
    <w:nsid w:val="51F97745"/>
    <w:multiLevelType w:val="hybridMultilevel"/>
    <w:tmpl w:val="70FCFFE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54352E8B"/>
    <w:multiLevelType w:val="hybridMultilevel"/>
    <w:tmpl w:val="A5C057C4"/>
    <w:lvl w:ilvl="0" w:tplc="D3FCE27A">
      <w:start w:val="1"/>
      <w:numFmt w:val="bullet"/>
      <w:lvlText w:val=""/>
      <w:lvlJc w:val="left"/>
      <w:pPr>
        <w:tabs>
          <w:tab w:val="num" w:pos="1620"/>
        </w:tabs>
        <w:ind w:left="1620" w:hanging="360"/>
      </w:pPr>
      <w:rPr>
        <w:rFonts w:ascii="Wingdings" w:hAnsi="Wingdings" w:hint="default"/>
        <w:color w:val="auto"/>
      </w:rPr>
    </w:lvl>
    <w:lvl w:ilvl="1" w:tplc="04150003" w:tentative="1">
      <w:start w:val="1"/>
      <w:numFmt w:val="bullet"/>
      <w:lvlText w:val="o"/>
      <w:lvlJc w:val="left"/>
      <w:pPr>
        <w:ind w:left="1664" w:hanging="360"/>
      </w:pPr>
      <w:rPr>
        <w:rFonts w:ascii="Courier New" w:hAnsi="Courier New" w:cs="Courier New" w:hint="default"/>
      </w:rPr>
    </w:lvl>
    <w:lvl w:ilvl="2" w:tplc="04150005" w:tentative="1">
      <w:start w:val="1"/>
      <w:numFmt w:val="bullet"/>
      <w:lvlText w:val=""/>
      <w:lvlJc w:val="left"/>
      <w:pPr>
        <w:ind w:left="2384" w:hanging="360"/>
      </w:pPr>
      <w:rPr>
        <w:rFonts w:ascii="Wingdings" w:hAnsi="Wingdings" w:hint="default"/>
      </w:rPr>
    </w:lvl>
    <w:lvl w:ilvl="3" w:tplc="04150001" w:tentative="1">
      <w:start w:val="1"/>
      <w:numFmt w:val="bullet"/>
      <w:lvlText w:val=""/>
      <w:lvlJc w:val="left"/>
      <w:pPr>
        <w:ind w:left="3104" w:hanging="360"/>
      </w:pPr>
      <w:rPr>
        <w:rFonts w:ascii="Symbol" w:hAnsi="Symbol" w:hint="default"/>
      </w:rPr>
    </w:lvl>
    <w:lvl w:ilvl="4" w:tplc="04150003" w:tentative="1">
      <w:start w:val="1"/>
      <w:numFmt w:val="bullet"/>
      <w:lvlText w:val="o"/>
      <w:lvlJc w:val="left"/>
      <w:pPr>
        <w:ind w:left="3824" w:hanging="360"/>
      </w:pPr>
      <w:rPr>
        <w:rFonts w:ascii="Courier New" w:hAnsi="Courier New" w:cs="Courier New" w:hint="default"/>
      </w:rPr>
    </w:lvl>
    <w:lvl w:ilvl="5" w:tplc="04150005" w:tentative="1">
      <w:start w:val="1"/>
      <w:numFmt w:val="bullet"/>
      <w:lvlText w:val=""/>
      <w:lvlJc w:val="left"/>
      <w:pPr>
        <w:ind w:left="4544" w:hanging="360"/>
      </w:pPr>
      <w:rPr>
        <w:rFonts w:ascii="Wingdings" w:hAnsi="Wingdings" w:hint="default"/>
      </w:rPr>
    </w:lvl>
    <w:lvl w:ilvl="6" w:tplc="04150001" w:tentative="1">
      <w:start w:val="1"/>
      <w:numFmt w:val="bullet"/>
      <w:lvlText w:val=""/>
      <w:lvlJc w:val="left"/>
      <w:pPr>
        <w:ind w:left="5264" w:hanging="360"/>
      </w:pPr>
      <w:rPr>
        <w:rFonts w:ascii="Symbol" w:hAnsi="Symbol" w:hint="default"/>
      </w:rPr>
    </w:lvl>
    <w:lvl w:ilvl="7" w:tplc="04150003" w:tentative="1">
      <w:start w:val="1"/>
      <w:numFmt w:val="bullet"/>
      <w:lvlText w:val="o"/>
      <w:lvlJc w:val="left"/>
      <w:pPr>
        <w:ind w:left="5984" w:hanging="360"/>
      </w:pPr>
      <w:rPr>
        <w:rFonts w:ascii="Courier New" w:hAnsi="Courier New" w:cs="Courier New" w:hint="default"/>
      </w:rPr>
    </w:lvl>
    <w:lvl w:ilvl="8" w:tplc="04150005" w:tentative="1">
      <w:start w:val="1"/>
      <w:numFmt w:val="bullet"/>
      <w:lvlText w:val=""/>
      <w:lvlJc w:val="left"/>
      <w:pPr>
        <w:ind w:left="6704" w:hanging="360"/>
      </w:pPr>
      <w:rPr>
        <w:rFonts w:ascii="Wingdings" w:hAnsi="Wingdings" w:hint="default"/>
      </w:rPr>
    </w:lvl>
  </w:abstractNum>
  <w:abstractNum w:abstractNumId="56" w15:restartNumberingAfterBreak="0">
    <w:nsid w:val="555F5745"/>
    <w:multiLevelType w:val="hybridMultilevel"/>
    <w:tmpl w:val="683423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68744E8"/>
    <w:multiLevelType w:val="hybridMultilevel"/>
    <w:tmpl w:val="8446F1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78A15D5"/>
    <w:multiLevelType w:val="hybridMultilevel"/>
    <w:tmpl w:val="698A38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132AA3"/>
    <w:multiLevelType w:val="hybridMultilevel"/>
    <w:tmpl w:val="F73685E0"/>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19423F1"/>
    <w:multiLevelType w:val="hybridMultilevel"/>
    <w:tmpl w:val="32FA2B7E"/>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1"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6A1A37B1"/>
    <w:multiLevelType w:val="hybridMultilevel"/>
    <w:tmpl w:val="6CDEF6D0"/>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CB4D1C"/>
    <w:multiLevelType w:val="hybridMultilevel"/>
    <w:tmpl w:val="E3167540"/>
    <w:lvl w:ilvl="0" w:tplc="961A001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4" w15:restartNumberingAfterBreak="0">
    <w:nsid w:val="6E4D586E"/>
    <w:multiLevelType w:val="hybridMultilevel"/>
    <w:tmpl w:val="771020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20334CD"/>
    <w:multiLevelType w:val="hybridMultilevel"/>
    <w:tmpl w:val="B09CDF86"/>
    <w:lvl w:ilvl="0" w:tplc="C5BA2B9A">
      <w:start w:val="1"/>
      <w:numFmt w:val="bullet"/>
      <w:lvlText w:val=""/>
      <w:lvlJc w:val="left"/>
      <w:pPr>
        <w:tabs>
          <w:tab w:val="num" w:pos="720"/>
        </w:tabs>
        <w:ind w:left="720" w:hanging="360"/>
      </w:pPr>
      <w:rPr>
        <w:rFonts w:ascii="Wingdings" w:hAnsi="Wingdings" w:hint="default"/>
      </w:rPr>
    </w:lvl>
    <w:lvl w:ilvl="1" w:tplc="1C32FF18">
      <w:start w:val="1"/>
      <w:numFmt w:val="bullet"/>
      <w:lvlText w:val=""/>
      <w:lvlJc w:val="left"/>
      <w:pPr>
        <w:tabs>
          <w:tab w:val="num" w:pos="1440"/>
        </w:tabs>
        <w:ind w:left="1440" w:hanging="360"/>
      </w:pPr>
      <w:rPr>
        <w:rFonts w:ascii="Wingdings" w:hAnsi="Wingdings" w:hint="default"/>
      </w:rPr>
    </w:lvl>
    <w:lvl w:ilvl="2" w:tplc="CE1A5228">
      <w:start w:val="1"/>
      <w:numFmt w:val="bullet"/>
      <w:lvlText w:val=""/>
      <w:lvlJc w:val="left"/>
      <w:pPr>
        <w:tabs>
          <w:tab w:val="num" w:pos="2160"/>
        </w:tabs>
        <w:ind w:left="2160" w:hanging="360"/>
      </w:pPr>
      <w:rPr>
        <w:rFonts w:ascii="Wingdings" w:hAnsi="Wingdings" w:hint="default"/>
      </w:rPr>
    </w:lvl>
    <w:lvl w:ilvl="3" w:tplc="53AA26CA">
      <w:start w:val="1"/>
      <w:numFmt w:val="bullet"/>
      <w:lvlText w:val=""/>
      <w:lvlJc w:val="left"/>
      <w:pPr>
        <w:tabs>
          <w:tab w:val="num" w:pos="2880"/>
        </w:tabs>
        <w:ind w:left="2880" w:hanging="360"/>
      </w:pPr>
      <w:rPr>
        <w:rFonts w:ascii="Wingdings" w:hAnsi="Wingdings" w:hint="default"/>
      </w:rPr>
    </w:lvl>
    <w:lvl w:ilvl="4" w:tplc="7FB277B4">
      <w:start w:val="1"/>
      <w:numFmt w:val="bullet"/>
      <w:lvlText w:val=""/>
      <w:lvlJc w:val="left"/>
      <w:pPr>
        <w:tabs>
          <w:tab w:val="num" w:pos="3600"/>
        </w:tabs>
        <w:ind w:left="3600" w:hanging="360"/>
      </w:pPr>
      <w:rPr>
        <w:rFonts w:ascii="Wingdings" w:hAnsi="Wingdings" w:hint="default"/>
      </w:rPr>
    </w:lvl>
    <w:lvl w:ilvl="5" w:tplc="A3822E7C">
      <w:start w:val="1"/>
      <w:numFmt w:val="bullet"/>
      <w:lvlText w:val=""/>
      <w:lvlJc w:val="left"/>
      <w:pPr>
        <w:tabs>
          <w:tab w:val="num" w:pos="4320"/>
        </w:tabs>
        <w:ind w:left="4320" w:hanging="360"/>
      </w:pPr>
      <w:rPr>
        <w:rFonts w:ascii="Wingdings" w:hAnsi="Wingdings" w:hint="default"/>
      </w:rPr>
    </w:lvl>
    <w:lvl w:ilvl="6" w:tplc="C2082D10">
      <w:start w:val="1"/>
      <w:numFmt w:val="bullet"/>
      <w:lvlText w:val=""/>
      <w:lvlJc w:val="left"/>
      <w:pPr>
        <w:tabs>
          <w:tab w:val="num" w:pos="5040"/>
        </w:tabs>
        <w:ind w:left="5040" w:hanging="360"/>
      </w:pPr>
      <w:rPr>
        <w:rFonts w:ascii="Wingdings" w:hAnsi="Wingdings" w:hint="default"/>
      </w:rPr>
    </w:lvl>
    <w:lvl w:ilvl="7" w:tplc="15F80D72">
      <w:start w:val="1"/>
      <w:numFmt w:val="bullet"/>
      <w:lvlText w:val=""/>
      <w:lvlJc w:val="left"/>
      <w:pPr>
        <w:tabs>
          <w:tab w:val="num" w:pos="5760"/>
        </w:tabs>
        <w:ind w:left="5760" w:hanging="360"/>
      </w:pPr>
      <w:rPr>
        <w:rFonts w:ascii="Wingdings" w:hAnsi="Wingdings" w:hint="default"/>
      </w:rPr>
    </w:lvl>
    <w:lvl w:ilvl="8" w:tplc="19B2201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9CD0341"/>
    <w:multiLevelType w:val="hybridMultilevel"/>
    <w:tmpl w:val="2AD0C632"/>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8" w15:restartNumberingAfterBreak="0">
    <w:nsid w:val="79F44B87"/>
    <w:multiLevelType w:val="hybridMultilevel"/>
    <w:tmpl w:val="72129D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E731DE"/>
    <w:multiLevelType w:val="hybridMultilevel"/>
    <w:tmpl w:val="7ECA85F4"/>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7C4B2B"/>
    <w:multiLevelType w:val="hybridMultilevel"/>
    <w:tmpl w:val="E4E273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FB17E4B"/>
    <w:multiLevelType w:val="hybridMultilevel"/>
    <w:tmpl w:val="C57486E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5"/>
  </w:num>
  <w:num w:numId="3">
    <w:abstractNumId w:val="44"/>
  </w:num>
  <w:num w:numId="4">
    <w:abstractNumId w:val="5"/>
  </w:num>
  <w:num w:numId="5">
    <w:abstractNumId w:val="69"/>
  </w:num>
  <w:num w:numId="6">
    <w:abstractNumId w:val="32"/>
  </w:num>
  <w:num w:numId="7">
    <w:abstractNumId w:val="3"/>
  </w:num>
  <w:num w:numId="8">
    <w:abstractNumId w:val="71"/>
  </w:num>
  <w:num w:numId="9">
    <w:abstractNumId w:val="17"/>
  </w:num>
  <w:num w:numId="10">
    <w:abstractNumId w:val="14"/>
  </w:num>
  <w:num w:numId="11">
    <w:abstractNumId w:val="34"/>
  </w:num>
  <w:num w:numId="12">
    <w:abstractNumId w:val="67"/>
  </w:num>
  <w:num w:numId="13">
    <w:abstractNumId w:val="37"/>
  </w:num>
  <w:num w:numId="14">
    <w:abstractNumId w:val="16"/>
  </w:num>
  <w:num w:numId="15">
    <w:abstractNumId w:val="70"/>
  </w:num>
  <w:num w:numId="16">
    <w:abstractNumId w:val="59"/>
  </w:num>
  <w:num w:numId="17">
    <w:abstractNumId w:val="39"/>
  </w:num>
  <w:num w:numId="18">
    <w:abstractNumId w:val="28"/>
  </w:num>
  <w:num w:numId="19">
    <w:abstractNumId w:val="29"/>
  </w:num>
  <w:num w:numId="20">
    <w:abstractNumId w:val="53"/>
  </w:num>
  <w:num w:numId="21">
    <w:abstractNumId w:val="63"/>
  </w:num>
  <w:num w:numId="22">
    <w:abstractNumId w:val="52"/>
  </w:num>
  <w:num w:numId="23">
    <w:abstractNumId w:val="31"/>
  </w:num>
  <w:num w:numId="24">
    <w:abstractNumId w:val="62"/>
  </w:num>
  <w:num w:numId="25">
    <w:abstractNumId w:val="42"/>
  </w:num>
  <w:num w:numId="26">
    <w:abstractNumId w:val="24"/>
  </w:num>
  <w:num w:numId="27">
    <w:abstractNumId w:val="11"/>
  </w:num>
  <w:num w:numId="28">
    <w:abstractNumId w:val="25"/>
  </w:num>
  <w:num w:numId="29">
    <w:abstractNumId w:val="40"/>
  </w:num>
  <w:num w:numId="30">
    <w:abstractNumId w:val="66"/>
  </w:num>
  <w:num w:numId="31">
    <w:abstractNumId w:val="33"/>
  </w:num>
  <w:num w:numId="32">
    <w:abstractNumId w:val="30"/>
  </w:num>
  <w:num w:numId="33">
    <w:abstractNumId w:val="38"/>
  </w:num>
  <w:num w:numId="34">
    <w:abstractNumId w:val="51"/>
  </w:num>
  <w:num w:numId="35">
    <w:abstractNumId w:val="23"/>
  </w:num>
  <w:num w:numId="36">
    <w:abstractNumId w:val="50"/>
  </w:num>
  <w:num w:numId="37">
    <w:abstractNumId w:val="47"/>
  </w:num>
  <w:num w:numId="38">
    <w:abstractNumId w:val="68"/>
  </w:num>
  <w:num w:numId="39">
    <w:abstractNumId w:val="10"/>
  </w:num>
  <w:num w:numId="40">
    <w:abstractNumId w:val="0"/>
  </w:num>
  <w:num w:numId="41">
    <w:abstractNumId w:val="27"/>
  </w:num>
  <w:num w:numId="42">
    <w:abstractNumId w:val="22"/>
  </w:num>
  <w:num w:numId="43">
    <w:abstractNumId w:val="60"/>
  </w:num>
  <w:num w:numId="44">
    <w:abstractNumId w:val="26"/>
  </w:num>
  <w:num w:numId="45">
    <w:abstractNumId w:val="13"/>
  </w:num>
  <w:num w:numId="46">
    <w:abstractNumId w:val="4"/>
  </w:num>
  <w:num w:numId="47">
    <w:abstractNumId w:val="9"/>
  </w:num>
  <w:num w:numId="48">
    <w:abstractNumId w:val="64"/>
  </w:num>
  <w:num w:numId="49">
    <w:abstractNumId w:val="65"/>
  </w:num>
  <w:num w:numId="50">
    <w:abstractNumId w:val="58"/>
  </w:num>
  <w:num w:numId="51">
    <w:abstractNumId w:val="6"/>
  </w:num>
  <w:num w:numId="52">
    <w:abstractNumId w:val="36"/>
  </w:num>
  <w:num w:numId="53">
    <w:abstractNumId w:val="2"/>
  </w:num>
  <w:num w:numId="54">
    <w:abstractNumId w:val="1"/>
  </w:num>
  <w:num w:numId="55">
    <w:abstractNumId w:val="61"/>
  </w:num>
  <w:num w:numId="56">
    <w:abstractNumId w:val="54"/>
  </w:num>
  <w:num w:numId="57">
    <w:abstractNumId w:val="8"/>
  </w:num>
  <w:num w:numId="58">
    <w:abstractNumId w:val="20"/>
  </w:num>
  <w:num w:numId="59">
    <w:abstractNumId w:val="41"/>
  </w:num>
  <w:num w:numId="60">
    <w:abstractNumId w:val="21"/>
  </w:num>
  <w:num w:numId="61">
    <w:abstractNumId w:val="19"/>
  </w:num>
  <w:num w:numId="62">
    <w:abstractNumId w:val="45"/>
  </w:num>
  <w:num w:numId="63">
    <w:abstractNumId w:val="48"/>
  </w:num>
  <w:num w:numId="64">
    <w:abstractNumId w:val="49"/>
  </w:num>
  <w:num w:numId="65">
    <w:abstractNumId w:val="43"/>
  </w:num>
  <w:num w:numId="66">
    <w:abstractNumId w:val="35"/>
  </w:num>
  <w:num w:numId="67">
    <w:abstractNumId w:val="57"/>
  </w:num>
  <w:num w:numId="68">
    <w:abstractNumId w:val="56"/>
  </w:num>
  <w:num w:numId="69">
    <w:abstractNumId w:val="15"/>
  </w:num>
  <w:num w:numId="70">
    <w:abstractNumId w:val="18"/>
  </w:num>
  <w:num w:numId="71">
    <w:abstractNumId w:val="46"/>
  </w:num>
  <w:num w:numId="72">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36A"/>
    <w:rsid w:val="00004435"/>
    <w:rsid w:val="000047D3"/>
    <w:rsid w:val="000048B7"/>
    <w:rsid w:val="0000494C"/>
    <w:rsid w:val="000053E6"/>
    <w:rsid w:val="000057CA"/>
    <w:rsid w:val="00006828"/>
    <w:rsid w:val="00006CB7"/>
    <w:rsid w:val="000101B8"/>
    <w:rsid w:val="0001433E"/>
    <w:rsid w:val="000148E7"/>
    <w:rsid w:val="00016029"/>
    <w:rsid w:val="00017121"/>
    <w:rsid w:val="00024DB2"/>
    <w:rsid w:val="00030318"/>
    <w:rsid w:val="000316BB"/>
    <w:rsid w:val="000324DC"/>
    <w:rsid w:val="00032C9C"/>
    <w:rsid w:val="00032FFB"/>
    <w:rsid w:val="000335CD"/>
    <w:rsid w:val="000345E4"/>
    <w:rsid w:val="000347CA"/>
    <w:rsid w:val="00034AB5"/>
    <w:rsid w:val="000354C8"/>
    <w:rsid w:val="00036CCF"/>
    <w:rsid w:val="00040AC7"/>
    <w:rsid w:val="00040E52"/>
    <w:rsid w:val="00041FA5"/>
    <w:rsid w:val="00042BDC"/>
    <w:rsid w:val="00042F87"/>
    <w:rsid w:val="00044506"/>
    <w:rsid w:val="000455FC"/>
    <w:rsid w:val="00046151"/>
    <w:rsid w:val="000509F4"/>
    <w:rsid w:val="00050E4D"/>
    <w:rsid w:val="00050E7B"/>
    <w:rsid w:val="000565FC"/>
    <w:rsid w:val="00056C53"/>
    <w:rsid w:val="00057881"/>
    <w:rsid w:val="00060D16"/>
    <w:rsid w:val="00063333"/>
    <w:rsid w:val="000676D3"/>
    <w:rsid w:val="0007016D"/>
    <w:rsid w:val="00071463"/>
    <w:rsid w:val="00077572"/>
    <w:rsid w:val="00077DBC"/>
    <w:rsid w:val="000830B5"/>
    <w:rsid w:val="00084D35"/>
    <w:rsid w:val="00085913"/>
    <w:rsid w:val="00085BC2"/>
    <w:rsid w:val="00086A4F"/>
    <w:rsid w:val="0009055D"/>
    <w:rsid w:val="00090DAC"/>
    <w:rsid w:val="00090F17"/>
    <w:rsid w:val="000940C5"/>
    <w:rsid w:val="00094200"/>
    <w:rsid w:val="00094F31"/>
    <w:rsid w:val="000956C5"/>
    <w:rsid w:val="0009618A"/>
    <w:rsid w:val="00097D9C"/>
    <w:rsid w:val="00097E9A"/>
    <w:rsid w:val="000A0228"/>
    <w:rsid w:val="000A0AB3"/>
    <w:rsid w:val="000A4F3B"/>
    <w:rsid w:val="000A532B"/>
    <w:rsid w:val="000A55F5"/>
    <w:rsid w:val="000A58E2"/>
    <w:rsid w:val="000A5DBD"/>
    <w:rsid w:val="000A72F2"/>
    <w:rsid w:val="000B0769"/>
    <w:rsid w:val="000B1296"/>
    <w:rsid w:val="000B18BA"/>
    <w:rsid w:val="000B2CBB"/>
    <w:rsid w:val="000B3A85"/>
    <w:rsid w:val="000B4488"/>
    <w:rsid w:val="000B77D5"/>
    <w:rsid w:val="000C0694"/>
    <w:rsid w:val="000C1B05"/>
    <w:rsid w:val="000C2DEF"/>
    <w:rsid w:val="000C35B9"/>
    <w:rsid w:val="000C41B4"/>
    <w:rsid w:val="000C69B3"/>
    <w:rsid w:val="000D0DE4"/>
    <w:rsid w:val="000D1CFB"/>
    <w:rsid w:val="000D2387"/>
    <w:rsid w:val="000D23E0"/>
    <w:rsid w:val="000D3100"/>
    <w:rsid w:val="000D5396"/>
    <w:rsid w:val="000D55A2"/>
    <w:rsid w:val="000D59DE"/>
    <w:rsid w:val="000D69CE"/>
    <w:rsid w:val="000E0EBD"/>
    <w:rsid w:val="000E1B9C"/>
    <w:rsid w:val="000E2037"/>
    <w:rsid w:val="000E26D0"/>
    <w:rsid w:val="000E3B46"/>
    <w:rsid w:val="000E4433"/>
    <w:rsid w:val="000E4CDB"/>
    <w:rsid w:val="000E52DA"/>
    <w:rsid w:val="000E55BD"/>
    <w:rsid w:val="000E57BD"/>
    <w:rsid w:val="000E5AB3"/>
    <w:rsid w:val="000F1464"/>
    <w:rsid w:val="000F34D6"/>
    <w:rsid w:val="000F3842"/>
    <w:rsid w:val="000F4E81"/>
    <w:rsid w:val="000F60A0"/>
    <w:rsid w:val="000F6D28"/>
    <w:rsid w:val="000F791C"/>
    <w:rsid w:val="00100DE3"/>
    <w:rsid w:val="00102ED1"/>
    <w:rsid w:val="00103413"/>
    <w:rsid w:val="00103A9A"/>
    <w:rsid w:val="001042B4"/>
    <w:rsid w:val="0010458B"/>
    <w:rsid w:val="001052B2"/>
    <w:rsid w:val="00105E23"/>
    <w:rsid w:val="00106F76"/>
    <w:rsid w:val="001079E1"/>
    <w:rsid w:val="001112C6"/>
    <w:rsid w:val="00112004"/>
    <w:rsid w:val="0011320C"/>
    <w:rsid w:val="00113502"/>
    <w:rsid w:val="0011429E"/>
    <w:rsid w:val="001148A5"/>
    <w:rsid w:val="00116496"/>
    <w:rsid w:val="0011687A"/>
    <w:rsid w:val="0011747F"/>
    <w:rsid w:val="00120575"/>
    <w:rsid w:val="00121522"/>
    <w:rsid w:val="00122ADD"/>
    <w:rsid w:val="0012306B"/>
    <w:rsid w:val="00125300"/>
    <w:rsid w:val="00126EAC"/>
    <w:rsid w:val="00127C28"/>
    <w:rsid w:val="00130586"/>
    <w:rsid w:val="00130B11"/>
    <w:rsid w:val="00131541"/>
    <w:rsid w:val="001318C5"/>
    <w:rsid w:val="00132179"/>
    <w:rsid w:val="00132606"/>
    <w:rsid w:val="00132D23"/>
    <w:rsid w:val="00132F52"/>
    <w:rsid w:val="00134E82"/>
    <w:rsid w:val="0013756E"/>
    <w:rsid w:val="0014148B"/>
    <w:rsid w:val="0014212D"/>
    <w:rsid w:val="00142694"/>
    <w:rsid w:val="00142F93"/>
    <w:rsid w:val="00143888"/>
    <w:rsid w:val="001441C6"/>
    <w:rsid w:val="001463BB"/>
    <w:rsid w:val="00147136"/>
    <w:rsid w:val="00147491"/>
    <w:rsid w:val="0015272C"/>
    <w:rsid w:val="00152D61"/>
    <w:rsid w:val="001536AC"/>
    <w:rsid w:val="00155853"/>
    <w:rsid w:val="00160E62"/>
    <w:rsid w:val="00160F59"/>
    <w:rsid w:val="00162450"/>
    <w:rsid w:val="00162587"/>
    <w:rsid w:val="00164936"/>
    <w:rsid w:val="001668DD"/>
    <w:rsid w:val="00166B92"/>
    <w:rsid w:val="001704C2"/>
    <w:rsid w:val="0017088A"/>
    <w:rsid w:val="001709C9"/>
    <w:rsid w:val="00170F64"/>
    <w:rsid w:val="001710F7"/>
    <w:rsid w:val="00171276"/>
    <w:rsid w:val="001714F4"/>
    <w:rsid w:val="0017157B"/>
    <w:rsid w:val="00171592"/>
    <w:rsid w:val="00171D68"/>
    <w:rsid w:val="00171E30"/>
    <w:rsid w:val="00173298"/>
    <w:rsid w:val="0017446A"/>
    <w:rsid w:val="00175591"/>
    <w:rsid w:val="00176752"/>
    <w:rsid w:val="001802AA"/>
    <w:rsid w:val="001820E9"/>
    <w:rsid w:val="001903EF"/>
    <w:rsid w:val="0019186C"/>
    <w:rsid w:val="001922CE"/>
    <w:rsid w:val="0019378B"/>
    <w:rsid w:val="00193DA8"/>
    <w:rsid w:val="001948FD"/>
    <w:rsid w:val="00194B32"/>
    <w:rsid w:val="0019516C"/>
    <w:rsid w:val="001958D7"/>
    <w:rsid w:val="0019597A"/>
    <w:rsid w:val="00197FC4"/>
    <w:rsid w:val="001A046A"/>
    <w:rsid w:val="001A09F8"/>
    <w:rsid w:val="001A291D"/>
    <w:rsid w:val="001A378E"/>
    <w:rsid w:val="001A421B"/>
    <w:rsid w:val="001A4658"/>
    <w:rsid w:val="001A46DE"/>
    <w:rsid w:val="001A47C1"/>
    <w:rsid w:val="001A48C7"/>
    <w:rsid w:val="001A4C05"/>
    <w:rsid w:val="001A6789"/>
    <w:rsid w:val="001B0BFD"/>
    <w:rsid w:val="001B1018"/>
    <w:rsid w:val="001B1582"/>
    <w:rsid w:val="001B1AEC"/>
    <w:rsid w:val="001B47E1"/>
    <w:rsid w:val="001B50FC"/>
    <w:rsid w:val="001B5449"/>
    <w:rsid w:val="001B5E7F"/>
    <w:rsid w:val="001B5FEA"/>
    <w:rsid w:val="001B7E08"/>
    <w:rsid w:val="001C1C7E"/>
    <w:rsid w:val="001C210E"/>
    <w:rsid w:val="001C277C"/>
    <w:rsid w:val="001C33FF"/>
    <w:rsid w:val="001C4778"/>
    <w:rsid w:val="001C4A66"/>
    <w:rsid w:val="001C4C98"/>
    <w:rsid w:val="001C6274"/>
    <w:rsid w:val="001C754C"/>
    <w:rsid w:val="001C799C"/>
    <w:rsid w:val="001C7D0A"/>
    <w:rsid w:val="001D2A6D"/>
    <w:rsid w:val="001D2E37"/>
    <w:rsid w:val="001D31F7"/>
    <w:rsid w:val="001D3208"/>
    <w:rsid w:val="001D7E91"/>
    <w:rsid w:val="001E35BA"/>
    <w:rsid w:val="001E3AA0"/>
    <w:rsid w:val="001E4570"/>
    <w:rsid w:val="001E501C"/>
    <w:rsid w:val="001E5D36"/>
    <w:rsid w:val="001E6049"/>
    <w:rsid w:val="001E6A14"/>
    <w:rsid w:val="001F397D"/>
    <w:rsid w:val="001F4996"/>
    <w:rsid w:val="001F539E"/>
    <w:rsid w:val="001F5B14"/>
    <w:rsid w:val="001F5B98"/>
    <w:rsid w:val="0020020C"/>
    <w:rsid w:val="00202AA3"/>
    <w:rsid w:val="00202F5C"/>
    <w:rsid w:val="002033B6"/>
    <w:rsid w:val="002040AD"/>
    <w:rsid w:val="0020410A"/>
    <w:rsid w:val="00205640"/>
    <w:rsid w:val="00205B69"/>
    <w:rsid w:val="00206C0A"/>
    <w:rsid w:val="00211270"/>
    <w:rsid w:val="00211526"/>
    <w:rsid w:val="002123A6"/>
    <w:rsid w:val="00212733"/>
    <w:rsid w:val="00212992"/>
    <w:rsid w:val="0021370D"/>
    <w:rsid w:val="00213D1D"/>
    <w:rsid w:val="00215038"/>
    <w:rsid w:val="00215568"/>
    <w:rsid w:val="00215AAC"/>
    <w:rsid w:val="00215C4B"/>
    <w:rsid w:val="00216958"/>
    <w:rsid w:val="00217A97"/>
    <w:rsid w:val="00220FAD"/>
    <w:rsid w:val="00221140"/>
    <w:rsid w:val="00221A94"/>
    <w:rsid w:val="00222A91"/>
    <w:rsid w:val="002245AE"/>
    <w:rsid w:val="002245C4"/>
    <w:rsid w:val="00224C50"/>
    <w:rsid w:val="00225359"/>
    <w:rsid w:val="00225612"/>
    <w:rsid w:val="00226657"/>
    <w:rsid w:val="002273E3"/>
    <w:rsid w:val="00230855"/>
    <w:rsid w:val="002308B0"/>
    <w:rsid w:val="00231CBE"/>
    <w:rsid w:val="00233E44"/>
    <w:rsid w:val="0023561C"/>
    <w:rsid w:val="00235CBF"/>
    <w:rsid w:val="002360EA"/>
    <w:rsid w:val="00236426"/>
    <w:rsid w:val="002366A2"/>
    <w:rsid w:val="002372CF"/>
    <w:rsid w:val="00240A81"/>
    <w:rsid w:val="00240CA1"/>
    <w:rsid w:val="002412FC"/>
    <w:rsid w:val="00243482"/>
    <w:rsid w:val="00244EF9"/>
    <w:rsid w:val="0024680F"/>
    <w:rsid w:val="00246FF8"/>
    <w:rsid w:val="00247152"/>
    <w:rsid w:val="0024756D"/>
    <w:rsid w:val="002478FA"/>
    <w:rsid w:val="00251AAC"/>
    <w:rsid w:val="0025351E"/>
    <w:rsid w:val="002536BE"/>
    <w:rsid w:val="00254D95"/>
    <w:rsid w:val="00257F23"/>
    <w:rsid w:val="00260BE7"/>
    <w:rsid w:val="002610FB"/>
    <w:rsid w:val="0026136C"/>
    <w:rsid w:val="00270C7D"/>
    <w:rsid w:val="0027111A"/>
    <w:rsid w:val="002743FC"/>
    <w:rsid w:val="00276451"/>
    <w:rsid w:val="00276A14"/>
    <w:rsid w:val="00277633"/>
    <w:rsid w:val="00281009"/>
    <w:rsid w:val="00281C3B"/>
    <w:rsid w:val="00281D6D"/>
    <w:rsid w:val="002820FE"/>
    <w:rsid w:val="0028296E"/>
    <w:rsid w:val="00282F41"/>
    <w:rsid w:val="00284DAC"/>
    <w:rsid w:val="002851D1"/>
    <w:rsid w:val="00285A4D"/>
    <w:rsid w:val="00285CCD"/>
    <w:rsid w:val="00286A7E"/>
    <w:rsid w:val="00287FE3"/>
    <w:rsid w:val="00290FF3"/>
    <w:rsid w:val="00293197"/>
    <w:rsid w:val="00293534"/>
    <w:rsid w:val="00293954"/>
    <w:rsid w:val="00293ACF"/>
    <w:rsid w:val="0029481B"/>
    <w:rsid w:val="002969D6"/>
    <w:rsid w:val="002A0A3E"/>
    <w:rsid w:val="002A1822"/>
    <w:rsid w:val="002A24C4"/>
    <w:rsid w:val="002A522A"/>
    <w:rsid w:val="002A62C3"/>
    <w:rsid w:val="002A6AF8"/>
    <w:rsid w:val="002B002C"/>
    <w:rsid w:val="002B1E6C"/>
    <w:rsid w:val="002B33C4"/>
    <w:rsid w:val="002B3B86"/>
    <w:rsid w:val="002B44CB"/>
    <w:rsid w:val="002B44F7"/>
    <w:rsid w:val="002B5A7F"/>
    <w:rsid w:val="002B5F55"/>
    <w:rsid w:val="002B7B42"/>
    <w:rsid w:val="002C42F5"/>
    <w:rsid w:val="002C501D"/>
    <w:rsid w:val="002C564A"/>
    <w:rsid w:val="002C58D7"/>
    <w:rsid w:val="002D1C18"/>
    <w:rsid w:val="002D27F2"/>
    <w:rsid w:val="002D3A3C"/>
    <w:rsid w:val="002D5791"/>
    <w:rsid w:val="002D6151"/>
    <w:rsid w:val="002D7451"/>
    <w:rsid w:val="002E06D2"/>
    <w:rsid w:val="002E1311"/>
    <w:rsid w:val="002E5DBC"/>
    <w:rsid w:val="002E72C9"/>
    <w:rsid w:val="002E7A09"/>
    <w:rsid w:val="002E7FDA"/>
    <w:rsid w:val="002F03BC"/>
    <w:rsid w:val="002F0B41"/>
    <w:rsid w:val="002F4943"/>
    <w:rsid w:val="002F7F78"/>
    <w:rsid w:val="00300064"/>
    <w:rsid w:val="003012AC"/>
    <w:rsid w:val="0030172E"/>
    <w:rsid w:val="00302C18"/>
    <w:rsid w:val="00302EA6"/>
    <w:rsid w:val="003042CD"/>
    <w:rsid w:val="00305EC4"/>
    <w:rsid w:val="003067C6"/>
    <w:rsid w:val="00306C9F"/>
    <w:rsid w:val="00306EB5"/>
    <w:rsid w:val="00310E77"/>
    <w:rsid w:val="0031203C"/>
    <w:rsid w:val="00312638"/>
    <w:rsid w:val="00312A10"/>
    <w:rsid w:val="00313DCB"/>
    <w:rsid w:val="00315328"/>
    <w:rsid w:val="00315441"/>
    <w:rsid w:val="003157FC"/>
    <w:rsid w:val="00320EA2"/>
    <w:rsid w:val="003214B2"/>
    <w:rsid w:val="00321A73"/>
    <w:rsid w:val="0032243A"/>
    <w:rsid w:val="003233E6"/>
    <w:rsid w:val="00323600"/>
    <w:rsid w:val="003251F6"/>
    <w:rsid w:val="0032566C"/>
    <w:rsid w:val="003262F5"/>
    <w:rsid w:val="00330F4C"/>
    <w:rsid w:val="00331A6C"/>
    <w:rsid w:val="00332F56"/>
    <w:rsid w:val="00333591"/>
    <w:rsid w:val="00334868"/>
    <w:rsid w:val="00335244"/>
    <w:rsid w:val="00335E19"/>
    <w:rsid w:val="0033680A"/>
    <w:rsid w:val="003378CD"/>
    <w:rsid w:val="00341305"/>
    <w:rsid w:val="00341B46"/>
    <w:rsid w:val="003443EB"/>
    <w:rsid w:val="003446B1"/>
    <w:rsid w:val="00344A99"/>
    <w:rsid w:val="00347D37"/>
    <w:rsid w:val="00350C1B"/>
    <w:rsid w:val="00360095"/>
    <w:rsid w:val="0036046F"/>
    <w:rsid w:val="00362735"/>
    <w:rsid w:val="00362E31"/>
    <w:rsid w:val="00362EA8"/>
    <w:rsid w:val="0036310C"/>
    <w:rsid w:val="00364703"/>
    <w:rsid w:val="00365961"/>
    <w:rsid w:val="00366046"/>
    <w:rsid w:val="00371BB0"/>
    <w:rsid w:val="0037228D"/>
    <w:rsid w:val="00373506"/>
    <w:rsid w:val="00373FAD"/>
    <w:rsid w:val="00377429"/>
    <w:rsid w:val="003776B6"/>
    <w:rsid w:val="00377CA9"/>
    <w:rsid w:val="003812A3"/>
    <w:rsid w:val="00382884"/>
    <w:rsid w:val="003837D1"/>
    <w:rsid w:val="003844DA"/>
    <w:rsid w:val="00384DDA"/>
    <w:rsid w:val="00385CE1"/>
    <w:rsid w:val="00385FEA"/>
    <w:rsid w:val="00386C8C"/>
    <w:rsid w:val="00387CB5"/>
    <w:rsid w:val="00390E87"/>
    <w:rsid w:val="00392E0C"/>
    <w:rsid w:val="003941BD"/>
    <w:rsid w:val="00394256"/>
    <w:rsid w:val="003950D3"/>
    <w:rsid w:val="003A1B9A"/>
    <w:rsid w:val="003A30B6"/>
    <w:rsid w:val="003A5F18"/>
    <w:rsid w:val="003A7D4E"/>
    <w:rsid w:val="003A7E1D"/>
    <w:rsid w:val="003B1684"/>
    <w:rsid w:val="003B257F"/>
    <w:rsid w:val="003B283D"/>
    <w:rsid w:val="003B334B"/>
    <w:rsid w:val="003B3737"/>
    <w:rsid w:val="003B619C"/>
    <w:rsid w:val="003B61CA"/>
    <w:rsid w:val="003B6254"/>
    <w:rsid w:val="003B6ED1"/>
    <w:rsid w:val="003C0E9E"/>
    <w:rsid w:val="003C151B"/>
    <w:rsid w:val="003C278A"/>
    <w:rsid w:val="003C4C7C"/>
    <w:rsid w:val="003C5952"/>
    <w:rsid w:val="003C6FE5"/>
    <w:rsid w:val="003C7608"/>
    <w:rsid w:val="003D01EE"/>
    <w:rsid w:val="003D17BF"/>
    <w:rsid w:val="003D5F90"/>
    <w:rsid w:val="003E0E21"/>
    <w:rsid w:val="003E2162"/>
    <w:rsid w:val="003E2292"/>
    <w:rsid w:val="003E3977"/>
    <w:rsid w:val="003E61A2"/>
    <w:rsid w:val="003E6CCA"/>
    <w:rsid w:val="003E7128"/>
    <w:rsid w:val="003F1E7A"/>
    <w:rsid w:val="003F3FE1"/>
    <w:rsid w:val="003F577E"/>
    <w:rsid w:val="003F7110"/>
    <w:rsid w:val="003F7710"/>
    <w:rsid w:val="00400308"/>
    <w:rsid w:val="00400AC1"/>
    <w:rsid w:val="00400F70"/>
    <w:rsid w:val="00401285"/>
    <w:rsid w:val="00402142"/>
    <w:rsid w:val="00403989"/>
    <w:rsid w:val="00403FB1"/>
    <w:rsid w:val="004043F7"/>
    <w:rsid w:val="00410346"/>
    <w:rsid w:val="00410917"/>
    <w:rsid w:val="00410A4E"/>
    <w:rsid w:val="00411203"/>
    <w:rsid w:val="00411C40"/>
    <w:rsid w:val="00411D08"/>
    <w:rsid w:val="00411D3E"/>
    <w:rsid w:val="00413510"/>
    <w:rsid w:val="00413BCD"/>
    <w:rsid w:val="00414EA6"/>
    <w:rsid w:val="00415553"/>
    <w:rsid w:val="00416E7B"/>
    <w:rsid w:val="00421646"/>
    <w:rsid w:val="004262B4"/>
    <w:rsid w:val="00426983"/>
    <w:rsid w:val="00427CD3"/>
    <w:rsid w:val="00427E18"/>
    <w:rsid w:val="0043105E"/>
    <w:rsid w:val="00432AD1"/>
    <w:rsid w:val="00433B54"/>
    <w:rsid w:val="00436D10"/>
    <w:rsid w:val="00437AD7"/>
    <w:rsid w:val="004403A3"/>
    <w:rsid w:val="00440B31"/>
    <w:rsid w:val="0044156E"/>
    <w:rsid w:val="00442CFC"/>
    <w:rsid w:val="00443BBF"/>
    <w:rsid w:val="004456A8"/>
    <w:rsid w:val="00445CA5"/>
    <w:rsid w:val="00446F6B"/>
    <w:rsid w:val="00447A59"/>
    <w:rsid w:val="00450082"/>
    <w:rsid w:val="00451361"/>
    <w:rsid w:val="004535F5"/>
    <w:rsid w:val="00453BAA"/>
    <w:rsid w:val="00454781"/>
    <w:rsid w:val="00454E67"/>
    <w:rsid w:val="00455241"/>
    <w:rsid w:val="004616AF"/>
    <w:rsid w:val="00461713"/>
    <w:rsid w:val="004619A9"/>
    <w:rsid w:val="00461B54"/>
    <w:rsid w:val="0046338F"/>
    <w:rsid w:val="00466C8D"/>
    <w:rsid w:val="004671D0"/>
    <w:rsid w:val="00471432"/>
    <w:rsid w:val="004762DC"/>
    <w:rsid w:val="00480268"/>
    <w:rsid w:val="004805A9"/>
    <w:rsid w:val="00481063"/>
    <w:rsid w:val="004812E8"/>
    <w:rsid w:val="004820E9"/>
    <w:rsid w:val="00482EBF"/>
    <w:rsid w:val="00484E26"/>
    <w:rsid w:val="00484F37"/>
    <w:rsid w:val="00485708"/>
    <w:rsid w:val="004859D6"/>
    <w:rsid w:val="0048644D"/>
    <w:rsid w:val="00487BEE"/>
    <w:rsid w:val="004900D2"/>
    <w:rsid w:val="00490C6A"/>
    <w:rsid w:val="00490F0D"/>
    <w:rsid w:val="00491791"/>
    <w:rsid w:val="00492B3A"/>
    <w:rsid w:val="004959F9"/>
    <w:rsid w:val="00497B0C"/>
    <w:rsid w:val="004A392F"/>
    <w:rsid w:val="004A4547"/>
    <w:rsid w:val="004A583D"/>
    <w:rsid w:val="004A750F"/>
    <w:rsid w:val="004B0C29"/>
    <w:rsid w:val="004B19CB"/>
    <w:rsid w:val="004B1E05"/>
    <w:rsid w:val="004B2B9B"/>
    <w:rsid w:val="004B2BAE"/>
    <w:rsid w:val="004B2D29"/>
    <w:rsid w:val="004B597D"/>
    <w:rsid w:val="004B5CD7"/>
    <w:rsid w:val="004B68EF"/>
    <w:rsid w:val="004B6F23"/>
    <w:rsid w:val="004B79CD"/>
    <w:rsid w:val="004B7C5A"/>
    <w:rsid w:val="004C0DDB"/>
    <w:rsid w:val="004C12BF"/>
    <w:rsid w:val="004C1447"/>
    <w:rsid w:val="004C278F"/>
    <w:rsid w:val="004C3D16"/>
    <w:rsid w:val="004C49E2"/>
    <w:rsid w:val="004D26CD"/>
    <w:rsid w:val="004D695B"/>
    <w:rsid w:val="004D6D46"/>
    <w:rsid w:val="004D7701"/>
    <w:rsid w:val="004E027C"/>
    <w:rsid w:val="004E04DB"/>
    <w:rsid w:val="004E0842"/>
    <w:rsid w:val="004E1337"/>
    <w:rsid w:val="004E23E0"/>
    <w:rsid w:val="004E2ABD"/>
    <w:rsid w:val="004E2D35"/>
    <w:rsid w:val="004E3E79"/>
    <w:rsid w:val="004E4837"/>
    <w:rsid w:val="004E4F93"/>
    <w:rsid w:val="004E56C3"/>
    <w:rsid w:val="004E60CE"/>
    <w:rsid w:val="004E7529"/>
    <w:rsid w:val="004E7BCE"/>
    <w:rsid w:val="004F1AAE"/>
    <w:rsid w:val="004F3D1A"/>
    <w:rsid w:val="004F3EE5"/>
    <w:rsid w:val="004F40B1"/>
    <w:rsid w:val="004F4DD7"/>
    <w:rsid w:val="004F5239"/>
    <w:rsid w:val="004F5EE6"/>
    <w:rsid w:val="004F63E1"/>
    <w:rsid w:val="004F7721"/>
    <w:rsid w:val="004F777C"/>
    <w:rsid w:val="00500C7D"/>
    <w:rsid w:val="0050183E"/>
    <w:rsid w:val="0050192A"/>
    <w:rsid w:val="00501A2A"/>
    <w:rsid w:val="005024B9"/>
    <w:rsid w:val="00502535"/>
    <w:rsid w:val="00503606"/>
    <w:rsid w:val="0050381D"/>
    <w:rsid w:val="0050423B"/>
    <w:rsid w:val="00504F37"/>
    <w:rsid w:val="00510B78"/>
    <w:rsid w:val="00511B22"/>
    <w:rsid w:val="00511F1D"/>
    <w:rsid w:val="00515AF7"/>
    <w:rsid w:val="00516D2B"/>
    <w:rsid w:val="0051757E"/>
    <w:rsid w:val="005177A1"/>
    <w:rsid w:val="005208C8"/>
    <w:rsid w:val="00521367"/>
    <w:rsid w:val="005228C3"/>
    <w:rsid w:val="00523569"/>
    <w:rsid w:val="00524DC2"/>
    <w:rsid w:val="005250FB"/>
    <w:rsid w:val="005251B5"/>
    <w:rsid w:val="005254BE"/>
    <w:rsid w:val="00526874"/>
    <w:rsid w:val="00526A03"/>
    <w:rsid w:val="00527852"/>
    <w:rsid w:val="00532070"/>
    <w:rsid w:val="00534130"/>
    <w:rsid w:val="005348FA"/>
    <w:rsid w:val="005350A8"/>
    <w:rsid w:val="005358AB"/>
    <w:rsid w:val="005374CE"/>
    <w:rsid w:val="00540D83"/>
    <w:rsid w:val="00540E99"/>
    <w:rsid w:val="00541555"/>
    <w:rsid w:val="00541AC1"/>
    <w:rsid w:val="00541B38"/>
    <w:rsid w:val="00542713"/>
    <w:rsid w:val="00546B3A"/>
    <w:rsid w:val="00551404"/>
    <w:rsid w:val="0055223F"/>
    <w:rsid w:val="0055335A"/>
    <w:rsid w:val="00553706"/>
    <w:rsid w:val="00555BBF"/>
    <w:rsid w:val="00555CEF"/>
    <w:rsid w:val="00556241"/>
    <w:rsid w:val="00560612"/>
    <w:rsid w:val="005610CA"/>
    <w:rsid w:val="0056197B"/>
    <w:rsid w:val="00567AFA"/>
    <w:rsid w:val="0057204C"/>
    <w:rsid w:val="00573FE1"/>
    <w:rsid w:val="005743D9"/>
    <w:rsid w:val="00575E82"/>
    <w:rsid w:val="00585C02"/>
    <w:rsid w:val="0059022C"/>
    <w:rsid w:val="00590AD9"/>
    <w:rsid w:val="00591090"/>
    <w:rsid w:val="00594D3A"/>
    <w:rsid w:val="00597497"/>
    <w:rsid w:val="005A02C7"/>
    <w:rsid w:val="005A1CFD"/>
    <w:rsid w:val="005A67CB"/>
    <w:rsid w:val="005A6C98"/>
    <w:rsid w:val="005B0179"/>
    <w:rsid w:val="005B1418"/>
    <w:rsid w:val="005B258A"/>
    <w:rsid w:val="005B484F"/>
    <w:rsid w:val="005B59E1"/>
    <w:rsid w:val="005B64AD"/>
    <w:rsid w:val="005B6561"/>
    <w:rsid w:val="005B73F5"/>
    <w:rsid w:val="005B7ADC"/>
    <w:rsid w:val="005C0AF6"/>
    <w:rsid w:val="005C26B6"/>
    <w:rsid w:val="005C3616"/>
    <w:rsid w:val="005C37C9"/>
    <w:rsid w:val="005C3A30"/>
    <w:rsid w:val="005C5A93"/>
    <w:rsid w:val="005C60DD"/>
    <w:rsid w:val="005C7015"/>
    <w:rsid w:val="005C750A"/>
    <w:rsid w:val="005D0007"/>
    <w:rsid w:val="005D1442"/>
    <w:rsid w:val="005D148D"/>
    <w:rsid w:val="005D1EC3"/>
    <w:rsid w:val="005D309F"/>
    <w:rsid w:val="005D55B8"/>
    <w:rsid w:val="005D573C"/>
    <w:rsid w:val="005D628B"/>
    <w:rsid w:val="005D73F6"/>
    <w:rsid w:val="005E024A"/>
    <w:rsid w:val="005E20B7"/>
    <w:rsid w:val="005E3257"/>
    <w:rsid w:val="005E3673"/>
    <w:rsid w:val="005E5299"/>
    <w:rsid w:val="005E7093"/>
    <w:rsid w:val="005E7777"/>
    <w:rsid w:val="005F11D3"/>
    <w:rsid w:val="005F15A1"/>
    <w:rsid w:val="005F1E7B"/>
    <w:rsid w:val="005F30E8"/>
    <w:rsid w:val="005F401B"/>
    <w:rsid w:val="005F48AA"/>
    <w:rsid w:val="005F586D"/>
    <w:rsid w:val="005F685F"/>
    <w:rsid w:val="005F7647"/>
    <w:rsid w:val="005F770E"/>
    <w:rsid w:val="00600491"/>
    <w:rsid w:val="006012F7"/>
    <w:rsid w:val="00601BFA"/>
    <w:rsid w:val="00602D50"/>
    <w:rsid w:val="00602FB3"/>
    <w:rsid w:val="0060342A"/>
    <w:rsid w:val="00604280"/>
    <w:rsid w:val="00604CBC"/>
    <w:rsid w:val="00606A90"/>
    <w:rsid w:val="00606C68"/>
    <w:rsid w:val="00607C9B"/>
    <w:rsid w:val="0061457A"/>
    <w:rsid w:val="00614F3E"/>
    <w:rsid w:val="00614F73"/>
    <w:rsid w:val="00615ADE"/>
    <w:rsid w:val="00616826"/>
    <w:rsid w:val="00617C68"/>
    <w:rsid w:val="00620CEE"/>
    <w:rsid w:val="00621841"/>
    <w:rsid w:val="00622A64"/>
    <w:rsid w:val="00625FD8"/>
    <w:rsid w:val="006314C7"/>
    <w:rsid w:val="0063187C"/>
    <w:rsid w:val="00632DFD"/>
    <w:rsid w:val="0063322C"/>
    <w:rsid w:val="0063329F"/>
    <w:rsid w:val="006333E5"/>
    <w:rsid w:val="0063445A"/>
    <w:rsid w:val="00634ED5"/>
    <w:rsid w:val="00636C28"/>
    <w:rsid w:val="006422A8"/>
    <w:rsid w:val="006426F9"/>
    <w:rsid w:val="006438C1"/>
    <w:rsid w:val="00644DCE"/>
    <w:rsid w:val="00645E3D"/>
    <w:rsid w:val="006507D7"/>
    <w:rsid w:val="00651643"/>
    <w:rsid w:val="00651D6E"/>
    <w:rsid w:val="006535F6"/>
    <w:rsid w:val="00653CB1"/>
    <w:rsid w:val="00653D80"/>
    <w:rsid w:val="00654694"/>
    <w:rsid w:val="00654D33"/>
    <w:rsid w:val="00662DCF"/>
    <w:rsid w:val="00664203"/>
    <w:rsid w:val="0066605A"/>
    <w:rsid w:val="00667D2F"/>
    <w:rsid w:val="00670C12"/>
    <w:rsid w:val="00670C3A"/>
    <w:rsid w:val="006718AB"/>
    <w:rsid w:val="0067226C"/>
    <w:rsid w:val="0067382A"/>
    <w:rsid w:val="0067392D"/>
    <w:rsid w:val="0067428C"/>
    <w:rsid w:val="006768EF"/>
    <w:rsid w:val="00676B78"/>
    <w:rsid w:val="00676D6D"/>
    <w:rsid w:val="00676EE6"/>
    <w:rsid w:val="00677A64"/>
    <w:rsid w:val="00677E65"/>
    <w:rsid w:val="00680147"/>
    <w:rsid w:val="00680CC9"/>
    <w:rsid w:val="006811A5"/>
    <w:rsid w:val="00681295"/>
    <w:rsid w:val="006813A8"/>
    <w:rsid w:val="00681C2D"/>
    <w:rsid w:val="00681FF1"/>
    <w:rsid w:val="00682B2C"/>
    <w:rsid w:val="00682B32"/>
    <w:rsid w:val="00682EAB"/>
    <w:rsid w:val="00683907"/>
    <w:rsid w:val="0068680F"/>
    <w:rsid w:val="00690D78"/>
    <w:rsid w:val="00691B21"/>
    <w:rsid w:val="006931AC"/>
    <w:rsid w:val="00694FFB"/>
    <w:rsid w:val="006A0FDD"/>
    <w:rsid w:val="006A1964"/>
    <w:rsid w:val="006A2F39"/>
    <w:rsid w:val="006A38FC"/>
    <w:rsid w:val="006A42A5"/>
    <w:rsid w:val="006A4860"/>
    <w:rsid w:val="006A6052"/>
    <w:rsid w:val="006A712B"/>
    <w:rsid w:val="006A78F6"/>
    <w:rsid w:val="006B049C"/>
    <w:rsid w:val="006B1763"/>
    <w:rsid w:val="006B191A"/>
    <w:rsid w:val="006B4E6C"/>
    <w:rsid w:val="006B59DF"/>
    <w:rsid w:val="006B5F75"/>
    <w:rsid w:val="006B6A80"/>
    <w:rsid w:val="006B71FD"/>
    <w:rsid w:val="006B7718"/>
    <w:rsid w:val="006C109C"/>
    <w:rsid w:val="006C198D"/>
    <w:rsid w:val="006C26C1"/>
    <w:rsid w:val="006C65CC"/>
    <w:rsid w:val="006C7E47"/>
    <w:rsid w:val="006D3C53"/>
    <w:rsid w:val="006D4ED7"/>
    <w:rsid w:val="006D5B77"/>
    <w:rsid w:val="006D5CDD"/>
    <w:rsid w:val="006E0023"/>
    <w:rsid w:val="006E0BFE"/>
    <w:rsid w:val="006E0C04"/>
    <w:rsid w:val="006E0FDC"/>
    <w:rsid w:val="006E198A"/>
    <w:rsid w:val="006E383E"/>
    <w:rsid w:val="006E3C0F"/>
    <w:rsid w:val="006E4A72"/>
    <w:rsid w:val="006E581B"/>
    <w:rsid w:val="006E6443"/>
    <w:rsid w:val="006F1DB4"/>
    <w:rsid w:val="006F41F8"/>
    <w:rsid w:val="006F44E4"/>
    <w:rsid w:val="006F719F"/>
    <w:rsid w:val="0070089B"/>
    <w:rsid w:val="00700E9A"/>
    <w:rsid w:val="00702827"/>
    <w:rsid w:val="007036C4"/>
    <w:rsid w:val="00703B6C"/>
    <w:rsid w:val="007041FE"/>
    <w:rsid w:val="007054C7"/>
    <w:rsid w:val="00705874"/>
    <w:rsid w:val="007063D1"/>
    <w:rsid w:val="00707398"/>
    <w:rsid w:val="007073D8"/>
    <w:rsid w:val="007109C2"/>
    <w:rsid w:val="00712A63"/>
    <w:rsid w:val="00713461"/>
    <w:rsid w:val="0071401B"/>
    <w:rsid w:val="00714BFF"/>
    <w:rsid w:val="00715B48"/>
    <w:rsid w:val="00716290"/>
    <w:rsid w:val="00722B56"/>
    <w:rsid w:val="00722F43"/>
    <w:rsid w:val="0072301C"/>
    <w:rsid w:val="007240C2"/>
    <w:rsid w:val="0072501D"/>
    <w:rsid w:val="00725C46"/>
    <w:rsid w:val="0072772B"/>
    <w:rsid w:val="00731808"/>
    <w:rsid w:val="00732982"/>
    <w:rsid w:val="00733428"/>
    <w:rsid w:val="007351BE"/>
    <w:rsid w:val="007379C6"/>
    <w:rsid w:val="0074004B"/>
    <w:rsid w:val="00740FFC"/>
    <w:rsid w:val="00741B29"/>
    <w:rsid w:val="00742BA5"/>
    <w:rsid w:val="00745BF9"/>
    <w:rsid w:val="007465EA"/>
    <w:rsid w:val="007466F4"/>
    <w:rsid w:val="00747388"/>
    <w:rsid w:val="0074746E"/>
    <w:rsid w:val="007510A8"/>
    <w:rsid w:val="00752966"/>
    <w:rsid w:val="007538FC"/>
    <w:rsid w:val="007549E6"/>
    <w:rsid w:val="007558CA"/>
    <w:rsid w:val="00755E58"/>
    <w:rsid w:val="00756F12"/>
    <w:rsid w:val="00760148"/>
    <w:rsid w:val="0076095E"/>
    <w:rsid w:val="0076243C"/>
    <w:rsid w:val="007644D8"/>
    <w:rsid w:val="00764552"/>
    <w:rsid w:val="007649B6"/>
    <w:rsid w:val="00765758"/>
    <w:rsid w:val="00766035"/>
    <w:rsid w:val="007671AA"/>
    <w:rsid w:val="00767E54"/>
    <w:rsid w:val="0077085A"/>
    <w:rsid w:val="0077177E"/>
    <w:rsid w:val="0077245C"/>
    <w:rsid w:val="00772BD0"/>
    <w:rsid w:val="00773F05"/>
    <w:rsid w:val="007751A2"/>
    <w:rsid w:val="00776A1D"/>
    <w:rsid w:val="00777B87"/>
    <w:rsid w:val="00777CAA"/>
    <w:rsid w:val="00780267"/>
    <w:rsid w:val="0078173A"/>
    <w:rsid w:val="00781E9D"/>
    <w:rsid w:val="0078204F"/>
    <w:rsid w:val="00782DD1"/>
    <w:rsid w:val="00783C2F"/>
    <w:rsid w:val="00783FD4"/>
    <w:rsid w:val="007847AF"/>
    <w:rsid w:val="00784E56"/>
    <w:rsid w:val="00785285"/>
    <w:rsid w:val="0078617C"/>
    <w:rsid w:val="007872D7"/>
    <w:rsid w:val="0079046D"/>
    <w:rsid w:val="0079153E"/>
    <w:rsid w:val="00791551"/>
    <w:rsid w:val="007926A8"/>
    <w:rsid w:val="00793DBF"/>
    <w:rsid w:val="00794CC5"/>
    <w:rsid w:val="00794FCF"/>
    <w:rsid w:val="00795310"/>
    <w:rsid w:val="00795C62"/>
    <w:rsid w:val="00796BBD"/>
    <w:rsid w:val="00797A40"/>
    <w:rsid w:val="00797FB1"/>
    <w:rsid w:val="007A03A7"/>
    <w:rsid w:val="007A1656"/>
    <w:rsid w:val="007A21A1"/>
    <w:rsid w:val="007A270E"/>
    <w:rsid w:val="007A3A49"/>
    <w:rsid w:val="007A4679"/>
    <w:rsid w:val="007A4B32"/>
    <w:rsid w:val="007A4FE7"/>
    <w:rsid w:val="007A542C"/>
    <w:rsid w:val="007A732B"/>
    <w:rsid w:val="007B0960"/>
    <w:rsid w:val="007B0A07"/>
    <w:rsid w:val="007B140B"/>
    <w:rsid w:val="007B1B92"/>
    <w:rsid w:val="007B40CF"/>
    <w:rsid w:val="007B44FA"/>
    <w:rsid w:val="007B4532"/>
    <w:rsid w:val="007B599A"/>
    <w:rsid w:val="007B5D32"/>
    <w:rsid w:val="007B6D4C"/>
    <w:rsid w:val="007B7031"/>
    <w:rsid w:val="007B7389"/>
    <w:rsid w:val="007C0F4B"/>
    <w:rsid w:val="007C4060"/>
    <w:rsid w:val="007C4B3F"/>
    <w:rsid w:val="007C6375"/>
    <w:rsid w:val="007C7366"/>
    <w:rsid w:val="007D0678"/>
    <w:rsid w:val="007D06C2"/>
    <w:rsid w:val="007D2AEC"/>
    <w:rsid w:val="007D34AC"/>
    <w:rsid w:val="007D435C"/>
    <w:rsid w:val="007D5287"/>
    <w:rsid w:val="007D5B56"/>
    <w:rsid w:val="007E1730"/>
    <w:rsid w:val="007E1B40"/>
    <w:rsid w:val="007E4D07"/>
    <w:rsid w:val="007E5D03"/>
    <w:rsid w:val="007E6E03"/>
    <w:rsid w:val="007E7C78"/>
    <w:rsid w:val="007F07DD"/>
    <w:rsid w:val="007F0831"/>
    <w:rsid w:val="007F0C00"/>
    <w:rsid w:val="007F1924"/>
    <w:rsid w:val="007F1FAC"/>
    <w:rsid w:val="007F3F6D"/>
    <w:rsid w:val="007F4110"/>
    <w:rsid w:val="007F4E7D"/>
    <w:rsid w:val="007F51C2"/>
    <w:rsid w:val="007F5FEA"/>
    <w:rsid w:val="007F7941"/>
    <w:rsid w:val="00801AF9"/>
    <w:rsid w:val="0080214F"/>
    <w:rsid w:val="00802EDA"/>
    <w:rsid w:val="00803523"/>
    <w:rsid w:val="00807902"/>
    <w:rsid w:val="0081068D"/>
    <w:rsid w:val="00813EBB"/>
    <w:rsid w:val="00824ECC"/>
    <w:rsid w:val="008258A3"/>
    <w:rsid w:val="00826133"/>
    <w:rsid w:val="00826987"/>
    <w:rsid w:val="0082792C"/>
    <w:rsid w:val="0083068C"/>
    <w:rsid w:val="00830AA2"/>
    <w:rsid w:val="0083543D"/>
    <w:rsid w:val="00836A20"/>
    <w:rsid w:val="00837716"/>
    <w:rsid w:val="00841604"/>
    <w:rsid w:val="00842BFE"/>
    <w:rsid w:val="0084443F"/>
    <w:rsid w:val="00844721"/>
    <w:rsid w:val="00844BE4"/>
    <w:rsid w:val="00845EE9"/>
    <w:rsid w:val="00846183"/>
    <w:rsid w:val="008500EF"/>
    <w:rsid w:val="0085136B"/>
    <w:rsid w:val="00851C82"/>
    <w:rsid w:val="00852F3F"/>
    <w:rsid w:val="00852FED"/>
    <w:rsid w:val="008537FE"/>
    <w:rsid w:val="00855716"/>
    <w:rsid w:val="00857C4D"/>
    <w:rsid w:val="008610F5"/>
    <w:rsid w:val="00861AF2"/>
    <w:rsid w:val="0086234E"/>
    <w:rsid w:val="00863322"/>
    <w:rsid w:val="00863AB2"/>
    <w:rsid w:val="00866B4C"/>
    <w:rsid w:val="0086722C"/>
    <w:rsid w:val="00867628"/>
    <w:rsid w:val="00867EA7"/>
    <w:rsid w:val="00870FF0"/>
    <w:rsid w:val="00871570"/>
    <w:rsid w:val="00872B4E"/>
    <w:rsid w:val="0087322F"/>
    <w:rsid w:val="0087422E"/>
    <w:rsid w:val="0087657E"/>
    <w:rsid w:val="0087662B"/>
    <w:rsid w:val="008768B3"/>
    <w:rsid w:val="00876C2A"/>
    <w:rsid w:val="00880A59"/>
    <w:rsid w:val="0088247C"/>
    <w:rsid w:val="008843F7"/>
    <w:rsid w:val="0088604B"/>
    <w:rsid w:val="0088608D"/>
    <w:rsid w:val="008861D9"/>
    <w:rsid w:val="00893F64"/>
    <w:rsid w:val="00894520"/>
    <w:rsid w:val="00895845"/>
    <w:rsid w:val="00896719"/>
    <w:rsid w:val="008969A4"/>
    <w:rsid w:val="00897160"/>
    <w:rsid w:val="008A0B75"/>
    <w:rsid w:val="008A114F"/>
    <w:rsid w:val="008A1A17"/>
    <w:rsid w:val="008A22CC"/>
    <w:rsid w:val="008A3FA6"/>
    <w:rsid w:val="008A4504"/>
    <w:rsid w:val="008A560D"/>
    <w:rsid w:val="008A7271"/>
    <w:rsid w:val="008A7699"/>
    <w:rsid w:val="008B090D"/>
    <w:rsid w:val="008B16CB"/>
    <w:rsid w:val="008B4873"/>
    <w:rsid w:val="008B4E11"/>
    <w:rsid w:val="008B57B0"/>
    <w:rsid w:val="008B59C7"/>
    <w:rsid w:val="008B6C19"/>
    <w:rsid w:val="008C0ABB"/>
    <w:rsid w:val="008C18DC"/>
    <w:rsid w:val="008C2B94"/>
    <w:rsid w:val="008C543E"/>
    <w:rsid w:val="008C5F7E"/>
    <w:rsid w:val="008C634A"/>
    <w:rsid w:val="008C641A"/>
    <w:rsid w:val="008C666F"/>
    <w:rsid w:val="008C6A0F"/>
    <w:rsid w:val="008C70A4"/>
    <w:rsid w:val="008C7DAC"/>
    <w:rsid w:val="008D1C95"/>
    <w:rsid w:val="008D2BA7"/>
    <w:rsid w:val="008D31B9"/>
    <w:rsid w:val="008D3995"/>
    <w:rsid w:val="008D4065"/>
    <w:rsid w:val="008D4CD3"/>
    <w:rsid w:val="008D4CD7"/>
    <w:rsid w:val="008D5540"/>
    <w:rsid w:val="008D6671"/>
    <w:rsid w:val="008D67D0"/>
    <w:rsid w:val="008D6B57"/>
    <w:rsid w:val="008D6D41"/>
    <w:rsid w:val="008E1C29"/>
    <w:rsid w:val="008E399A"/>
    <w:rsid w:val="008E3FCE"/>
    <w:rsid w:val="008E4D8C"/>
    <w:rsid w:val="008E4E80"/>
    <w:rsid w:val="008E6BD0"/>
    <w:rsid w:val="008E7C03"/>
    <w:rsid w:val="008F33A7"/>
    <w:rsid w:val="008F4A9D"/>
    <w:rsid w:val="008F5027"/>
    <w:rsid w:val="008F5043"/>
    <w:rsid w:val="008F53FD"/>
    <w:rsid w:val="008F60A8"/>
    <w:rsid w:val="00901A31"/>
    <w:rsid w:val="0090200C"/>
    <w:rsid w:val="00902DF0"/>
    <w:rsid w:val="00902EC1"/>
    <w:rsid w:val="00904F32"/>
    <w:rsid w:val="00905041"/>
    <w:rsid w:val="009067E1"/>
    <w:rsid w:val="0090693D"/>
    <w:rsid w:val="00907F01"/>
    <w:rsid w:val="009121A3"/>
    <w:rsid w:val="009127E7"/>
    <w:rsid w:val="009156C9"/>
    <w:rsid w:val="00916181"/>
    <w:rsid w:val="009162D0"/>
    <w:rsid w:val="0091674B"/>
    <w:rsid w:val="009168F8"/>
    <w:rsid w:val="00920C9A"/>
    <w:rsid w:val="00920F5B"/>
    <w:rsid w:val="009217E3"/>
    <w:rsid w:val="009235EA"/>
    <w:rsid w:val="00924533"/>
    <w:rsid w:val="009251BD"/>
    <w:rsid w:val="0092691D"/>
    <w:rsid w:val="00930035"/>
    <w:rsid w:val="00930B65"/>
    <w:rsid w:val="00932092"/>
    <w:rsid w:val="009324CC"/>
    <w:rsid w:val="00933C97"/>
    <w:rsid w:val="009345F1"/>
    <w:rsid w:val="0094315E"/>
    <w:rsid w:val="00944108"/>
    <w:rsid w:val="00946F9C"/>
    <w:rsid w:val="009533AF"/>
    <w:rsid w:val="00953A06"/>
    <w:rsid w:val="009550B7"/>
    <w:rsid w:val="009557AB"/>
    <w:rsid w:val="00956107"/>
    <w:rsid w:val="0095643F"/>
    <w:rsid w:val="00960291"/>
    <w:rsid w:val="00961F9B"/>
    <w:rsid w:val="009670EC"/>
    <w:rsid w:val="00967307"/>
    <w:rsid w:val="009717B8"/>
    <w:rsid w:val="00972AAC"/>
    <w:rsid w:val="00973F18"/>
    <w:rsid w:val="0097458E"/>
    <w:rsid w:val="00974D8A"/>
    <w:rsid w:val="009758CE"/>
    <w:rsid w:val="009767E0"/>
    <w:rsid w:val="009851DC"/>
    <w:rsid w:val="0098533C"/>
    <w:rsid w:val="00987410"/>
    <w:rsid w:val="00992E81"/>
    <w:rsid w:val="00993230"/>
    <w:rsid w:val="009935B0"/>
    <w:rsid w:val="00993B9F"/>
    <w:rsid w:val="00994D4E"/>
    <w:rsid w:val="009964F4"/>
    <w:rsid w:val="00996638"/>
    <w:rsid w:val="00996A8C"/>
    <w:rsid w:val="00996DFC"/>
    <w:rsid w:val="009A1D3E"/>
    <w:rsid w:val="009A28F1"/>
    <w:rsid w:val="009A3E45"/>
    <w:rsid w:val="009A471E"/>
    <w:rsid w:val="009A56FA"/>
    <w:rsid w:val="009A585C"/>
    <w:rsid w:val="009A772D"/>
    <w:rsid w:val="009B0BD5"/>
    <w:rsid w:val="009B1277"/>
    <w:rsid w:val="009B271C"/>
    <w:rsid w:val="009B5304"/>
    <w:rsid w:val="009B5699"/>
    <w:rsid w:val="009B581B"/>
    <w:rsid w:val="009B7017"/>
    <w:rsid w:val="009B7F30"/>
    <w:rsid w:val="009C25C6"/>
    <w:rsid w:val="009C343B"/>
    <w:rsid w:val="009C438C"/>
    <w:rsid w:val="009C4D2B"/>
    <w:rsid w:val="009C53B4"/>
    <w:rsid w:val="009C5439"/>
    <w:rsid w:val="009C6099"/>
    <w:rsid w:val="009C717C"/>
    <w:rsid w:val="009C74C5"/>
    <w:rsid w:val="009D0388"/>
    <w:rsid w:val="009D042F"/>
    <w:rsid w:val="009D0845"/>
    <w:rsid w:val="009D1A04"/>
    <w:rsid w:val="009D4619"/>
    <w:rsid w:val="009E14AF"/>
    <w:rsid w:val="009E14BA"/>
    <w:rsid w:val="009E183C"/>
    <w:rsid w:val="009E1E3E"/>
    <w:rsid w:val="009E1ED3"/>
    <w:rsid w:val="009E20B5"/>
    <w:rsid w:val="009E4C03"/>
    <w:rsid w:val="009E5CBE"/>
    <w:rsid w:val="009F1A6D"/>
    <w:rsid w:val="009F3063"/>
    <w:rsid w:val="009F34E0"/>
    <w:rsid w:val="009F4FF5"/>
    <w:rsid w:val="009F5450"/>
    <w:rsid w:val="009F6573"/>
    <w:rsid w:val="009F6C0C"/>
    <w:rsid w:val="009F6FB4"/>
    <w:rsid w:val="00A01A32"/>
    <w:rsid w:val="00A01FFA"/>
    <w:rsid w:val="00A05BF5"/>
    <w:rsid w:val="00A06D91"/>
    <w:rsid w:val="00A07747"/>
    <w:rsid w:val="00A079D6"/>
    <w:rsid w:val="00A07AC1"/>
    <w:rsid w:val="00A07CB4"/>
    <w:rsid w:val="00A101F0"/>
    <w:rsid w:val="00A11002"/>
    <w:rsid w:val="00A118BD"/>
    <w:rsid w:val="00A12301"/>
    <w:rsid w:val="00A146E2"/>
    <w:rsid w:val="00A15A5B"/>
    <w:rsid w:val="00A1706A"/>
    <w:rsid w:val="00A205F5"/>
    <w:rsid w:val="00A20B3F"/>
    <w:rsid w:val="00A211B4"/>
    <w:rsid w:val="00A21A40"/>
    <w:rsid w:val="00A22030"/>
    <w:rsid w:val="00A22225"/>
    <w:rsid w:val="00A23052"/>
    <w:rsid w:val="00A23F77"/>
    <w:rsid w:val="00A24757"/>
    <w:rsid w:val="00A24C71"/>
    <w:rsid w:val="00A25F31"/>
    <w:rsid w:val="00A26CDD"/>
    <w:rsid w:val="00A30385"/>
    <w:rsid w:val="00A32429"/>
    <w:rsid w:val="00A32A3F"/>
    <w:rsid w:val="00A32C7B"/>
    <w:rsid w:val="00A353C9"/>
    <w:rsid w:val="00A35831"/>
    <w:rsid w:val="00A402C7"/>
    <w:rsid w:val="00A41712"/>
    <w:rsid w:val="00A44DE1"/>
    <w:rsid w:val="00A45980"/>
    <w:rsid w:val="00A4598C"/>
    <w:rsid w:val="00A469F5"/>
    <w:rsid w:val="00A47272"/>
    <w:rsid w:val="00A474B4"/>
    <w:rsid w:val="00A478E4"/>
    <w:rsid w:val="00A47976"/>
    <w:rsid w:val="00A5363B"/>
    <w:rsid w:val="00A543E0"/>
    <w:rsid w:val="00A54B60"/>
    <w:rsid w:val="00A56C40"/>
    <w:rsid w:val="00A619C8"/>
    <w:rsid w:val="00A61A5A"/>
    <w:rsid w:val="00A64245"/>
    <w:rsid w:val="00A65D55"/>
    <w:rsid w:val="00A66876"/>
    <w:rsid w:val="00A73551"/>
    <w:rsid w:val="00A74448"/>
    <w:rsid w:val="00A74E36"/>
    <w:rsid w:val="00A776F6"/>
    <w:rsid w:val="00A77DE1"/>
    <w:rsid w:val="00A811F6"/>
    <w:rsid w:val="00A81F63"/>
    <w:rsid w:val="00A82F54"/>
    <w:rsid w:val="00A8383E"/>
    <w:rsid w:val="00A84AAE"/>
    <w:rsid w:val="00A863FB"/>
    <w:rsid w:val="00A87BDA"/>
    <w:rsid w:val="00A9111F"/>
    <w:rsid w:val="00A92D70"/>
    <w:rsid w:val="00A9407A"/>
    <w:rsid w:val="00A94ACD"/>
    <w:rsid w:val="00A94EE3"/>
    <w:rsid w:val="00A95DD0"/>
    <w:rsid w:val="00A96FF5"/>
    <w:rsid w:val="00A97588"/>
    <w:rsid w:val="00AA0680"/>
    <w:rsid w:val="00AA1150"/>
    <w:rsid w:val="00AA192D"/>
    <w:rsid w:val="00AA1DCA"/>
    <w:rsid w:val="00AA47EB"/>
    <w:rsid w:val="00AB0AE4"/>
    <w:rsid w:val="00AB0C11"/>
    <w:rsid w:val="00AB162B"/>
    <w:rsid w:val="00AB1E8B"/>
    <w:rsid w:val="00AB2B99"/>
    <w:rsid w:val="00AB2D53"/>
    <w:rsid w:val="00AB371D"/>
    <w:rsid w:val="00AB3A6D"/>
    <w:rsid w:val="00AB4544"/>
    <w:rsid w:val="00AB6109"/>
    <w:rsid w:val="00AB6369"/>
    <w:rsid w:val="00AB733C"/>
    <w:rsid w:val="00AB746E"/>
    <w:rsid w:val="00AC10FE"/>
    <w:rsid w:val="00AC137D"/>
    <w:rsid w:val="00AC176C"/>
    <w:rsid w:val="00AC2379"/>
    <w:rsid w:val="00AC339D"/>
    <w:rsid w:val="00AC5B78"/>
    <w:rsid w:val="00AC618C"/>
    <w:rsid w:val="00AC747B"/>
    <w:rsid w:val="00AC7554"/>
    <w:rsid w:val="00AC7800"/>
    <w:rsid w:val="00AC7C38"/>
    <w:rsid w:val="00AC7E1F"/>
    <w:rsid w:val="00AD0434"/>
    <w:rsid w:val="00AD172C"/>
    <w:rsid w:val="00AD1ABE"/>
    <w:rsid w:val="00AD3141"/>
    <w:rsid w:val="00AD480B"/>
    <w:rsid w:val="00AD4862"/>
    <w:rsid w:val="00AD4B4E"/>
    <w:rsid w:val="00AD4C3F"/>
    <w:rsid w:val="00AD5FB1"/>
    <w:rsid w:val="00AE1443"/>
    <w:rsid w:val="00AE32B0"/>
    <w:rsid w:val="00AE4AF9"/>
    <w:rsid w:val="00AE755D"/>
    <w:rsid w:val="00AE7769"/>
    <w:rsid w:val="00AF0A91"/>
    <w:rsid w:val="00AF0AC1"/>
    <w:rsid w:val="00AF1BC8"/>
    <w:rsid w:val="00AF2E9C"/>
    <w:rsid w:val="00AF325A"/>
    <w:rsid w:val="00AF3E92"/>
    <w:rsid w:val="00AF4545"/>
    <w:rsid w:val="00AF4A56"/>
    <w:rsid w:val="00AF71D9"/>
    <w:rsid w:val="00AF7D7D"/>
    <w:rsid w:val="00B00942"/>
    <w:rsid w:val="00B0148A"/>
    <w:rsid w:val="00B047EE"/>
    <w:rsid w:val="00B06954"/>
    <w:rsid w:val="00B07468"/>
    <w:rsid w:val="00B075CD"/>
    <w:rsid w:val="00B106E8"/>
    <w:rsid w:val="00B133F9"/>
    <w:rsid w:val="00B1340D"/>
    <w:rsid w:val="00B13F34"/>
    <w:rsid w:val="00B171BA"/>
    <w:rsid w:val="00B20BD9"/>
    <w:rsid w:val="00B22AED"/>
    <w:rsid w:val="00B237A0"/>
    <w:rsid w:val="00B251C7"/>
    <w:rsid w:val="00B26C25"/>
    <w:rsid w:val="00B27579"/>
    <w:rsid w:val="00B30FC7"/>
    <w:rsid w:val="00B32682"/>
    <w:rsid w:val="00B32D6F"/>
    <w:rsid w:val="00B336EB"/>
    <w:rsid w:val="00B339FD"/>
    <w:rsid w:val="00B35314"/>
    <w:rsid w:val="00B3720F"/>
    <w:rsid w:val="00B4049F"/>
    <w:rsid w:val="00B4147B"/>
    <w:rsid w:val="00B4162D"/>
    <w:rsid w:val="00B42672"/>
    <w:rsid w:val="00B426C6"/>
    <w:rsid w:val="00B42ADA"/>
    <w:rsid w:val="00B42D4C"/>
    <w:rsid w:val="00B42EB6"/>
    <w:rsid w:val="00B43120"/>
    <w:rsid w:val="00B44233"/>
    <w:rsid w:val="00B44442"/>
    <w:rsid w:val="00B45D68"/>
    <w:rsid w:val="00B4614D"/>
    <w:rsid w:val="00B461F1"/>
    <w:rsid w:val="00B51665"/>
    <w:rsid w:val="00B52463"/>
    <w:rsid w:val="00B53346"/>
    <w:rsid w:val="00B5362B"/>
    <w:rsid w:val="00B5436D"/>
    <w:rsid w:val="00B54BEB"/>
    <w:rsid w:val="00B54D53"/>
    <w:rsid w:val="00B57445"/>
    <w:rsid w:val="00B6060F"/>
    <w:rsid w:val="00B60F1E"/>
    <w:rsid w:val="00B61269"/>
    <w:rsid w:val="00B6396A"/>
    <w:rsid w:val="00B6579A"/>
    <w:rsid w:val="00B65F87"/>
    <w:rsid w:val="00B66329"/>
    <w:rsid w:val="00B66820"/>
    <w:rsid w:val="00B70BD5"/>
    <w:rsid w:val="00B70CAC"/>
    <w:rsid w:val="00B71B06"/>
    <w:rsid w:val="00B748EF"/>
    <w:rsid w:val="00B76531"/>
    <w:rsid w:val="00B77257"/>
    <w:rsid w:val="00B777AF"/>
    <w:rsid w:val="00B80773"/>
    <w:rsid w:val="00B82D68"/>
    <w:rsid w:val="00B83DD7"/>
    <w:rsid w:val="00B84AC2"/>
    <w:rsid w:val="00B84FB5"/>
    <w:rsid w:val="00B86743"/>
    <w:rsid w:val="00B90424"/>
    <w:rsid w:val="00B927DE"/>
    <w:rsid w:val="00B927EC"/>
    <w:rsid w:val="00B92D1A"/>
    <w:rsid w:val="00B92E1B"/>
    <w:rsid w:val="00B932CE"/>
    <w:rsid w:val="00B972E1"/>
    <w:rsid w:val="00B97F95"/>
    <w:rsid w:val="00BA023C"/>
    <w:rsid w:val="00BA117A"/>
    <w:rsid w:val="00BA18DD"/>
    <w:rsid w:val="00BA22F4"/>
    <w:rsid w:val="00BA30DB"/>
    <w:rsid w:val="00BA335B"/>
    <w:rsid w:val="00BA441A"/>
    <w:rsid w:val="00BA46D2"/>
    <w:rsid w:val="00BA5890"/>
    <w:rsid w:val="00BA5C99"/>
    <w:rsid w:val="00BA61D2"/>
    <w:rsid w:val="00BA6C63"/>
    <w:rsid w:val="00BA773C"/>
    <w:rsid w:val="00BB0610"/>
    <w:rsid w:val="00BB0DC8"/>
    <w:rsid w:val="00BB1B69"/>
    <w:rsid w:val="00BB2003"/>
    <w:rsid w:val="00BB4D3D"/>
    <w:rsid w:val="00BB726E"/>
    <w:rsid w:val="00BC1F08"/>
    <w:rsid w:val="00BC2390"/>
    <w:rsid w:val="00BC27BE"/>
    <w:rsid w:val="00BC3719"/>
    <w:rsid w:val="00BC3D0D"/>
    <w:rsid w:val="00BC4C44"/>
    <w:rsid w:val="00BC7BB6"/>
    <w:rsid w:val="00BD03F1"/>
    <w:rsid w:val="00BD3C50"/>
    <w:rsid w:val="00BD528A"/>
    <w:rsid w:val="00BD5FE9"/>
    <w:rsid w:val="00BD65E7"/>
    <w:rsid w:val="00BD6B82"/>
    <w:rsid w:val="00BD7DC4"/>
    <w:rsid w:val="00BE1032"/>
    <w:rsid w:val="00BE3188"/>
    <w:rsid w:val="00BE3B32"/>
    <w:rsid w:val="00BE681C"/>
    <w:rsid w:val="00BE7993"/>
    <w:rsid w:val="00BF01A8"/>
    <w:rsid w:val="00BF2278"/>
    <w:rsid w:val="00BF2659"/>
    <w:rsid w:val="00BF2EE9"/>
    <w:rsid w:val="00BF30AD"/>
    <w:rsid w:val="00BF3A8B"/>
    <w:rsid w:val="00BF497C"/>
    <w:rsid w:val="00BF56AF"/>
    <w:rsid w:val="00BF66A5"/>
    <w:rsid w:val="00BF785D"/>
    <w:rsid w:val="00C02FCC"/>
    <w:rsid w:val="00C0323B"/>
    <w:rsid w:val="00C03684"/>
    <w:rsid w:val="00C03865"/>
    <w:rsid w:val="00C0775D"/>
    <w:rsid w:val="00C1141D"/>
    <w:rsid w:val="00C12A0C"/>
    <w:rsid w:val="00C12CC6"/>
    <w:rsid w:val="00C1483D"/>
    <w:rsid w:val="00C16F0B"/>
    <w:rsid w:val="00C17FCA"/>
    <w:rsid w:val="00C22EEB"/>
    <w:rsid w:val="00C2383D"/>
    <w:rsid w:val="00C308F0"/>
    <w:rsid w:val="00C30E57"/>
    <w:rsid w:val="00C336B5"/>
    <w:rsid w:val="00C33E4F"/>
    <w:rsid w:val="00C367D9"/>
    <w:rsid w:val="00C36D51"/>
    <w:rsid w:val="00C37477"/>
    <w:rsid w:val="00C374BC"/>
    <w:rsid w:val="00C4021F"/>
    <w:rsid w:val="00C4185C"/>
    <w:rsid w:val="00C41E87"/>
    <w:rsid w:val="00C42125"/>
    <w:rsid w:val="00C42565"/>
    <w:rsid w:val="00C43CF8"/>
    <w:rsid w:val="00C43FE9"/>
    <w:rsid w:val="00C461D1"/>
    <w:rsid w:val="00C47559"/>
    <w:rsid w:val="00C50314"/>
    <w:rsid w:val="00C50786"/>
    <w:rsid w:val="00C52CC0"/>
    <w:rsid w:val="00C575F7"/>
    <w:rsid w:val="00C609CE"/>
    <w:rsid w:val="00C611A0"/>
    <w:rsid w:val="00C65638"/>
    <w:rsid w:val="00C65650"/>
    <w:rsid w:val="00C67EAD"/>
    <w:rsid w:val="00C67F99"/>
    <w:rsid w:val="00C71822"/>
    <w:rsid w:val="00C74583"/>
    <w:rsid w:val="00C75192"/>
    <w:rsid w:val="00C76A15"/>
    <w:rsid w:val="00C76C16"/>
    <w:rsid w:val="00C8103B"/>
    <w:rsid w:val="00C812E9"/>
    <w:rsid w:val="00C816D7"/>
    <w:rsid w:val="00C81B19"/>
    <w:rsid w:val="00C863F0"/>
    <w:rsid w:val="00C91730"/>
    <w:rsid w:val="00C92152"/>
    <w:rsid w:val="00C92477"/>
    <w:rsid w:val="00C9272C"/>
    <w:rsid w:val="00C93262"/>
    <w:rsid w:val="00C933A1"/>
    <w:rsid w:val="00C938E9"/>
    <w:rsid w:val="00C943D2"/>
    <w:rsid w:val="00C950A8"/>
    <w:rsid w:val="00C95BD7"/>
    <w:rsid w:val="00C97672"/>
    <w:rsid w:val="00CA0532"/>
    <w:rsid w:val="00CA0793"/>
    <w:rsid w:val="00CA0BB9"/>
    <w:rsid w:val="00CA281E"/>
    <w:rsid w:val="00CA292F"/>
    <w:rsid w:val="00CA2A0C"/>
    <w:rsid w:val="00CA3331"/>
    <w:rsid w:val="00CA4C24"/>
    <w:rsid w:val="00CA4EE4"/>
    <w:rsid w:val="00CA6130"/>
    <w:rsid w:val="00CA6967"/>
    <w:rsid w:val="00CA6D83"/>
    <w:rsid w:val="00CB3A71"/>
    <w:rsid w:val="00CB4197"/>
    <w:rsid w:val="00CB43FA"/>
    <w:rsid w:val="00CB513F"/>
    <w:rsid w:val="00CB66E7"/>
    <w:rsid w:val="00CC1208"/>
    <w:rsid w:val="00CC1C9F"/>
    <w:rsid w:val="00CC2425"/>
    <w:rsid w:val="00CC3774"/>
    <w:rsid w:val="00CC4909"/>
    <w:rsid w:val="00CC491B"/>
    <w:rsid w:val="00CC69CE"/>
    <w:rsid w:val="00CC77D0"/>
    <w:rsid w:val="00CD0515"/>
    <w:rsid w:val="00CD342C"/>
    <w:rsid w:val="00CD3594"/>
    <w:rsid w:val="00CD4791"/>
    <w:rsid w:val="00CD48A8"/>
    <w:rsid w:val="00CE0C2D"/>
    <w:rsid w:val="00CE0E14"/>
    <w:rsid w:val="00CE1CE1"/>
    <w:rsid w:val="00CE224E"/>
    <w:rsid w:val="00CE3B1A"/>
    <w:rsid w:val="00CE3BDA"/>
    <w:rsid w:val="00CF10CE"/>
    <w:rsid w:val="00CF3508"/>
    <w:rsid w:val="00CF3C6C"/>
    <w:rsid w:val="00CF4AF0"/>
    <w:rsid w:val="00CF5457"/>
    <w:rsid w:val="00CF5DD0"/>
    <w:rsid w:val="00CF64DD"/>
    <w:rsid w:val="00CF7AE2"/>
    <w:rsid w:val="00CF7B00"/>
    <w:rsid w:val="00D008D4"/>
    <w:rsid w:val="00D0140C"/>
    <w:rsid w:val="00D03FC5"/>
    <w:rsid w:val="00D04ACC"/>
    <w:rsid w:val="00D04D79"/>
    <w:rsid w:val="00D04D91"/>
    <w:rsid w:val="00D05125"/>
    <w:rsid w:val="00D06D73"/>
    <w:rsid w:val="00D0705A"/>
    <w:rsid w:val="00D07096"/>
    <w:rsid w:val="00D10133"/>
    <w:rsid w:val="00D105F2"/>
    <w:rsid w:val="00D11D9A"/>
    <w:rsid w:val="00D11E45"/>
    <w:rsid w:val="00D11F13"/>
    <w:rsid w:val="00D1204B"/>
    <w:rsid w:val="00D12F63"/>
    <w:rsid w:val="00D14A8F"/>
    <w:rsid w:val="00D16E01"/>
    <w:rsid w:val="00D20016"/>
    <w:rsid w:val="00D2027E"/>
    <w:rsid w:val="00D22BC7"/>
    <w:rsid w:val="00D23485"/>
    <w:rsid w:val="00D23D98"/>
    <w:rsid w:val="00D24E62"/>
    <w:rsid w:val="00D25146"/>
    <w:rsid w:val="00D260EF"/>
    <w:rsid w:val="00D30F3F"/>
    <w:rsid w:val="00D32695"/>
    <w:rsid w:val="00D332ED"/>
    <w:rsid w:val="00D34D93"/>
    <w:rsid w:val="00D35602"/>
    <w:rsid w:val="00D42BEF"/>
    <w:rsid w:val="00D43033"/>
    <w:rsid w:val="00D43D32"/>
    <w:rsid w:val="00D469A9"/>
    <w:rsid w:val="00D46DB1"/>
    <w:rsid w:val="00D46F07"/>
    <w:rsid w:val="00D50C87"/>
    <w:rsid w:val="00D50F3C"/>
    <w:rsid w:val="00D524C4"/>
    <w:rsid w:val="00D55414"/>
    <w:rsid w:val="00D56F54"/>
    <w:rsid w:val="00D5723F"/>
    <w:rsid w:val="00D574EA"/>
    <w:rsid w:val="00D619FB"/>
    <w:rsid w:val="00D61CBD"/>
    <w:rsid w:val="00D65B16"/>
    <w:rsid w:val="00D67694"/>
    <w:rsid w:val="00D7297C"/>
    <w:rsid w:val="00D72B60"/>
    <w:rsid w:val="00D805E1"/>
    <w:rsid w:val="00D805E7"/>
    <w:rsid w:val="00D806AF"/>
    <w:rsid w:val="00D81000"/>
    <w:rsid w:val="00D83650"/>
    <w:rsid w:val="00D85DC8"/>
    <w:rsid w:val="00D86FB5"/>
    <w:rsid w:val="00D921B0"/>
    <w:rsid w:val="00D960D5"/>
    <w:rsid w:val="00D96855"/>
    <w:rsid w:val="00D97CD8"/>
    <w:rsid w:val="00DA0F82"/>
    <w:rsid w:val="00DA18A2"/>
    <w:rsid w:val="00DA226B"/>
    <w:rsid w:val="00DA296C"/>
    <w:rsid w:val="00DA44C6"/>
    <w:rsid w:val="00DB00D1"/>
    <w:rsid w:val="00DB098A"/>
    <w:rsid w:val="00DB1996"/>
    <w:rsid w:val="00DB27AB"/>
    <w:rsid w:val="00DB2DFE"/>
    <w:rsid w:val="00DB2F75"/>
    <w:rsid w:val="00DB7667"/>
    <w:rsid w:val="00DB7A98"/>
    <w:rsid w:val="00DB7FA1"/>
    <w:rsid w:val="00DC069B"/>
    <w:rsid w:val="00DC31DB"/>
    <w:rsid w:val="00DC3C2B"/>
    <w:rsid w:val="00DC5B3E"/>
    <w:rsid w:val="00DC750D"/>
    <w:rsid w:val="00DC77EC"/>
    <w:rsid w:val="00DD06AE"/>
    <w:rsid w:val="00DD278E"/>
    <w:rsid w:val="00DD4F11"/>
    <w:rsid w:val="00DD53C2"/>
    <w:rsid w:val="00DD7ECE"/>
    <w:rsid w:val="00DE1772"/>
    <w:rsid w:val="00DE28C0"/>
    <w:rsid w:val="00DE454A"/>
    <w:rsid w:val="00DE527B"/>
    <w:rsid w:val="00DE5718"/>
    <w:rsid w:val="00DE6214"/>
    <w:rsid w:val="00DE6888"/>
    <w:rsid w:val="00DE79EA"/>
    <w:rsid w:val="00DE7A80"/>
    <w:rsid w:val="00DF071C"/>
    <w:rsid w:val="00DF2DEA"/>
    <w:rsid w:val="00DF2F4F"/>
    <w:rsid w:val="00DF34C1"/>
    <w:rsid w:val="00DF760D"/>
    <w:rsid w:val="00DF7CEA"/>
    <w:rsid w:val="00DF7D5A"/>
    <w:rsid w:val="00E02813"/>
    <w:rsid w:val="00E03928"/>
    <w:rsid w:val="00E04065"/>
    <w:rsid w:val="00E053C4"/>
    <w:rsid w:val="00E05FFE"/>
    <w:rsid w:val="00E101D6"/>
    <w:rsid w:val="00E103CE"/>
    <w:rsid w:val="00E1068B"/>
    <w:rsid w:val="00E11129"/>
    <w:rsid w:val="00E13ABD"/>
    <w:rsid w:val="00E14283"/>
    <w:rsid w:val="00E1564E"/>
    <w:rsid w:val="00E15EE6"/>
    <w:rsid w:val="00E17D5A"/>
    <w:rsid w:val="00E21DAB"/>
    <w:rsid w:val="00E22BF7"/>
    <w:rsid w:val="00E24B23"/>
    <w:rsid w:val="00E272D5"/>
    <w:rsid w:val="00E27EC8"/>
    <w:rsid w:val="00E308F8"/>
    <w:rsid w:val="00E329B0"/>
    <w:rsid w:val="00E3408F"/>
    <w:rsid w:val="00E34238"/>
    <w:rsid w:val="00E3552B"/>
    <w:rsid w:val="00E35B17"/>
    <w:rsid w:val="00E4028E"/>
    <w:rsid w:val="00E407E7"/>
    <w:rsid w:val="00E424E6"/>
    <w:rsid w:val="00E428F1"/>
    <w:rsid w:val="00E4387E"/>
    <w:rsid w:val="00E43B70"/>
    <w:rsid w:val="00E47049"/>
    <w:rsid w:val="00E4712C"/>
    <w:rsid w:val="00E50D6F"/>
    <w:rsid w:val="00E50F5F"/>
    <w:rsid w:val="00E5296F"/>
    <w:rsid w:val="00E53AD4"/>
    <w:rsid w:val="00E53AEF"/>
    <w:rsid w:val="00E53C47"/>
    <w:rsid w:val="00E54D0F"/>
    <w:rsid w:val="00E54F45"/>
    <w:rsid w:val="00E55029"/>
    <w:rsid w:val="00E55595"/>
    <w:rsid w:val="00E609F5"/>
    <w:rsid w:val="00E6209D"/>
    <w:rsid w:val="00E63AFF"/>
    <w:rsid w:val="00E64936"/>
    <w:rsid w:val="00E65340"/>
    <w:rsid w:val="00E666E0"/>
    <w:rsid w:val="00E67D60"/>
    <w:rsid w:val="00E7166C"/>
    <w:rsid w:val="00E717BB"/>
    <w:rsid w:val="00E728C3"/>
    <w:rsid w:val="00E73B45"/>
    <w:rsid w:val="00E73C30"/>
    <w:rsid w:val="00E7552B"/>
    <w:rsid w:val="00E80207"/>
    <w:rsid w:val="00E80EDC"/>
    <w:rsid w:val="00E8105C"/>
    <w:rsid w:val="00E8424A"/>
    <w:rsid w:val="00E84BB9"/>
    <w:rsid w:val="00E85211"/>
    <w:rsid w:val="00E85DBA"/>
    <w:rsid w:val="00E87B6D"/>
    <w:rsid w:val="00E914B1"/>
    <w:rsid w:val="00E9188C"/>
    <w:rsid w:val="00E91898"/>
    <w:rsid w:val="00E91D28"/>
    <w:rsid w:val="00E91EBF"/>
    <w:rsid w:val="00E944B8"/>
    <w:rsid w:val="00E9580A"/>
    <w:rsid w:val="00E96E1F"/>
    <w:rsid w:val="00EA1A85"/>
    <w:rsid w:val="00EA1FAD"/>
    <w:rsid w:val="00EA450D"/>
    <w:rsid w:val="00EA5126"/>
    <w:rsid w:val="00EA7A01"/>
    <w:rsid w:val="00EA7BF3"/>
    <w:rsid w:val="00EB0CF3"/>
    <w:rsid w:val="00EB35CF"/>
    <w:rsid w:val="00EB3A1E"/>
    <w:rsid w:val="00EB4D22"/>
    <w:rsid w:val="00EB619A"/>
    <w:rsid w:val="00EB78EF"/>
    <w:rsid w:val="00EB7F63"/>
    <w:rsid w:val="00EC1727"/>
    <w:rsid w:val="00EC2056"/>
    <w:rsid w:val="00EC252F"/>
    <w:rsid w:val="00EC282D"/>
    <w:rsid w:val="00EC3055"/>
    <w:rsid w:val="00EC4D05"/>
    <w:rsid w:val="00EC5C1B"/>
    <w:rsid w:val="00EC5DEE"/>
    <w:rsid w:val="00EC6103"/>
    <w:rsid w:val="00EC7F3E"/>
    <w:rsid w:val="00ED066A"/>
    <w:rsid w:val="00ED111D"/>
    <w:rsid w:val="00ED1E9F"/>
    <w:rsid w:val="00ED2ACA"/>
    <w:rsid w:val="00ED2D39"/>
    <w:rsid w:val="00ED54AA"/>
    <w:rsid w:val="00ED6BFA"/>
    <w:rsid w:val="00ED7EC0"/>
    <w:rsid w:val="00EE03D0"/>
    <w:rsid w:val="00EE16BC"/>
    <w:rsid w:val="00EE2119"/>
    <w:rsid w:val="00EE2808"/>
    <w:rsid w:val="00EE321E"/>
    <w:rsid w:val="00EE38D3"/>
    <w:rsid w:val="00EE657C"/>
    <w:rsid w:val="00EF08DC"/>
    <w:rsid w:val="00EF1379"/>
    <w:rsid w:val="00EF1D33"/>
    <w:rsid w:val="00EF43F9"/>
    <w:rsid w:val="00EF52DE"/>
    <w:rsid w:val="00EF56D0"/>
    <w:rsid w:val="00EF5D8B"/>
    <w:rsid w:val="00EF5FFA"/>
    <w:rsid w:val="00EF7293"/>
    <w:rsid w:val="00EF7599"/>
    <w:rsid w:val="00EF7C34"/>
    <w:rsid w:val="00F00D6F"/>
    <w:rsid w:val="00F01078"/>
    <w:rsid w:val="00F02090"/>
    <w:rsid w:val="00F0306F"/>
    <w:rsid w:val="00F10B72"/>
    <w:rsid w:val="00F11651"/>
    <w:rsid w:val="00F126C7"/>
    <w:rsid w:val="00F143FD"/>
    <w:rsid w:val="00F14AA5"/>
    <w:rsid w:val="00F14BB6"/>
    <w:rsid w:val="00F1604F"/>
    <w:rsid w:val="00F164C9"/>
    <w:rsid w:val="00F16A23"/>
    <w:rsid w:val="00F17A74"/>
    <w:rsid w:val="00F2050C"/>
    <w:rsid w:val="00F21170"/>
    <w:rsid w:val="00F213E2"/>
    <w:rsid w:val="00F217DF"/>
    <w:rsid w:val="00F2275F"/>
    <w:rsid w:val="00F22FAF"/>
    <w:rsid w:val="00F240E2"/>
    <w:rsid w:val="00F249F7"/>
    <w:rsid w:val="00F25C28"/>
    <w:rsid w:val="00F306BE"/>
    <w:rsid w:val="00F323FC"/>
    <w:rsid w:val="00F33C94"/>
    <w:rsid w:val="00F351C0"/>
    <w:rsid w:val="00F414EF"/>
    <w:rsid w:val="00F428B8"/>
    <w:rsid w:val="00F47898"/>
    <w:rsid w:val="00F47A36"/>
    <w:rsid w:val="00F50717"/>
    <w:rsid w:val="00F51129"/>
    <w:rsid w:val="00F51620"/>
    <w:rsid w:val="00F539EF"/>
    <w:rsid w:val="00F53AF9"/>
    <w:rsid w:val="00F54C5B"/>
    <w:rsid w:val="00F55053"/>
    <w:rsid w:val="00F551FE"/>
    <w:rsid w:val="00F56B91"/>
    <w:rsid w:val="00F56D5C"/>
    <w:rsid w:val="00F56E41"/>
    <w:rsid w:val="00F56EC7"/>
    <w:rsid w:val="00F57686"/>
    <w:rsid w:val="00F6190F"/>
    <w:rsid w:val="00F628F8"/>
    <w:rsid w:val="00F62B32"/>
    <w:rsid w:val="00F633EA"/>
    <w:rsid w:val="00F63E84"/>
    <w:rsid w:val="00F65B24"/>
    <w:rsid w:val="00F66808"/>
    <w:rsid w:val="00F673AA"/>
    <w:rsid w:val="00F67BA6"/>
    <w:rsid w:val="00F67E3E"/>
    <w:rsid w:val="00F711B2"/>
    <w:rsid w:val="00F71A9C"/>
    <w:rsid w:val="00F72124"/>
    <w:rsid w:val="00F74633"/>
    <w:rsid w:val="00F75BAA"/>
    <w:rsid w:val="00F77664"/>
    <w:rsid w:val="00F77953"/>
    <w:rsid w:val="00F80B4E"/>
    <w:rsid w:val="00F8162D"/>
    <w:rsid w:val="00F82BA7"/>
    <w:rsid w:val="00F846FE"/>
    <w:rsid w:val="00F84B6B"/>
    <w:rsid w:val="00F8778F"/>
    <w:rsid w:val="00F877BA"/>
    <w:rsid w:val="00F90109"/>
    <w:rsid w:val="00F90769"/>
    <w:rsid w:val="00F90D3A"/>
    <w:rsid w:val="00F95352"/>
    <w:rsid w:val="00F9691B"/>
    <w:rsid w:val="00F96A3A"/>
    <w:rsid w:val="00FA024E"/>
    <w:rsid w:val="00FA329B"/>
    <w:rsid w:val="00FA3411"/>
    <w:rsid w:val="00FA3941"/>
    <w:rsid w:val="00FA3AA4"/>
    <w:rsid w:val="00FA51BD"/>
    <w:rsid w:val="00FA56BB"/>
    <w:rsid w:val="00FA66F5"/>
    <w:rsid w:val="00FB1356"/>
    <w:rsid w:val="00FB22F0"/>
    <w:rsid w:val="00FB287F"/>
    <w:rsid w:val="00FB2A41"/>
    <w:rsid w:val="00FB40C9"/>
    <w:rsid w:val="00FB439C"/>
    <w:rsid w:val="00FB6999"/>
    <w:rsid w:val="00FC194D"/>
    <w:rsid w:val="00FC1D3F"/>
    <w:rsid w:val="00FC2D89"/>
    <w:rsid w:val="00FC4C54"/>
    <w:rsid w:val="00FC5895"/>
    <w:rsid w:val="00FC5C0B"/>
    <w:rsid w:val="00FD093B"/>
    <w:rsid w:val="00FD09A2"/>
    <w:rsid w:val="00FD0B60"/>
    <w:rsid w:val="00FD1ED8"/>
    <w:rsid w:val="00FD3A15"/>
    <w:rsid w:val="00FD3E7B"/>
    <w:rsid w:val="00FD431F"/>
    <w:rsid w:val="00FD60B4"/>
    <w:rsid w:val="00FE1D28"/>
    <w:rsid w:val="00FE7915"/>
    <w:rsid w:val="00FF01D9"/>
    <w:rsid w:val="00FF2DEB"/>
    <w:rsid w:val="00FF3F85"/>
    <w:rsid w:val="00FF4941"/>
    <w:rsid w:val="00FF4EAF"/>
    <w:rsid w:val="00FF4F50"/>
    <w:rsid w:val="00FF6138"/>
    <w:rsid w:val="00FF7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00B8C9-9445-4AE2-B8EF-089BE0E4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7941"/>
    <w:pPr>
      <w:spacing w:line="360" w:lineRule="auto"/>
    </w:pPr>
    <w:rPr>
      <w:rFonts w:ascii="Arial" w:hAnsi="Arial"/>
      <w:sz w:val="24"/>
      <w:szCs w:val="24"/>
    </w:rPr>
  </w:style>
  <w:style w:type="paragraph" w:styleId="Nagwek1">
    <w:name w:val="heading 1"/>
    <w:aliases w:val="podrozdział"/>
    <w:basedOn w:val="Normalny"/>
    <w:next w:val="Normalny"/>
    <w:qFormat/>
    <w:rsid w:val="008E7C03"/>
    <w:pPr>
      <w:keepNext/>
      <w:jc w:val="right"/>
      <w:outlineLvl w:val="0"/>
    </w:pPr>
    <w:rPr>
      <w:rFonts w:cs="Arial"/>
      <w:b/>
      <w:bCs/>
      <w:kern w:val="32"/>
      <w:sz w:val="40"/>
      <w:szCs w:val="32"/>
    </w:rPr>
  </w:style>
  <w:style w:type="paragraph" w:styleId="Nagwek2">
    <w:name w:val="heading 2"/>
    <w:aliases w:val=" Znak"/>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C71822"/>
    <w:pPr>
      <w:keepNext/>
      <w:jc w:val="right"/>
      <w:outlineLvl w:val="3"/>
    </w:pPr>
    <w:rPr>
      <w:bCs/>
      <w:sz w:val="30"/>
      <w:szCs w:val="20"/>
    </w:rPr>
  </w:style>
  <w:style w:type="paragraph" w:styleId="Nagwek5">
    <w:name w:val="heading 5"/>
    <w:basedOn w:val="Normalny"/>
    <w:next w:val="Normalny"/>
    <w:qFormat/>
    <w:rsid w:val="00A20B3F"/>
    <w:pPr>
      <w:outlineLvl w:val="4"/>
    </w:pPr>
    <w:rPr>
      <w:bCs/>
      <w:i/>
      <w:iCs/>
      <w:sz w:val="20"/>
      <w:szCs w:val="26"/>
    </w:rPr>
  </w:style>
  <w:style w:type="paragraph" w:styleId="Nagwek6">
    <w:name w:val="heading 6"/>
    <w:basedOn w:val="Normalny"/>
    <w:next w:val="Normalny"/>
    <w:link w:val="Nagwek6Znak"/>
    <w:qFormat/>
    <w:rsid w:val="008E7C03"/>
    <w:pPr>
      <w:ind w:left="709" w:hanging="709"/>
      <w:outlineLvl w:val="5"/>
    </w:pPr>
    <w:rPr>
      <w:bCs/>
      <w:i/>
      <w:sz w:val="20"/>
      <w:szCs w:val="22"/>
    </w:rPr>
  </w:style>
  <w:style w:type="paragraph" w:styleId="Nagwek7">
    <w:name w:val="heading 7"/>
    <w:basedOn w:val="Nagwek6"/>
    <w:next w:val="Normalny"/>
    <w:link w:val="Nagwek7Znak"/>
    <w:qFormat/>
    <w:rsid w:val="002A62C3"/>
    <w:pPr>
      <w:ind w:left="0" w:firstLine="0"/>
      <w:outlineLvl w:val="6"/>
    </w:pPr>
    <w:rPr>
      <w:lang w:val="x-none" w:eastAsia="x-none"/>
    </w:rPr>
  </w:style>
  <w:style w:type="paragraph" w:styleId="Nagwek8">
    <w:name w:val="heading 8"/>
    <w:basedOn w:val="Normalny"/>
    <w:next w:val="Normalny"/>
    <w:link w:val="Nagwek8Znak"/>
    <w:qFormat/>
    <w:rsid w:val="00142694"/>
    <w:pPr>
      <w:spacing w:before="240" w:after="60"/>
      <w:outlineLvl w:val="7"/>
    </w:pPr>
    <w:rPr>
      <w:i/>
      <w:iCs/>
      <w:sz w:val="20"/>
      <w:lang w:val="x-none" w:eastAsia="x-none"/>
    </w:rPr>
  </w:style>
  <w:style w:type="paragraph" w:styleId="Nagwek9">
    <w:name w:val="heading 9"/>
    <w:basedOn w:val="Normalny"/>
    <w:next w:val="Normalny"/>
    <w:link w:val="Nagwek9Znak"/>
    <w:qFormat/>
    <w:rsid w:val="00142694"/>
    <w:pPr>
      <w:keepNext/>
      <w:spacing w:before="120" w:after="120"/>
      <w:jc w:val="center"/>
      <w:outlineLvl w:val="8"/>
    </w:pPr>
    <w:rPr>
      <w:rFonts w:ascii="Times New Roman" w:hAnsi="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 Znak"/>
    <w:link w:val="Nagwek2"/>
    <w:rsid w:val="008E7C03"/>
    <w:rPr>
      <w:rFonts w:ascii="Arial" w:hAnsi="Arial" w:cs="Arial"/>
      <w:b/>
      <w:bCs/>
      <w:iCs/>
      <w:sz w:val="36"/>
      <w:szCs w:val="28"/>
      <w:lang w:val="pl-PL" w:eastAsia="pl-PL" w:bidi="ar-SA"/>
    </w:rPr>
  </w:style>
  <w:style w:type="character" w:customStyle="1" w:styleId="Nagwek6Znak">
    <w:name w:val="Nagłówek 6 Znak"/>
    <w:link w:val="Nagwek6"/>
    <w:rsid w:val="00C71822"/>
    <w:rPr>
      <w:rFonts w:ascii="Arial" w:hAnsi="Arial"/>
      <w:bCs/>
      <w:i/>
      <w:szCs w:val="22"/>
      <w:lang w:val="pl-PL" w:eastAsia="pl-PL" w:bidi="ar-SA"/>
    </w:rPr>
  </w:style>
  <w:style w:type="character" w:customStyle="1" w:styleId="Nagwek7Znak">
    <w:name w:val="Nagłówek 7 Znak"/>
    <w:link w:val="Nagwek7"/>
    <w:rsid w:val="002A62C3"/>
    <w:rPr>
      <w:rFonts w:ascii="Arial" w:hAnsi="Arial"/>
      <w:bCs/>
      <w:i/>
      <w:szCs w:val="22"/>
    </w:rPr>
  </w:style>
  <w:style w:type="character" w:customStyle="1" w:styleId="Nagwek8Znak">
    <w:name w:val="Nagłówek 8 Znak"/>
    <w:link w:val="Nagwek8"/>
    <w:rsid w:val="00142694"/>
    <w:rPr>
      <w:rFonts w:ascii="Arial" w:hAnsi="Arial"/>
      <w:i/>
      <w:iCs/>
      <w:szCs w:val="24"/>
    </w:rPr>
  </w:style>
  <w:style w:type="character" w:customStyle="1" w:styleId="Nagwek9Znak">
    <w:name w:val="Nagłówek 9 Znak"/>
    <w:link w:val="Nagwek9"/>
    <w:rsid w:val="00142694"/>
    <w:rPr>
      <w:sz w:val="24"/>
    </w:rPr>
  </w:style>
  <w:style w:type="paragraph" w:styleId="Spistreci5">
    <w:name w:val="toc 5"/>
    <w:basedOn w:val="Normalny"/>
    <w:next w:val="Normalny"/>
    <w:autoRedefine/>
    <w:uiPriority w:val="39"/>
    <w:rsid w:val="002A62C3"/>
    <w:pPr>
      <w:tabs>
        <w:tab w:val="right" w:leader="dot" w:pos="9062"/>
      </w:tabs>
      <w:ind w:left="567" w:hanging="283"/>
    </w:pPr>
    <w:rPr>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CF5457"/>
    <w:pPr>
      <w:tabs>
        <w:tab w:val="right" w:leader="dot" w:pos="9062"/>
      </w:tabs>
      <w:spacing w:before="120" w:line="480" w:lineRule="auto"/>
      <w:ind w:left="142" w:hanging="218"/>
    </w:pPr>
    <w:rPr>
      <w:b/>
      <w:noProof/>
      <w:sz w:val="16"/>
    </w:rPr>
  </w:style>
  <w:style w:type="paragraph" w:styleId="Spistreci4">
    <w:name w:val="toc 4"/>
    <w:basedOn w:val="Normalny"/>
    <w:next w:val="Normalny"/>
    <w:autoRedefine/>
    <w:uiPriority w:val="39"/>
    <w:rsid w:val="00E67D60"/>
    <w:pPr>
      <w:tabs>
        <w:tab w:val="right" w:leader="dot" w:pos="9062"/>
      </w:tabs>
      <w:ind w:left="568" w:hanging="284"/>
    </w:pPr>
    <w:rPr>
      <w:noProof/>
      <w:sz w:val="16"/>
    </w:rPr>
  </w:style>
  <w:style w:type="paragraph" w:styleId="Spistreci2">
    <w:name w:val="toc 2"/>
    <w:basedOn w:val="Normalny"/>
    <w:next w:val="Normalny"/>
    <w:autoRedefine/>
    <w:uiPriority w:val="39"/>
    <w:rsid w:val="00DE6214"/>
    <w:pPr>
      <w:tabs>
        <w:tab w:val="left" w:pos="1134"/>
        <w:tab w:val="right" w:leader="dot" w:pos="9062"/>
      </w:tabs>
      <w:spacing w:line="480" w:lineRule="auto"/>
      <w:ind w:left="1134" w:hanging="454"/>
    </w:pPr>
    <w:rPr>
      <w:caps/>
      <w:noProof/>
      <w:sz w:val="18"/>
      <w:szCs w:val="16"/>
    </w:rPr>
  </w:style>
  <w:style w:type="paragraph" w:styleId="Spistreci3">
    <w:name w:val="toc 3"/>
    <w:basedOn w:val="Normalny"/>
    <w:next w:val="Normalny"/>
    <w:autoRedefine/>
    <w:uiPriority w:val="39"/>
    <w:rsid w:val="00E63AFF"/>
    <w:pPr>
      <w:tabs>
        <w:tab w:val="left" w:pos="1928"/>
        <w:tab w:val="right" w:leader="dot" w:pos="9062"/>
      </w:tabs>
      <w:spacing w:line="480" w:lineRule="auto"/>
      <w:ind w:left="2041" w:hanging="737"/>
    </w:pPr>
    <w:rPr>
      <w:noProof/>
      <w:sz w:val="18"/>
    </w:rPr>
  </w:style>
  <w:style w:type="paragraph" w:styleId="Spistreci6">
    <w:name w:val="toc 6"/>
    <w:basedOn w:val="Normalny"/>
    <w:next w:val="Normalny"/>
    <w:autoRedefine/>
    <w:uiPriority w:val="39"/>
    <w:rsid w:val="00501A2A"/>
    <w:pPr>
      <w:tabs>
        <w:tab w:val="left" w:pos="1701"/>
        <w:tab w:val="right" w:leader="dot" w:pos="9062"/>
      </w:tabs>
      <w:ind w:left="1701" w:hanging="425"/>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aliases w:val="Nagłówek Znak Znak Znak Znak Znak,Nagłówek strony"/>
    <w:basedOn w:val="Normalny"/>
    <w:link w:val="NagwekZnak"/>
    <w:rsid w:val="00394256"/>
    <w:pPr>
      <w:tabs>
        <w:tab w:val="center" w:pos="4536"/>
        <w:tab w:val="right" w:pos="9072"/>
      </w:tabs>
    </w:pPr>
    <w:rPr>
      <w:lang w:val="x-none" w:eastAsia="x-none"/>
    </w:rPr>
  </w:style>
  <w:style w:type="character" w:customStyle="1" w:styleId="NagwekZnak">
    <w:name w:val="Nagłówek Znak"/>
    <w:aliases w:val="Nagłówek Znak Znak Znak Znak Znak Znak1,Nagłówek strony Znak"/>
    <w:link w:val="Nagwek"/>
    <w:rsid w:val="00142694"/>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lang w:val="x-none" w:eastAsia="x-none"/>
    </w:rPr>
  </w:style>
  <w:style w:type="character" w:customStyle="1" w:styleId="TekstprzypisudolnegoZnak">
    <w:name w:val="Tekst przypisu dolnego Znak"/>
    <w:link w:val="Tekstprzypisudolnego"/>
    <w:rsid w:val="00142694"/>
    <w:rPr>
      <w:rFonts w:ascii="Arial" w:hAnsi="Arial"/>
      <w:i/>
    </w:rPr>
  </w:style>
  <w:style w:type="character" w:styleId="Odwoanieprzypisudolnego">
    <w:name w:val="footnote reference"/>
    <w:rsid w:val="00CA4C24"/>
    <w:rPr>
      <w:vertAlign w:val="superscript"/>
    </w:rPr>
  </w:style>
  <w:style w:type="paragraph" w:styleId="Tekstpodstawowywcity">
    <w:name w:val="Body Text Indent"/>
    <w:basedOn w:val="Normalny"/>
    <w:rsid w:val="007240C2"/>
    <w:pPr>
      <w:ind w:firstLine="357"/>
      <w:jc w:val="both"/>
    </w:pPr>
    <w:rPr>
      <w:rFonts w:ascii="Verdana" w:hAnsi="Verdana"/>
      <w:sz w:val="20"/>
      <w:szCs w:val="20"/>
    </w:rPr>
  </w:style>
  <w:style w:type="character" w:styleId="Odwoaniedokomentarza">
    <w:name w:val="annotation reference"/>
    <w:semiHidden/>
    <w:rsid w:val="0087657E"/>
    <w:rPr>
      <w:sz w:val="16"/>
      <w:szCs w:val="16"/>
    </w:rPr>
  </w:style>
  <w:style w:type="paragraph" w:styleId="Indeks2">
    <w:name w:val="index 2"/>
    <w:basedOn w:val="Normalny"/>
    <w:next w:val="Normalny"/>
    <w:autoRedefine/>
    <w:semiHidden/>
    <w:rsid w:val="00060D16"/>
    <w:pPr>
      <w:ind w:left="480" w:hanging="240"/>
    </w:pPr>
  </w:style>
  <w:style w:type="paragraph" w:styleId="Tekstkomentarza">
    <w:name w:val="annotation text"/>
    <w:basedOn w:val="Normalny"/>
    <w:semiHidden/>
    <w:rsid w:val="0087657E"/>
    <w:rPr>
      <w:sz w:val="20"/>
      <w:szCs w:val="20"/>
    </w:rPr>
  </w:style>
  <w:style w:type="paragraph" w:styleId="Tematkomentarza">
    <w:name w:val="annotation subject"/>
    <w:basedOn w:val="Tekstkomentarza"/>
    <w:next w:val="Tekstkomentarza"/>
    <w:semiHidden/>
    <w:rsid w:val="0087657E"/>
    <w:rPr>
      <w:b/>
      <w:bCs/>
    </w:rPr>
  </w:style>
  <w:style w:type="paragraph" w:styleId="Tekstdymka">
    <w:name w:val="Balloon Text"/>
    <w:basedOn w:val="Normalny"/>
    <w:semiHidden/>
    <w:rsid w:val="0087657E"/>
    <w:rPr>
      <w:rFonts w:ascii="Tahoma" w:hAnsi="Tahoma" w:cs="Tahoma"/>
      <w:sz w:val="16"/>
      <w:szCs w:val="16"/>
    </w:rPr>
  </w:style>
  <w:style w:type="paragraph" w:styleId="Mapadokumentu">
    <w:name w:val="Document Map"/>
    <w:basedOn w:val="Normalny"/>
    <w:semiHidden/>
    <w:rsid w:val="000F3842"/>
    <w:pPr>
      <w:shd w:val="clear" w:color="auto" w:fill="000080"/>
    </w:pPr>
    <w:rPr>
      <w:rFonts w:ascii="Tahoma" w:hAnsi="Tahoma" w:cs="Tahoma"/>
      <w:sz w:val="20"/>
      <w:szCs w:val="20"/>
    </w:rPr>
  </w:style>
  <w:style w:type="character" w:styleId="UyteHipercze">
    <w:name w:val="FollowedHyperlink"/>
    <w:rsid w:val="005C37C9"/>
    <w:rPr>
      <w:color w:val="800080"/>
      <w:u w:val="single"/>
    </w:rPr>
  </w:style>
  <w:style w:type="paragraph" w:customStyle="1" w:styleId="xl155">
    <w:name w:val="xl155"/>
    <w:basedOn w:val="Normalny"/>
    <w:rsid w:val="005C37C9"/>
    <w:pPr>
      <w:shd w:val="clear" w:color="auto" w:fill="B6D9E6"/>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6">
    <w:name w:val="xl156"/>
    <w:basedOn w:val="Normalny"/>
    <w:rsid w:val="005C37C9"/>
    <w:pPr>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7">
    <w:name w:val="xl157"/>
    <w:basedOn w:val="Normalny"/>
    <w:rsid w:val="005C37C9"/>
    <w:pPr>
      <w:spacing w:before="100" w:beforeAutospacing="1" w:after="100" w:afterAutospacing="1" w:line="240" w:lineRule="auto"/>
      <w:jc w:val="center"/>
      <w:textAlignment w:val="center"/>
    </w:pPr>
    <w:rPr>
      <w:rFonts w:ascii="Arial Narrow" w:hAnsi="Arial Narrow"/>
      <w:sz w:val="10"/>
      <w:szCs w:val="10"/>
    </w:rPr>
  </w:style>
  <w:style w:type="paragraph" w:customStyle="1" w:styleId="xl158">
    <w:name w:val="xl158"/>
    <w:basedOn w:val="Normalny"/>
    <w:rsid w:val="005C37C9"/>
    <w:pPr>
      <w:spacing w:before="100" w:beforeAutospacing="1" w:after="100" w:afterAutospacing="1" w:line="240" w:lineRule="auto"/>
      <w:jc w:val="right"/>
      <w:textAlignment w:val="center"/>
    </w:pPr>
    <w:rPr>
      <w:rFonts w:ascii="Arial Narrow" w:hAnsi="Arial Narrow"/>
      <w:sz w:val="10"/>
      <w:szCs w:val="10"/>
    </w:rPr>
  </w:style>
  <w:style w:type="paragraph" w:customStyle="1" w:styleId="xl159">
    <w:name w:val="xl159"/>
    <w:basedOn w:val="Normalny"/>
    <w:rsid w:val="005C37C9"/>
    <w:pPr>
      <w:spacing w:before="100" w:beforeAutospacing="1" w:after="100" w:afterAutospacing="1" w:line="240" w:lineRule="auto"/>
    </w:pPr>
    <w:rPr>
      <w:rFonts w:ascii="Arial Narrow" w:hAnsi="Arial Narrow"/>
      <w:sz w:val="10"/>
      <w:szCs w:val="10"/>
    </w:rPr>
  </w:style>
  <w:style w:type="paragraph" w:customStyle="1" w:styleId="xl160">
    <w:name w:val="xl160"/>
    <w:basedOn w:val="Normalny"/>
    <w:rsid w:val="005C37C9"/>
    <w:pPr>
      <w:spacing w:before="100" w:beforeAutospacing="1" w:after="100" w:afterAutospacing="1" w:line="240" w:lineRule="auto"/>
      <w:jc w:val="center"/>
    </w:pPr>
    <w:rPr>
      <w:rFonts w:ascii="Arial Narrow" w:hAnsi="Arial Narrow"/>
      <w:b/>
      <w:bCs/>
      <w:sz w:val="10"/>
      <w:szCs w:val="10"/>
    </w:rPr>
  </w:style>
  <w:style w:type="paragraph" w:customStyle="1" w:styleId="xl161">
    <w:name w:val="xl161"/>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2">
    <w:name w:val="xl162"/>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3">
    <w:name w:val="xl163"/>
    <w:basedOn w:val="Normalny"/>
    <w:rsid w:val="005C37C9"/>
    <w:pPr>
      <w:shd w:val="clear" w:color="auto" w:fill="EFF6FB"/>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64">
    <w:name w:val="xl164"/>
    <w:basedOn w:val="Normalny"/>
    <w:rsid w:val="005C37C9"/>
    <w:pPr>
      <w:spacing w:before="100" w:beforeAutospacing="1" w:after="100" w:afterAutospacing="1" w:line="240" w:lineRule="auto"/>
    </w:pPr>
    <w:rPr>
      <w:rFonts w:ascii="Arial Narrow" w:hAnsi="Arial Narrow"/>
      <w:b/>
      <w:bCs/>
      <w:sz w:val="10"/>
      <w:szCs w:val="10"/>
    </w:rPr>
  </w:style>
  <w:style w:type="paragraph" w:customStyle="1" w:styleId="xl165">
    <w:name w:val="xl165"/>
    <w:basedOn w:val="Normalny"/>
    <w:rsid w:val="005C37C9"/>
    <w:pPr>
      <w:pBdr>
        <w:bottom w:val="single" w:sz="4" w:space="0" w:color="848484"/>
      </w:pBdr>
      <w:spacing w:before="100" w:beforeAutospacing="1" w:after="100" w:afterAutospacing="1" w:line="240" w:lineRule="auto"/>
    </w:pPr>
    <w:rPr>
      <w:rFonts w:ascii="Arial Narrow" w:hAnsi="Arial Narrow"/>
      <w:b/>
      <w:bCs/>
      <w:sz w:val="10"/>
      <w:szCs w:val="10"/>
    </w:rPr>
  </w:style>
  <w:style w:type="paragraph" w:customStyle="1" w:styleId="xl166">
    <w:name w:val="xl166"/>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7">
    <w:name w:val="xl167"/>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8">
    <w:name w:val="xl168"/>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9">
    <w:name w:val="xl169"/>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70">
    <w:name w:val="xl170"/>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b/>
      <w:bCs/>
      <w:sz w:val="10"/>
      <w:szCs w:val="10"/>
    </w:rPr>
  </w:style>
  <w:style w:type="paragraph" w:customStyle="1" w:styleId="xl171">
    <w:name w:val="xl171"/>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172">
    <w:name w:val="xl172"/>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textAlignment w:val="center"/>
    </w:pPr>
    <w:rPr>
      <w:rFonts w:ascii="Arial Narrow" w:hAnsi="Arial Narrow"/>
      <w:sz w:val="10"/>
      <w:szCs w:val="10"/>
    </w:rPr>
  </w:style>
  <w:style w:type="paragraph" w:customStyle="1" w:styleId="xl173">
    <w:name w:val="xl173"/>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4">
    <w:name w:val="xl174"/>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5">
    <w:name w:val="xl175"/>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right"/>
      <w:textAlignment w:val="center"/>
    </w:pPr>
    <w:rPr>
      <w:rFonts w:ascii="Arial Narrow" w:hAnsi="Arial Narrow"/>
      <w:sz w:val="10"/>
      <w:szCs w:val="10"/>
    </w:rPr>
  </w:style>
  <w:style w:type="paragraph" w:styleId="Spistreci7">
    <w:name w:val="toc 7"/>
    <w:basedOn w:val="Normalny"/>
    <w:next w:val="Normalny"/>
    <w:autoRedefine/>
    <w:uiPriority w:val="39"/>
    <w:rsid w:val="00E67D60"/>
    <w:pPr>
      <w:tabs>
        <w:tab w:val="right" w:leader="dot" w:pos="9061"/>
      </w:tabs>
      <w:ind w:left="1304" w:hanging="397"/>
    </w:pPr>
    <w:rPr>
      <w:noProof/>
      <w:sz w:val="16"/>
    </w:rPr>
  </w:style>
  <w:style w:type="paragraph" w:styleId="Spistreci8">
    <w:name w:val="toc 8"/>
    <w:basedOn w:val="Normalny"/>
    <w:next w:val="Normalny"/>
    <w:autoRedefine/>
    <w:uiPriority w:val="39"/>
    <w:rsid w:val="00BF66A5"/>
    <w:pPr>
      <w:spacing w:line="240" w:lineRule="auto"/>
      <w:ind w:left="1680"/>
    </w:pPr>
    <w:rPr>
      <w:rFonts w:ascii="Times New Roman" w:hAnsi="Times New Roman"/>
    </w:rPr>
  </w:style>
  <w:style w:type="paragraph" w:styleId="Spistreci9">
    <w:name w:val="toc 9"/>
    <w:basedOn w:val="Normalny"/>
    <w:next w:val="Normalny"/>
    <w:autoRedefine/>
    <w:uiPriority w:val="39"/>
    <w:rsid w:val="00BF66A5"/>
    <w:pPr>
      <w:spacing w:line="240" w:lineRule="auto"/>
      <w:ind w:left="1920"/>
    </w:pPr>
    <w:rPr>
      <w:rFonts w:ascii="Times New Roman" w:hAnsi="Times New Roman"/>
    </w:rPr>
  </w:style>
  <w:style w:type="paragraph" w:styleId="Legenda">
    <w:name w:val="caption"/>
    <w:basedOn w:val="Normalny"/>
    <w:next w:val="Normalny"/>
    <w:qFormat/>
    <w:rsid w:val="00F71A9C"/>
    <w:pPr>
      <w:spacing w:line="240" w:lineRule="auto"/>
    </w:pPr>
    <w:rPr>
      <w:rFonts w:ascii="Times New Roman" w:hAnsi="Times New Roman"/>
      <w:b/>
      <w:bCs/>
      <w:sz w:val="20"/>
      <w:szCs w:val="20"/>
    </w:rPr>
  </w:style>
  <w:style w:type="character" w:styleId="Pogrubienie">
    <w:name w:val="Strong"/>
    <w:qFormat/>
    <w:rsid w:val="00F71A9C"/>
    <w:rPr>
      <w:b/>
      <w:bCs/>
    </w:rPr>
  </w:style>
  <w:style w:type="paragraph" w:customStyle="1" w:styleId="xl153">
    <w:name w:val="xl153"/>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4">
    <w:name w:val="xl154"/>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character" w:customStyle="1" w:styleId="NagwekZnakZnakZnakZnakZnakZnak">
    <w:name w:val="Nagłówek Znak Znak Znak Znak Znak Znak"/>
    <w:aliases w:val="Nagłówek strony Znak Znak"/>
    <w:rsid w:val="00142694"/>
    <w:rPr>
      <w:sz w:val="24"/>
      <w:szCs w:val="24"/>
      <w:lang w:val="pl-PL" w:eastAsia="pl-PL" w:bidi="ar-SA"/>
    </w:rPr>
  </w:style>
  <w:style w:type="paragraph" w:styleId="Tekstpodstawowywcity3">
    <w:name w:val="Body Text Indent 3"/>
    <w:basedOn w:val="Normalny"/>
    <w:link w:val="Tekstpodstawowywcity3Znak"/>
    <w:rsid w:val="00142694"/>
    <w:pPr>
      <w:widowControl w:val="0"/>
      <w:tabs>
        <w:tab w:val="left" w:pos="0"/>
      </w:tabs>
      <w:spacing w:before="120" w:after="120" w:line="240" w:lineRule="auto"/>
      <w:ind w:firstLine="567"/>
      <w:jc w:val="both"/>
    </w:pPr>
    <w:rPr>
      <w:rFonts w:ascii="Times New Roman" w:hAnsi="Times New Roman"/>
      <w:b/>
      <w:bCs/>
      <w:iCs/>
      <w:lang w:val="x-none" w:eastAsia="x-none"/>
    </w:rPr>
  </w:style>
  <w:style w:type="character" w:customStyle="1" w:styleId="Tekstpodstawowywcity3Znak">
    <w:name w:val="Tekst podstawowy wcięty 3 Znak"/>
    <w:link w:val="Tekstpodstawowywcity3"/>
    <w:rsid w:val="00142694"/>
    <w:rPr>
      <w:b/>
      <w:bCs/>
      <w:iCs/>
      <w:sz w:val="24"/>
      <w:szCs w:val="24"/>
    </w:rPr>
  </w:style>
  <w:style w:type="paragraph" w:customStyle="1" w:styleId="Styl1">
    <w:name w:val="Styl1"/>
    <w:basedOn w:val="Nagwek7"/>
    <w:rsid w:val="00142694"/>
  </w:style>
  <w:style w:type="paragraph" w:customStyle="1" w:styleId="Styl2">
    <w:name w:val="Styl2"/>
    <w:basedOn w:val="Nagwek8"/>
    <w:rsid w:val="00142694"/>
  </w:style>
  <w:style w:type="paragraph" w:styleId="Tekstpodstawowy">
    <w:name w:val="Body Text"/>
    <w:basedOn w:val="Normalny"/>
    <w:link w:val="TekstpodstawowyZnak"/>
    <w:rsid w:val="00142694"/>
    <w:pPr>
      <w:tabs>
        <w:tab w:val="left" w:pos="851"/>
      </w:tabs>
      <w:spacing w:after="120" w:line="200" w:lineRule="exact"/>
      <w:ind w:firstLine="567"/>
      <w:jc w:val="both"/>
    </w:pPr>
    <w:rPr>
      <w:i/>
      <w:sz w:val="14"/>
      <w:szCs w:val="20"/>
      <w:lang w:val="x-none" w:eastAsia="x-none"/>
    </w:rPr>
  </w:style>
  <w:style w:type="character" w:customStyle="1" w:styleId="TekstpodstawowyZnak">
    <w:name w:val="Tekst podstawowy Znak"/>
    <w:link w:val="Tekstpodstawowy"/>
    <w:rsid w:val="00142694"/>
    <w:rPr>
      <w:rFonts w:ascii="Arial" w:hAnsi="Arial"/>
      <w:i/>
      <w:sz w:val="14"/>
    </w:rPr>
  </w:style>
  <w:style w:type="paragraph" w:customStyle="1" w:styleId="tekst">
    <w:name w:val="tekst"/>
    <w:basedOn w:val="Normalny"/>
    <w:autoRedefine/>
    <w:rsid w:val="00142694"/>
    <w:pPr>
      <w:tabs>
        <w:tab w:val="left" w:pos="851"/>
      </w:tabs>
      <w:spacing w:line="270" w:lineRule="exact"/>
      <w:ind w:firstLine="340"/>
      <w:jc w:val="both"/>
    </w:pPr>
    <w:rPr>
      <w:rFonts w:ascii="NewBrunswick" w:hAnsi="NewBrunswick"/>
      <w:i/>
      <w:sz w:val="22"/>
      <w:szCs w:val="20"/>
    </w:rPr>
  </w:style>
  <w:style w:type="paragraph" w:customStyle="1" w:styleId="akapitakapit">
    <w:name w:val="akapitakapit"/>
    <w:basedOn w:val="tekst"/>
    <w:autoRedefine/>
    <w:rsid w:val="00142694"/>
    <w:pPr>
      <w:spacing w:line="80" w:lineRule="exact"/>
      <w:ind w:firstLine="0"/>
    </w:pPr>
  </w:style>
  <w:style w:type="paragraph" w:customStyle="1" w:styleId="xl149">
    <w:name w:val="xl149"/>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0">
    <w:name w:val="xl150"/>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1">
    <w:name w:val="xl15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2">
    <w:name w:val="xl15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6">
    <w:name w:val="xl176"/>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7">
    <w:name w:val="xl177"/>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8">
    <w:name w:val="xl178"/>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9">
    <w:name w:val="xl179"/>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0">
    <w:name w:val="xl180"/>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1">
    <w:name w:val="xl181"/>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187">
    <w:name w:val="xl187"/>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88">
    <w:name w:val="xl188"/>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1">
    <w:name w:val="xl191"/>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3">
    <w:name w:val="xl193"/>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color w:val="FF1818"/>
      <w:sz w:val="12"/>
      <w:szCs w:val="12"/>
    </w:rPr>
  </w:style>
  <w:style w:type="paragraph" w:customStyle="1" w:styleId="przerwaakapit">
    <w:name w:val="przerwaakapit"/>
    <w:basedOn w:val="tekst"/>
    <w:rsid w:val="00142694"/>
    <w:pPr>
      <w:spacing w:line="80" w:lineRule="exact"/>
      <w:ind w:firstLine="0"/>
    </w:pPr>
  </w:style>
  <w:style w:type="paragraph" w:customStyle="1" w:styleId="cz">
    <w:name w:val="część"/>
    <w:basedOn w:val="Nagwek1"/>
    <w:autoRedefine/>
    <w:rsid w:val="00142694"/>
    <w:pPr>
      <w:keepNext w:val="0"/>
      <w:tabs>
        <w:tab w:val="left" w:pos="851"/>
      </w:tabs>
      <w:spacing w:line="400" w:lineRule="exact"/>
      <w:ind w:firstLine="567"/>
      <w:jc w:val="center"/>
    </w:pPr>
    <w:rPr>
      <w:rFonts w:ascii="NewBrunswick" w:hAnsi="NewBrunswick" w:cs="Times New Roman"/>
      <w:bCs w:val="0"/>
      <w:i/>
      <w:kern w:val="0"/>
      <w:sz w:val="34"/>
      <w:szCs w:val="20"/>
    </w:rPr>
  </w:style>
  <w:style w:type="paragraph" w:customStyle="1" w:styleId="rozdzia">
    <w:name w:val="rozdział"/>
    <w:basedOn w:val="Nagwek1"/>
    <w:autoRedefine/>
    <w:rsid w:val="00142694"/>
    <w:pPr>
      <w:keepNext w:val="0"/>
      <w:tabs>
        <w:tab w:val="left" w:pos="851"/>
      </w:tabs>
      <w:spacing w:line="270" w:lineRule="exact"/>
      <w:ind w:firstLine="567"/>
      <w:jc w:val="center"/>
    </w:pPr>
    <w:rPr>
      <w:rFonts w:ascii="NewBrunswick" w:hAnsi="NewBrunswick" w:cs="Times New Roman"/>
      <w:bCs w:val="0"/>
      <w:i/>
      <w:kern w:val="0"/>
      <w:sz w:val="30"/>
      <w:szCs w:val="20"/>
    </w:rPr>
  </w:style>
  <w:style w:type="paragraph" w:customStyle="1" w:styleId="cytatatekst">
    <w:name w:val="cytatatekst"/>
    <w:basedOn w:val="tekst"/>
    <w:autoRedefine/>
    <w:rsid w:val="00142694"/>
    <w:pPr>
      <w:spacing w:line="140" w:lineRule="exact"/>
      <w:ind w:firstLine="0"/>
    </w:pPr>
  </w:style>
  <w:style w:type="paragraph" w:customStyle="1" w:styleId="cytat">
    <w:name w:val="cytat"/>
    <w:basedOn w:val="Tekstpodstawowy"/>
    <w:autoRedefine/>
    <w:rsid w:val="00142694"/>
    <w:pPr>
      <w:spacing w:after="0" w:line="270" w:lineRule="exact"/>
      <w:ind w:left="340" w:right="340" w:firstLine="227"/>
    </w:pPr>
    <w:rPr>
      <w:rFonts w:ascii="NewBrunswick" w:hAnsi="NewBrunswick"/>
      <w:b/>
    </w:rPr>
  </w:style>
  <w:style w:type="paragraph" w:customStyle="1" w:styleId="podpiscytatu">
    <w:name w:val="podpiscytatu"/>
    <w:basedOn w:val="Nagwek1"/>
    <w:autoRedefine/>
    <w:rsid w:val="00142694"/>
    <w:pPr>
      <w:keepNext w:val="0"/>
      <w:tabs>
        <w:tab w:val="left" w:pos="851"/>
      </w:tabs>
      <w:spacing w:line="270" w:lineRule="exact"/>
      <w:ind w:right="340" w:firstLine="567"/>
    </w:pPr>
    <w:rPr>
      <w:rFonts w:ascii="NewBrunswick" w:hAnsi="NewBrunswick" w:cs="Times New Roman"/>
      <w:bCs w:val="0"/>
      <w:i/>
      <w:kern w:val="0"/>
      <w:sz w:val="22"/>
      <w:szCs w:val="20"/>
    </w:rPr>
  </w:style>
  <w:style w:type="paragraph" w:customStyle="1" w:styleId="podpiscytat">
    <w:name w:val="podpiscytat"/>
    <w:basedOn w:val="Tekstpodstawowy"/>
    <w:autoRedefine/>
    <w:rsid w:val="00142694"/>
    <w:pPr>
      <w:spacing w:after="0" w:line="270" w:lineRule="exact"/>
      <w:ind w:right="340"/>
      <w:jc w:val="right"/>
    </w:pPr>
    <w:rPr>
      <w:rFonts w:ascii="NewBrunswick" w:hAnsi="NewBrunswick"/>
      <w:b/>
    </w:rPr>
  </w:style>
  <w:style w:type="paragraph" w:customStyle="1" w:styleId="podracytat">
    <w:name w:val="podracytat"/>
    <w:basedOn w:val="Nagwek1"/>
    <w:autoRedefine/>
    <w:rsid w:val="00142694"/>
    <w:pPr>
      <w:keepNext w:val="0"/>
      <w:tabs>
        <w:tab w:val="left" w:pos="851"/>
      </w:tabs>
      <w:spacing w:line="120" w:lineRule="exact"/>
      <w:ind w:firstLine="567"/>
      <w:jc w:val="center"/>
      <w:outlineLvl w:val="9"/>
    </w:pPr>
    <w:rPr>
      <w:rFonts w:ascii="NewBrunswick" w:hAnsi="NewBrunswick" w:cs="Times New Roman"/>
      <w:b w:val="0"/>
      <w:bCs w:val="0"/>
      <w:i/>
      <w:kern w:val="0"/>
      <w:sz w:val="22"/>
      <w:szCs w:val="20"/>
    </w:rPr>
  </w:style>
  <w:style w:type="paragraph" w:styleId="Tytu">
    <w:name w:val="Title"/>
    <w:basedOn w:val="Normalny"/>
    <w:link w:val="TytuZnak"/>
    <w:qFormat/>
    <w:rsid w:val="00142694"/>
    <w:pPr>
      <w:spacing w:line="240" w:lineRule="auto"/>
      <w:jc w:val="center"/>
    </w:pPr>
    <w:rPr>
      <w:b/>
      <w:sz w:val="32"/>
      <w:szCs w:val="20"/>
      <w:lang w:val="x-none" w:eastAsia="x-none"/>
    </w:rPr>
  </w:style>
  <w:style w:type="character" w:customStyle="1" w:styleId="TytuZnak">
    <w:name w:val="Tytuł Znak"/>
    <w:link w:val="Tytu"/>
    <w:rsid w:val="00142694"/>
    <w:rPr>
      <w:rFonts w:ascii="Arial" w:hAnsi="Arial"/>
      <w:b/>
      <w:sz w:val="32"/>
    </w:rPr>
  </w:style>
  <w:style w:type="paragraph" w:styleId="NormalnyWeb">
    <w:name w:val="Normal (Web)"/>
    <w:basedOn w:val="Normalny"/>
    <w:rsid w:val="00142694"/>
    <w:pPr>
      <w:spacing w:before="100" w:after="100" w:line="240" w:lineRule="auto"/>
    </w:pPr>
    <w:rPr>
      <w:rFonts w:ascii="Arial Unicode MS" w:eastAsia="Arial Unicode MS" w:hAnsi="Arial Unicode MS"/>
      <w:szCs w:val="20"/>
    </w:rPr>
  </w:style>
  <w:style w:type="paragraph" w:styleId="Tekstpodstawowy2">
    <w:name w:val="Body Text 2"/>
    <w:basedOn w:val="Normalny"/>
    <w:link w:val="Tekstpodstawowy2Znak"/>
    <w:rsid w:val="00142694"/>
    <w:pPr>
      <w:tabs>
        <w:tab w:val="num" w:pos="426"/>
      </w:tabs>
      <w:spacing w:before="120" w:after="120"/>
      <w:jc w:val="both"/>
    </w:pPr>
    <w:rPr>
      <w:rFonts w:ascii="Times New Roman" w:hAnsi="Times New Roman"/>
      <w:szCs w:val="20"/>
      <w:lang w:val="x-none" w:eastAsia="x-none"/>
    </w:rPr>
  </w:style>
  <w:style w:type="character" w:customStyle="1" w:styleId="Tekstpodstawowy2Znak">
    <w:name w:val="Tekst podstawowy 2 Znak"/>
    <w:link w:val="Tekstpodstawowy2"/>
    <w:rsid w:val="00142694"/>
    <w:rPr>
      <w:sz w:val="24"/>
    </w:rPr>
  </w:style>
  <w:style w:type="paragraph" w:customStyle="1" w:styleId="tyt">
    <w:name w:val="tyt"/>
    <w:basedOn w:val="Normalny"/>
    <w:rsid w:val="00142694"/>
    <w:pPr>
      <w:keepNext/>
      <w:overflowPunct w:val="0"/>
      <w:autoSpaceDE w:val="0"/>
      <w:autoSpaceDN w:val="0"/>
      <w:adjustRightInd w:val="0"/>
      <w:spacing w:before="60" w:after="60" w:line="240" w:lineRule="auto"/>
      <w:jc w:val="center"/>
      <w:textAlignment w:val="baseline"/>
    </w:pPr>
    <w:rPr>
      <w:rFonts w:ascii="Times New Roman" w:hAnsi="Times New Roman"/>
      <w:b/>
      <w:szCs w:val="20"/>
    </w:rPr>
  </w:style>
  <w:style w:type="paragraph" w:customStyle="1" w:styleId="ust">
    <w:name w:val="ust"/>
    <w:rsid w:val="00142694"/>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rsid w:val="00142694"/>
    <w:pPr>
      <w:overflowPunct w:val="0"/>
      <w:autoSpaceDE w:val="0"/>
      <w:autoSpaceDN w:val="0"/>
      <w:adjustRightInd w:val="0"/>
      <w:spacing w:before="60" w:after="60" w:line="240" w:lineRule="auto"/>
      <w:ind w:left="851" w:hanging="295"/>
      <w:jc w:val="both"/>
      <w:textAlignment w:val="baseline"/>
    </w:pPr>
    <w:rPr>
      <w:rFonts w:ascii="Times New Roman" w:hAnsi="Times New Roman"/>
      <w:szCs w:val="20"/>
    </w:rPr>
  </w:style>
  <w:style w:type="paragraph" w:customStyle="1" w:styleId="pkt1">
    <w:name w:val="pkt1"/>
    <w:basedOn w:val="pkt"/>
    <w:rsid w:val="00142694"/>
    <w:pPr>
      <w:ind w:left="850" w:hanging="425"/>
    </w:pPr>
  </w:style>
  <w:style w:type="paragraph" w:styleId="Tekstpodstawowywcity2">
    <w:name w:val="Body Text Indent 2"/>
    <w:basedOn w:val="Normalny"/>
    <w:link w:val="Tekstpodstawowywcity2Znak"/>
    <w:rsid w:val="00142694"/>
    <w:pPr>
      <w:tabs>
        <w:tab w:val="left" w:pos="851"/>
      </w:tabs>
      <w:spacing w:line="200" w:lineRule="exact"/>
      <w:ind w:firstLine="708"/>
      <w:jc w:val="both"/>
    </w:pPr>
    <w:rPr>
      <w:rFonts w:ascii="Times New Roman" w:hAnsi="Times New Roman"/>
      <w:iCs/>
      <w:szCs w:val="20"/>
      <w:lang w:val="x-none" w:eastAsia="x-none"/>
    </w:rPr>
  </w:style>
  <w:style w:type="character" w:customStyle="1" w:styleId="Tekstpodstawowywcity2Znak">
    <w:name w:val="Tekst podstawowy wcięty 2 Znak"/>
    <w:link w:val="Tekstpodstawowywcity2"/>
    <w:rsid w:val="00142694"/>
    <w:rPr>
      <w:iCs/>
      <w:sz w:val="24"/>
    </w:rPr>
  </w:style>
  <w:style w:type="paragraph" w:styleId="Tekstpodstawowy3">
    <w:name w:val="Body Text 3"/>
    <w:basedOn w:val="Normalny"/>
    <w:link w:val="Tekstpodstawowy3Znak"/>
    <w:rsid w:val="00142694"/>
    <w:pPr>
      <w:widowControl w:val="0"/>
      <w:tabs>
        <w:tab w:val="left" w:pos="-720"/>
      </w:tabs>
      <w:suppressAutoHyphens/>
      <w:autoSpaceDE w:val="0"/>
      <w:autoSpaceDN w:val="0"/>
      <w:spacing w:line="240" w:lineRule="auto"/>
      <w:jc w:val="both"/>
      <w:outlineLvl w:val="0"/>
    </w:pPr>
    <w:rPr>
      <w:rFonts w:ascii="Arial Narrow" w:hAnsi="Arial Narrow"/>
      <w:b/>
      <w:bCs/>
      <w:spacing w:val="-3"/>
      <w:sz w:val="32"/>
      <w:szCs w:val="32"/>
      <w:lang w:val="en-US" w:eastAsia="x-none"/>
    </w:rPr>
  </w:style>
  <w:style w:type="character" w:customStyle="1" w:styleId="Tekstpodstawowy3Znak">
    <w:name w:val="Tekst podstawowy 3 Znak"/>
    <w:link w:val="Tekstpodstawowy3"/>
    <w:rsid w:val="00142694"/>
    <w:rPr>
      <w:rFonts w:ascii="Arial Narrow" w:hAnsi="Arial Narrow"/>
      <w:b/>
      <w:bCs/>
      <w:spacing w:val="-3"/>
      <w:sz w:val="32"/>
      <w:szCs w:val="32"/>
      <w:lang w:val="en-US"/>
    </w:rPr>
  </w:style>
  <w:style w:type="paragraph" w:styleId="Lista">
    <w:name w:val="List"/>
    <w:basedOn w:val="Normalny"/>
    <w:rsid w:val="00142694"/>
    <w:pPr>
      <w:spacing w:line="240" w:lineRule="auto"/>
      <w:ind w:left="283" w:hanging="283"/>
    </w:pPr>
    <w:rPr>
      <w:rFonts w:ascii="Times New Roman" w:hAnsi="Times New Roman"/>
      <w:sz w:val="20"/>
      <w:szCs w:val="20"/>
    </w:rPr>
  </w:style>
  <w:style w:type="paragraph" w:styleId="Listapunktowana2">
    <w:name w:val="List Bullet 2"/>
    <w:basedOn w:val="Normalny"/>
    <w:autoRedefine/>
    <w:rsid w:val="00142694"/>
    <w:pPr>
      <w:tabs>
        <w:tab w:val="num" w:pos="1854"/>
      </w:tabs>
      <w:ind w:left="1854" w:hanging="360"/>
      <w:jc w:val="both"/>
    </w:pPr>
    <w:rPr>
      <w:rFonts w:ascii="Times New Roman" w:hAnsi="Times New Roman"/>
      <w:snapToGrid w:val="0"/>
      <w:szCs w:val="20"/>
    </w:rPr>
  </w:style>
  <w:style w:type="paragraph" w:styleId="Lista2">
    <w:name w:val="List 2"/>
    <w:basedOn w:val="Normalny"/>
    <w:rsid w:val="00142694"/>
    <w:pPr>
      <w:spacing w:line="240" w:lineRule="auto"/>
      <w:ind w:left="566" w:hanging="283"/>
    </w:pPr>
    <w:rPr>
      <w:rFonts w:ascii="Times New Roman" w:hAnsi="Times New Roman"/>
      <w:sz w:val="20"/>
      <w:szCs w:val="20"/>
    </w:rPr>
  </w:style>
  <w:style w:type="paragraph" w:customStyle="1" w:styleId="Etykietadokumentu">
    <w:name w:val="Etykieta dokumentu"/>
    <w:next w:val="Normalny"/>
    <w:rsid w:val="00142694"/>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character" w:customStyle="1" w:styleId="fcon-text1">
    <w:name w:val="fcon-text1"/>
    <w:rsid w:val="00142694"/>
    <w:rPr>
      <w:rFonts w:ascii="Tahoma" w:hAnsi="Tahoma" w:cs="Tahoma" w:hint="default"/>
      <w:b w:val="0"/>
      <w:bCs w:val="0"/>
      <w:color w:val="625E52"/>
      <w:sz w:val="17"/>
      <w:szCs w:val="17"/>
    </w:rPr>
  </w:style>
  <w:style w:type="paragraph" w:customStyle="1" w:styleId="Tekstpodstawowy21">
    <w:name w:val="Tekst podstawowy 21"/>
    <w:basedOn w:val="Normalny"/>
    <w:rsid w:val="00142694"/>
    <w:pPr>
      <w:jc w:val="both"/>
    </w:pPr>
    <w:rPr>
      <w:rFonts w:ascii="Times New Roman" w:hAnsi="Times New Roman"/>
      <w:szCs w:val="20"/>
    </w:rPr>
  </w:style>
  <w:style w:type="paragraph" w:customStyle="1" w:styleId="font5">
    <w:name w:val="font5"/>
    <w:basedOn w:val="Normalny"/>
    <w:rsid w:val="00142694"/>
    <w:pPr>
      <w:spacing w:before="100" w:beforeAutospacing="1" w:after="100" w:afterAutospacing="1" w:line="240" w:lineRule="auto"/>
    </w:pPr>
    <w:rPr>
      <w:rFonts w:cs="Arial"/>
      <w:sz w:val="18"/>
      <w:szCs w:val="18"/>
    </w:rPr>
  </w:style>
  <w:style w:type="paragraph" w:customStyle="1" w:styleId="font6">
    <w:name w:val="font6"/>
    <w:basedOn w:val="Normalny"/>
    <w:rsid w:val="00142694"/>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ny"/>
    <w:rsid w:val="00142694"/>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142694"/>
    <w:pPr>
      <w:spacing w:before="100" w:beforeAutospacing="1" w:after="100" w:afterAutospacing="1" w:line="240" w:lineRule="auto"/>
    </w:pPr>
    <w:rPr>
      <w:rFonts w:cs="Arial"/>
      <w:sz w:val="12"/>
      <w:szCs w:val="12"/>
    </w:rPr>
  </w:style>
  <w:style w:type="paragraph" w:customStyle="1" w:styleId="xl24">
    <w:name w:val="xl2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4"/>
      <w:szCs w:val="14"/>
    </w:rPr>
  </w:style>
  <w:style w:type="paragraph" w:customStyle="1" w:styleId="xl25">
    <w:name w:val="xl2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rPr>
  </w:style>
  <w:style w:type="paragraph" w:customStyle="1" w:styleId="xl26">
    <w:name w:val="xl2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27">
    <w:name w:val="xl2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28">
    <w:name w:val="xl2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9">
    <w:name w:val="xl2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0">
    <w:name w:val="xl3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u w:val="single"/>
    </w:rPr>
  </w:style>
  <w:style w:type="paragraph" w:customStyle="1" w:styleId="xl31">
    <w:name w:val="xl3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32">
    <w:name w:val="xl32"/>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33">
    <w:name w:val="xl3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008000"/>
      <w:sz w:val="14"/>
      <w:szCs w:val="14"/>
    </w:rPr>
  </w:style>
  <w:style w:type="paragraph" w:customStyle="1" w:styleId="xl34">
    <w:name w:val="xl3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5">
    <w:name w:val="xl3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36">
    <w:name w:val="xl3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7">
    <w:name w:val="xl3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38">
    <w:name w:val="xl38"/>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2"/>
      <w:szCs w:val="12"/>
    </w:rPr>
  </w:style>
  <w:style w:type="paragraph" w:customStyle="1" w:styleId="xl39">
    <w:name w:val="xl3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0">
    <w:name w:val="xl4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12"/>
      <w:szCs w:val="12"/>
    </w:rPr>
  </w:style>
  <w:style w:type="paragraph" w:customStyle="1" w:styleId="xl41">
    <w:name w:val="xl4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2"/>
      <w:szCs w:val="12"/>
      <w:u w:val="single"/>
    </w:rPr>
  </w:style>
  <w:style w:type="paragraph" w:customStyle="1" w:styleId="xl42">
    <w:name w:val="xl4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3">
    <w:name w:val="xl4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4">
    <w:name w:val="xl4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5">
    <w:name w:val="xl45"/>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b/>
      <w:bCs/>
      <w:color w:val="008000"/>
      <w:sz w:val="14"/>
      <w:szCs w:val="14"/>
    </w:rPr>
  </w:style>
  <w:style w:type="paragraph" w:customStyle="1" w:styleId="xl46">
    <w:name w:val="xl4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47">
    <w:name w:val="xl4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48">
    <w:name w:val="xl4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u w:val="single"/>
    </w:rPr>
  </w:style>
  <w:style w:type="paragraph" w:customStyle="1" w:styleId="xl49">
    <w:name w:val="xl4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0">
    <w:name w:val="xl50"/>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1">
    <w:name w:val="xl5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2"/>
      <w:szCs w:val="12"/>
      <w:u w:val="single"/>
    </w:rPr>
  </w:style>
  <w:style w:type="paragraph" w:customStyle="1" w:styleId="xl52">
    <w:name w:val="xl5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cs="Arial"/>
      <w:sz w:val="12"/>
      <w:szCs w:val="12"/>
    </w:rPr>
  </w:style>
  <w:style w:type="paragraph" w:customStyle="1" w:styleId="xl53">
    <w:name w:val="xl53"/>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4"/>
      <w:szCs w:val="14"/>
      <w:u w:val="single"/>
    </w:rPr>
  </w:style>
  <w:style w:type="paragraph" w:customStyle="1" w:styleId="xl54">
    <w:name w:val="xl5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55">
    <w:name w:val="xl5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56">
    <w:name w:val="xl5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57">
    <w:name w:val="xl5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58">
    <w:name w:val="xl5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59">
    <w:name w:val="xl59"/>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0">
    <w:name w:val="xl60"/>
    <w:basedOn w:val="Normalny"/>
    <w:rsid w:val="0014269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61">
    <w:name w:val="xl61"/>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62">
    <w:name w:val="xl62"/>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3">
    <w:name w:val="xl6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64">
    <w:name w:val="xl64"/>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5">
    <w:name w:val="xl65"/>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66">
    <w:name w:val="xl66"/>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67">
    <w:name w:val="xl67"/>
    <w:basedOn w:val="Normalny"/>
    <w:rsid w:val="00142694"/>
    <w:pPr>
      <w:pBdr>
        <w:top w:val="single" w:sz="4" w:space="0" w:color="auto"/>
        <w:bottom w:val="single" w:sz="4" w:space="0" w:color="auto"/>
      </w:pBdr>
      <w:spacing w:before="100" w:beforeAutospacing="1" w:after="100" w:afterAutospacing="1" w:line="240" w:lineRule="auto"/>
      <w:textAlignment w:val="center"/>
    </w:pPr>
    <w:rPr>
      <w:rFonts w:cs="Arial"/>
      <w:b/>
      <w:bCs/>
      <w:sz w:val="14"/>
      <w:szCs w:val="14"/>
    </w:rPr>
  </w:style>
  <w:style w:type="paragraph" w:customStyle="1" w:styleId="xl68">
    <w:name w:val="xl68"/>
    <w:basedOn w:val="Normalny"/>
    <w:rsid w:val="001426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69">
    <w:name w:val="xl6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0">
    <w:name w:val="xl70"/>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1">
    <w:name w:val="xl7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2">
    <w:name w:val="xl7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cs="Arial"/>
      <w:sz w:val="14"/>
      <w:szCs w:val="14"/>
    </w:rPr>
  </w:style>
  <w:style w:type="paragraph" w:customStyle="1" w:styleId="xl73">
    <w:name w:val="xl7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4">
    <w:name w:val="xl74"/>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b/>
      <w:bCs/>
      <w:sz w:val="14"/>
      <w:szCs w:val="14"/>
    </w:rPr>
  </w:style>
  <w:style w:type="paragraph" w:customStyle="1" w:styleId="xl75">
    <w:name w:val="xl75"/>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6">
    <w:name w:val="xl76"/>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7">
    <w:name w:val="xl7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0">
    <w:name w:val="xl80"/>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2">
    <w:name w:val="xl82"/>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hAnsi="Times New Roman"/>
      <w:b/>
      <w:bCs/>
      <w:sz w:val="12"/>
      <w:szCs w:val="12"/>
    </w:rPr>
  </w:style>
  <w:style w:type="paragraph" w:customStyle="1" w:styleId="xl86">
    <w:name w:val="xl86"/>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8">
    <w:name w:val="xl88"/>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90">
    <w:name w:val="xl90"/>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1">
    <w:name w:val="xl91"/>
    <w:basedOn w:val="Normalny"/>
    <w:rsid w:val="00142694"/>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2">
    <w:name w:val="xl92"/>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4">
    <w:name w:val="xl94"/>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95">
    <w:name w:val="xl95"/>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12"/>
      <w:szCs w:val="12"/>
    </w:rPr>
  </w:style>
  <w:style w:type="paragraph" w:customStyle="1" w:styleId="xl96">
    <w:name w:val="xl96"/>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cs="Arial"/>
      <w:sz w:val="12"/>
      <w:szCs w:val="12"/>
    </w:rPr>
  </w:style>
  <w:style w:type="paragraph" w:customStyle="1" w:styleId="xl97">
    <w:name w:val="xl97"/>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98">
    <w:name w:val="xl98"/>
    <w:basedOn w:val="Normalny"/>
    <w:rsid w:val="00142694"/>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9">
    <w:name w:val="xl99"/>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00">
    <w:name w:val="xl100"/>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101">
    <w:name w:val="xl101"/>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cs="Arial"/>
      <w:sz w:val="14"/>
      <w:szCs w:val="14"/>
    </w:rPr>
  </w:style>
  <w:style w:type="paragraph" w:customStyle="1" w:styleId="xl102">
    <w:name w:val="xl102"/>
    <w:basedOn w:val="Normalny"/>
    <w:rsid w:val="00142694"/>
    <w:pPr>
      <w:spacing w:before="100" w:beforeAutospacing="1" w:after="100" w:afterAutospacing="1" w:line="240" w:lineRule="auto"/>
      <w:textAlignment w:val="center"/>
    </w:pPr>
    <w:rPr>
      <w:rFonts w:cs="Arial"/>
      <w:b/>
      <w:bCs/>
      <w:color w:val="FFFFFF"/>
      <w:sz w:val="14"/>
      <w:szCs w:val="14"/>
    </w:rPr>
  </w:style>
  <w:style w:type="paragraph" w:customStyle="1" w:styleId="xl103">
    <w:name w:val="xl103"/>
    <w:basedOn w:val="Normalny"/>
    <w:rsid w:val="00142694"/>
    <w:pPr>
      <w:spacing w:before="100" w:beforeAutospacing="1" w:after="100" w:afterAutospacing="1" w:line="240" w:lineRule="auto"/>
      <w:textAlignment w:val="center"/>
    </w:pPr>
    <w:rPr>
      <w:rFonts w:ascii="Times New Roman" w:hAnsi="Times New Roman"/>
      <w:b/>
      <w:bCs/>
      <w:sz w:val="14"/>
      <w:szCs w:val="14"/>
    </w:rPr>
  </w:style>
  <w:style w:type="paragraph" w:customStyle="1" w:styleId="xl104">
    <w:name w:val="xl104"/>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05">
    <w:name w:val="xl10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6">
    <w:name w:val="xl10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7">
    <w:name w:val="xl10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8">
    <w:name w:val="xl108"/>
    <w:basedOn w:val="Normalny"/>
    <w:rsid w:val="00142694"/>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9">
    <w:name w:val="xl109"/>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10">
    <w:name w:val="xl110"/>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11">
    <w:name w:val="xl111"/>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center"/>
    </w:pPr>
    <w:rPr>
      <w:rFonts w:cs="Arial"/>
      <w:b/>
      <w:bCs/>
      <w:sz w:val="14"/>
      <w:szCs w:val="14"/>
    </w:rPr>
  </w:style>
  <w:style w:type="paragraph" w:customStyle="1" w:styleId="xl112">
    <w:name w:val="xl112"/>
    <w:basedOn w:val="Normalny"/>
    <w:rsid w:val="00142694"/>
    <w:pPr>
      <w:pBdr>
        <w:top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113">
    <w:name w:val="xl113"/>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14">
    <w:name w:val="xl114"/>
    <w:basedOn w:val="Normalny"/>
    <w:rsid w:val="00142694"/>
    <w:pPr>
      <w:pBdr>
        <w:top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5">
    <w:name w:val="xl115"/>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styleId="Tekstprzypisukocowego">
    <w:name w:val="endnote text"/>
    <w:basedOn w:val="Normalny"/>
    <w:link w:val="TekstprzypisukocowegoZnak"/>
    <w:uiPriority w:val="99"/>
    <w:rsid w:val="00142694"/>
    <w:pPr>
      <w:spacing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142694"/>
  </w:style>
  <w:style w:type="paragraph" w:styleId="Indeks1">
    <w:name w:val="index 1"/>
    <w:basedOn w:val="Normalny"/>
    <w:next w:val="Normalny"/>
    <w:autoRedefine/>
    <w:rsid w:val="00142694"/>
    <w:pPr>
      <w:spacing w:line="720" w:lineRule="auto"/>
      <w:ind w:left="238" w:hanging="238"/>
    </w:pPr>
    <w:rPr>
      <w:rFonts w:ascii="Times New Roman" w:hAnsi="Times New Roman"/>
    </w:rPr>
  </w:style>
  <w:style w:type="paragraph" w:styleId="Spisilustracji">
    <w:name w:val="table of figures"/>
    <w:basedOn w:val="Normalny"/>
    <w:next w:val="Normalny"/>
    <w:rsid w:val="00142694"/>
    <w:pPr>
      <w:spacing w:after="120" w:line="240" w:lineRule="auto"/>
    </w:pPr>
    <w:rPr>
      <w:rFonts w:ascii="Verdana" w:hAnsi="Verdana"/>
      <w:sz w:val="18"/>
    </w:rPr>
  </w:style>
  <w:style w:type="paragraph" w:customStyle="1" w:styleId="Default">
    <w:name w:val="Default"/>
    <w:rsid w:val="00142694"/>
    <w:pPr>
      <w:autoSpaceDE w:val="0"/>
      <w:autoSpaceDN w:val="0"/>
      <w:adjustRightInd w:val="0"/>
    </w:pPr>
    <w:rPr>
      <w:rFonts w:ascii="Swis721LtEU" w:hAnsi="Swis721LtEU" w:cs="Swis721LtEU"/>
      <w:color w:val="000000"/>
      <w:sz w:val="24"/>
      <w:szCs w:val="24"/>
    </w:rPr>
  </w:style>
  <w:style w:type="paragraph" w:styleId="Akapitzlist">
    <w:name w:val="List Paragraph"/>
    <w:basedOn w:val="Normalny"/>
    <w:uiPriority w:val="34"/>
    <w:qFormat/>
    <w:rsid w:val="00142694"/>
    <w:pPr>
      <w:ind w:left="720"/>
      <w:contextualSpacing/>
    </w:pPr>
  </w:style>
  <w:style w:type="paragraph" w:customStyle="1" w:styleId="xl214">
    <w:name w:val="xl214"/>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right"/>
      <w:textAlignment w:val="center"/>
    </w:pPr>
    <w:rPr>
      <w:rFonts w:ascii="Arial Narrow" w:hAnsi="Arial Narrow"/>
      <w:sz w:val="10"/>
      <w:szCs w:val="10"/>
    </w:rPr>
  </w:style>
  <w:style w:type="paragraph" w:customStyle="1" w:styleId="xl215">
    <w:name w:val="xl215"/>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216">
    <w:name w:val="xl216"/>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217">
    <w:name w:val="xl217"/>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218">
    <w:name w:val="xl218"/>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19">
    <w:name w:val="xl219"/>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textAlignment w:val="center"/>
    </w:pPr>
    <w:rPr>
      <w:rFonts w:ascii="Arial Narrow" w:hAnsi="Arial Narrow"/>
      <w:b/>
      <w:bCs/>
      <w:sz w:val="10"/>
      <w:szCs w:val="10"/>
    </w:rPr>
  </w:style>
  <w:style w:type="paragraph" w:customStyle="1" w:styleId="xl220">
    <w:name w:val="xl220"/>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sz w:val="10"/>
      <w:szCs w:val="10"/>
    </w:rPr>
  </w:style>
  <w:style w:type="paragraph" w:customStyle="1" w:styleId="xl221">
    <w:name w:val="xl221"/>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22">
    <w:name w:val="xl222"/>
    <w:basedOn w:val="Normalny"/>
    <w:rsid w:val="00740FFC"/>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23">
    <w:name w:val="xl223"/>
    <w:basedOn w:val="Normalny"/>
    <w:rsid w:val="00740FFC"/>
    <w:pPr>
      <w:pBdr>
        <w:bottom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224">
    <w:name w:val="xl224"/>
    <w:basedOn w:val="Normalny"/>
    <w:rsid w:val="00740FFC"/>
    <w:pPr>
      <w:shd w:val="clear" w:color="000000" w:fill="B6D9E6"/>
      <w:spacing w:before="100" w:beforeAutospacing="1" w:after="100" w:afterAutospacing="1" w:line="240" w:lineRule="auto"/>
      <w:textAlignment w:val="center"/>
    </w:pPr>
    <w:rPr>
      <w:rFonts w:ascii="Arial Narrow" w:hAnsi="Arial Narrow"/>
      <w:sz w:val="10"/>
      <w:szCs w:val="10"/>
    </w:rPr>
  </w:style>
  <w:style w:type="paragraph" w:customStyle="1" w:styleId="xl225">
    <w:name w:val="xl225"/>
    <w:basedOn w:val="Normalny"/>
    <w:rsid w:val="00740FFC"/>
    <w:pPr>
      <w:spacing w:before="100" w:beforeAutospacing="1" w:after="100" w:afterAutospacing="1" w:line="240" w:lineRule="auto"/>
    </w:pPr>
    <w:rPr>
      <w:rFonts w:cs="Arial"/>
      <w:sz w:val="16"/>
      <w:szCs w:val="16"/>
    </w:rPr>
  </w:style>
  <w:style w:type="paragraph" w:customStyle="1" w:styleId="xl226">
    <w:name w:val="xl226"/>
    <w:basedOn w:val="Normalny"/>
    <w:rsid w:val="00740FFC"/>
    <w:pPr>
      <w:spacing w:before="100" w:beforeAutospacing="1" w:after="100" w:afterAutospacing="1" w:line="240" w:lineRule="auto"/>
    </w:pPr>
    <w:rPr>
      <w:rFonts w:cs="Arial"/>
      <w:sz w:val="16"/>
      <w:szCs w:val="16"/>
    </w:rPr>
  </w:style>
  <w:style w:type="paragraph" w:customStyle="1" w:styleId="xl227">
    <w:name w:val="xl227"/>
    <w:basedOn w:val="Normalny"/>
    <w:rsid w:val="00740FFC"/>
    <w:pPr>
      <w:spacing w:before="100" w:beforeAutospacing="1" w:after="100" w:afterAutospacing="1" w:line="240" w:lineRule="auto"/>
    </w:pPr>
    <w:rPr>
      <w:rFonts w:cs="Arial"/>
      <w:b/>
      <w:bCs/>
      <w:sz w:val="16"/>
      <w:szCs w:val="16"/>
    </w:rPr>
  </w:style>
  <w:style w:type="paragraph" w:customStyle="1" w:styleId="xl228">
    <w:name w:val="xl228"/>
    <w:basedOn w:val="Normalny"/>
    <w:rsid w:val="00740FFC"/>
    <w:pPr>
      <w:spacing w:before="100" w:beforeAutospacing="1" w:after="100" w:afterAutospacing="1" w:line="240" w:lineRule="auto"/>
    </w:pPr>
    <w:rPr>
      <w:rFonts w:ascii="Arial Narrow" w:hAnsi="Arial Narrow"/>
      <w:sz w:val="10"/>
      <w:szCs w:val="10"/>
    </w:rPr>
  </w:style>
  <w:style w:type="paragraph" w:customStyle="1" w:styleId="xl229">
    <w:name w:val="xl229"/>
    <w:basedOn w:val="Normalny"/>
    <w:rsid w:val="00740FFC"/>
    <w:pPr>
      <w:spacing w:before="100" w:beforeAutospacing="1" w:after="100" w:afterAutospacing="1" w:line="240" w:lineRule="auto"/>
      <w:jc w:val="center"/>
    </w:pPr>
    <w:rPr>
      <w:rFonts w:ascii="Arial Narrow" w:hAnsi="Arial Narrow"/>
      <w:sz w:val="10"/>
      <w:szCs w:val="10"/>
    </w:rPr>
  </w:style>
  <w:style w:type="paragraph" w:customStyle="1" w:styleId="xl230">
    <w:name w:val="xl230"/>
    <w:basedOn w:val="Normalny"/>
    <w:rsid w:val="00740FFC"/>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1">
    <w:name w:val="xl231"/>
    <w:basedOn w:val="Normalny"/>
    <w:rsid w:val="00740FFC"/>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2">
    <w:name w:val="xl232"/>
    <w:basedOn w:val="Normalny"/>
    <w:rsid w:val="00740FFC"/>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3">
    <w:name w:val="xl233"/>
    <w:basedOn w:val="Normalny"/>
    <w:rsid w:val="00740FFC"/>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4">
    <w:name w:val="xl234"/>
    <w:basedOn w:val="Normalny"/>
    <w:rsid w:val="00740FFC"/>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5">
    <w:name w:val="xl235"/>
    <w:basedOn w:val="Normalny"/>
    <w:rsid w:val="00740FFC"/>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6">
    <w:name w:val="xl236"/>
    <w:basedOn w:val="Normalny"/>
    <w:rsid w:val="00740FFC"/>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7">
    <w:name w:val="xl237"/>
    <w:basedOn w:val="Normalny"/>
    <w:rsid w:val="00740FFC"/>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08">
    <w:name w:val="xl208"/>
    <w:basedOn w:val="Normalny"/>
    <w:rsid w:val="00427E18"/>
    <w:pPr>
      <w:spacing w:before="100" w:beforeAutospacing="1" w:after="100" w:afterAutospacing="1" w:line="240" w:lineRule="auto"/>
    </w:pPr>
    <w:rPr>
      <w:rFonts w:cs="Arial"/>
      <w:sz w:val="16"/>
      <w:szCs w:val="16"/>
    </w:rPr>
  </w:style>
  <w:style w:type="paragraph" w:customStyle="1" w:styleId="xl209">
    <w:name w:val="xl209"/>
    <w:basedOn w:val="Normalny"/>
    <w:rsid w:val="00427E18"/>
    <w:pPr>
      <w:spacing w:before="100" w:beforeAutospacing="1" w:after="100" w:afterAutospacing="1" w:line="240" w:lineRule="auto"/>
    </w:pPr>
    <w:rPr>
      <w:rFonts w:cs="Arial"/>
      <w:b/>
      <w:bCs/>
      <w:sz w:val="16"/>
      <w:szCs w:val="16"/>
    </w:rPr>
  </w:style>
  <w:style w:type="paragraph" w:customStyle="1" w:styleId="xl210">
    <w:name w:val="xl210"/>
    <w:basedOn w:val="Normalny"/>
    <w:rsid w:val="00427E18"/>
    <w:pPr>
      <w:spacing w:before="100" w:beforeAutospacing="1" w:after="100" w:afterAutospacing="1" w:line="240" w:lineRule="auto"/>
      <w:jc w:val="center"/>
      <w:textAlignment w:val="center"/>
    </w:pPr>
    <w:rPr>
      <w:rFonts w:cs="Arial"/>
      <w:sz w:val="12"/>
      <w:szCs w:val="12"/>
    </w:rPr>
  </w:style>
  <w:style w:type="paragraph" w:customStyle="1" w:styleId="xl211">
    <w:name w:val="xl211"/>
    <w:basedOn w:val="Normalny"/>
    <w:rsid w:val="00427E18"/>
    <w:pPr>
      <w:spacing w:before="100" w:beforeAutospacing="1" w:after="100" w:afterAutospacing="1" w:line="240" w:lineRule="auto"/>
      <w:jc w:val="center"/>
      <w:textAlignment w:val="center"/>
    </w:pPr>
    <w:rPr>
      <w:rFonts w:cs="Arial"/>
      <w:b/>
      <w:bCs/>
      <w:sz w:val="16"/>
      <w:szCs w:val="16"/>
    </w:rPr>
  </w:style>
  <w:style w:type="paragraph" w:customStyle="1" w:styleId="xl212">
    <w:name w:val="xl212"/>
    <w:basedOn w:val="Normalny"/>
    <w:rsid w:val="00427E1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13">
    <w:name w:val="xl213"/>
    <w:basedOn w:val="Normalny"/>
    <w:rsid w:val="00427E1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38">
    <w:name w:val="xl238"/>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39">
    <w:name w:val="xl239"/>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41">
    <w:name w:val="xl241"/>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4820E9"/>
    <w:pPr>
      <w:pBdr>
        <w:top w:val="single" w:sz="4" w:space="0" w:color="auto"/>
        <w:left w:val="single" w:sz="4" w:space="11" w:color="auto"/>
        <w:bottom w:val="single" w:sz="4" w:space="0" w:color="auto"/>
        <w:right w:val="single" w:sz="4" w:space="0" w:color="auto"/>
      </w:pBdr>
      <w:shd w:val="clear" w:color="000000" w:fill="FFFDC1"/>
      <w:spacing w:before="100" w:beforeAutospacing="1" w:after="100" w:afterAutospacing="1" w:line="240" w:lineRule="auto"/>
      <w:ind w:firstLineChars="100" w:firstLine="100"/>
      <w:textAlignment w:val="center"/>
    </w:pPr>
    <w:rPr>
      <w:rFonts w:cs="Arial"/>
      <w:b/>
      <w:bCs/>
      <w:sz w:val="12"/>
      <w:szCs w:val="12"/>
    </w:rPr>
  </w:style>
  <w:style w:type="paragraph" w:customStyle="1" w:styleId="xl243">
    <w:name w:val="xl243"/>
    <w:basedOn w:val="Normalny"/>
    <w:rsid w:val="004820E9"/>
    <w:pPr>
      <w:pBdr>
        <w:top w:val="single" w:sz="4" w:space="0" w:color="auto"/>
        <w:left w:val="single" w:sz="4" w:space="11" w:color="auto"/>
        <w:bottom w:val="single" w:sz="4" w:space="0" w:color="auto"/>
        <w:right w:val="single" w:sz="4" w:space="0" w:color="auto"/>
      </w:pBdr>
      <w:shd w:val="clear" w:color="000000" w:fill="FFFDC1"/>
      <w:spacing w:before="100" w:beforeAutospacing="1" w:after="100" w:afterAutospacing="1" w:line="240" w:lineRule="auto"/>
      <w:ind w:firstLineChars="100" w:firstLine="100"/>
      <w:textAlignment w:val="center"/>
    </w:pPr>
    <w:rPr>
      <w:rFonts w:cs="Arial"/>
      <w:b/>
      <w:bCs/>
      <w:sz w:val="12"/>
      <w:szCs w:val="12"/>
    </w:rPr>
  </w:style>
  <w:style w:type="paragraph" w:customStyle="1" w:styleId="xl244">
    <w:name w:val="xl244"/>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45">
    <w:name w:val="xl245"/>
    <w:basedOn w:val="Normalny"/>
    <w:rsid w:val="004820E9"/>
    <w:pPr>
      <w:spacing w:before="100" w:beforeAutospacing="1" w:after="100" w:afterAutospacing="1" w:line="240" w:lineRule="auto"/>
    </w:pPr>
    <w:rPr>
      <w:rFonts w:cs="Arial"/>
      <w:sz w:val="16"/>
      <w:szCs w:val="16"/>
    </w:rPr>
  </w:style>
  <w:style w:type="paragraph" w:customStyle="1" w:styleId="xl246">
    <w:name w:val="xl246"/>
    <w:basedOn w:val="Normalny"/>
    <w:rsid w:val="004820E9"/>
    <w:pPr>
      <w:spacing w:before="100" w:beforeAutospacing="1" w:after="100" w:afterAutospacing="1" w:line="240" w:lineRule="auto"/>
    </w:pPr>
    <w:rPr>
      <w:rFonts w:cs="Arial"/>
      <w:sz w:val="16"/>
      <w:szCs w:val="16"/>
    </w:rPr>
  </w:style>
  <w:style w:type="paragraph" w:customStyle="1" w:styleId="xl247">
    <w:name w:val="xl247"/>
    <w:basedOn w:val="Normalny"/>
    <w:rsid w:val="004820E9"/>
    <w:pPr>
      <w:spacing w:before="100" w:beforeAutospacing="1" w:after="100" w:afterAutospacing="1" w:line="240" w:lineRule="auto"/>
      <w:jc w:val="center"/>
      <w:textAlignment w:val="center"/>
    </w:pPr>
    <w:rPr>
      <w:rFonts w:cs="Arial"/>
      <w:b/>
      <w:bCs/>
      <w:sz w:val="16"/>
      <w:szCs w:val="16"/>
    </w:rPr>
  </w:style>
  <w:style w:type="paragraph" w:customStyle="1" w:styleId="xl248">
    <w:name w:val="xl248"/>
    <w:basedOn w:val="Normalny"/>
    <w:rsid w:val="004820E9"/>
    <w:pPr>
      <w:spacing w:before="100" w:beforeAutospacing="1" w:after="100" w:afterAutospacing="1" w:line="240" w:lineRule="auto"/>
      <w:jc w:val="center"/>
      <w:textAlignment w:val="center"/>
    </w:pPr>
    <w:rPr>
      <w:rFonts w:cs="Arial"/>
      <w:sz w:val="12"/>
      <w:szCs w:val="12"/>
    </w:rPr>
  </w:style>
  <w:style w:type="paragraph" w:customStyle="1" w:styleId="xl249">
    <w:name w:val="xl249"/>
    <w:basedOn w:val="Normalny"/>
    <w:rsid w:val="004820E9"/>
    <w:pPr>
      <w:spacing w:before="100" w:beforeAutospacing="1" w:after="100" w:afterAutospacing="1" w:line="240" w:lineRule="auto"/>
    </w:pPr>
    <w:rPr>
      <w:rFonts w:cs="Arial"/>
      <w:b/>
      <w:bCs/>
      <w:sz w:val="16"/>
      <w:szCs w:val="16"/>
    </w:rPr>
  </w:style>
  <w:style w:type="paragraph" w:customStyle="1" w:styleId="xl250">
    <w:name w:val="xl250"/>
    <w:basedOn w:val="Normalny"/>
    <w:rsid w:val="004820E9"/>
    <w:pPr>
      <w:spacing w:before="100" w:beforeAutospacing="1" w:after="100" w:afterAutospacing="1" w:line="240" w:lineRule="auto"/>
    </w:pPr>
    <w:rPr>
      <w:rFonts w:cs="Arial"/>
      <w:sz w:val="16"/>
      <w:szCs w:val="16"/>
    </w:rPr>
  </w:style>
  <w:style w:type="paragraph" w:customStyle="1" w:styleId="xl251">
    <w:name w:val="xl251"/>
    <w:basedOn w:val="Normalny"/>
    <w:rsid w:val="004820E9"/>
    <w:pPr>
      <w:spacing w:before="100" w:beforeAutospacing="1" w:after="100" w:afterAutospacing="1" w:line="240" w:lineRule="auto"/>
    </w:pPr>
    <w:rPr>
      <w:rFonts w:cs="Arial"/>
      <w:sz w:val="16"/>
      <w:szCs w:val="16"/>
    </w:rPr>
  </w:style>
  <w:style w:type="character" w:styleId="Uwydatnienie">
    <w:name w:val="Emphasis"/>
    <w:qFormat/>
    <w:rsid w:val="00A402C7"/>
    <w:rPr>
      <w:i/>
      <w:iCs/>
    </w:rPr>
  </w:style>
  <w:style w:type="character" w:styleId="Odwoanieprzypisukocowego">
    <w:name w:val="endnote reference"/>
    <w:rsid w:val="00A87BDA"/>
    <w:rPr>
      <w:vertAlign w:val="superscript"/>
    </w:rPr>
  </w:style>
  <w:style w:type="character" w:customStyle="1" w:styleId="ZnakZnak2">
    <w:name w:val="Znak Znak2"/>
    <w:rsid w:val="00A87BDA"/>
    <w:rPr>
      <w:rFonts w:ascii="Arial" w:hAnsi="Arial"/>
      <w:bCs/>
      <w:i/>
      <w:szCs w:val="22"/>
      <w:lang w:val="pl-PL" w:eastAsia="pl-PL" w:bidi="ar-SA"/>
    </w:rPr>
  </w:style>
  <w:style w:type="paragraph" w:styleId="Podtytu">
    <w:name w:val="Subtitle"/>
    <w:basedOn w:val="Normalny"/>
    <w:link w:val="PodtytuZnak"/>
    <w:qFormat/>
    <w:rsid w:val="00A87BDA"/>
    <w:pPr>
      <w:jc w:val="center"/>
    </w:pPr>
    <w:rPr>
      <w:rFonts w:ascii="Times New Roman" w:hAnsi="Times New Roman"/>
      <w:b/>
      <w:bCs/>
      <w:sz w:val="26"/>
      <w:szCs w:val="20"/>
      <w:lang w:val="x-none" w:eastAsia="x-none"/>
    </w:rPr>
  </w:style>
  <w:style w:type="character" w:customStyle="1" w:styleId="PodtytuZnak">
    <w:name w:val="Podtytuł Znak"/>
    <w:link w:val="Podtytu"/>
    <w:rsid w:val="00A87BDA"/>
    <w:rPr>
      <w:b/>
      <w:bCs/>
      <w:sz w:val="26"/>
    </w:rPr>
  </w:style>
  <w:style w:type="paragraph" w:customStyle="1" w:styleId="xl252">
    <w:name w:val="xl252"/>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53">
    <w:name w:val="xl253"/>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4">
    <w:name w:val="xl254"/>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5">
    <w:name w:val="xl255"/>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6">
    <w:name w:val="xl256"/>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7">
    <w:name w:val="xl257"/>
    <w:basedOn w:val="Normalny"/>
    <w:rsid w:val="00D61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258">
    <w:name w:val="xl258"/>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59">
    <w:name w:val="xl259"/>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60">
    <w:name w:val="xl260"/>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msonormal0">
    <w:name w:val="msonormal"/>
    <w:basedOn w:val="Normalny"/>
    <w:rsid w:val="00CA281E"/>
    <w:pPr>
      <w:spacing w:before="100" w:beforeAutospacing="1" w:after="100" w:afterAutospacing="1" w:line="240" w:lineRule="auto"/>
    </w:pPr>
    <w:rPr>
      <w:rFonts w:ascii="Times New Roman" w:hAnsi="Times New Roman"/>
    </w:rPr>
  </w:style>
  <w:style w:type="paragraph" w:customStyle="1" w:styleId="xl352">
    <w:name w:val="xl352"/>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353">
    <w:name w:val="xl353"/>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sz w:val="10"/>
      <w:szCs w:val="10"/>
    </w:rPr>
  </w:style>
  <w:style w:type="paragraph" w:customStyle="1" w:styleId="xl354">
    <w:name w:val="xl354"/>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55">
    <w:name w:val="xl355"/>
    <w:basedOn w:val="Normalny"/>
    <w:rsid w:val="00916181"/>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56">
    <w:name w:val="xl356"/>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right"/>
      <w:textAlignment w:val="center"/>
    </w:pPr>
    <w:rPr>
      <w:rFonts w:ascii="Arial Narrow" w:hAnsi="Arial Narrow"/>
      <w:sz w:val="10"/>
      <w:szCs w:val="10"/>
    </w:rPr>
  </w:style>
  <w:style w:type="paragraph" w:customStyle="1" w:styleId="xl357">
    <w:name w:val="xl357"/>
    <w:basedOn w:val="Normalny"/>
    <w:rsid w:val="00916181"/>
    <w:pPr>
      <w:pBdr>
        <w:bottom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358">
    <w:name w:val="xl358"/>
    <w:basedOn w:val="Normalny"/>
    <w:rsid w:val="00916181"/>
    <w:pPr>
      <w:shd w:val="clear" w:color="000000" w:fill="B6D9E6"/>
      <w:spacing w:before="100" w:beforeAutospacing="1" w:after="100" w:afterAutospacing="1" w:line="240" w:lineRule="auto"/>
      <w:textAlignment w:val="center"/>
    </w:pPr>
    <w:rPr>
      <w:rFonts w:ascii="Arial Narrow" w:hAnsi="Arial Narrow"/>
      <w:sz w:val="10"/>
      <w:szCs w:val="10"/>
    </w:rPr>
  </w:style>
  <w:style w:type="paragraph" w:customStyle="1" w:styleId="xl359">
    <w:name w:val="xl359"/>
    <w:basedOn w:val="Normalny"/>
    <w:rsid w:val="00916181"/>
    <w:pPr>
      <w:spacing w:before="100" w:beforeAutospacing="1" w:after="100" w:afterAutospacing="1" w:line="240" w:lineRule="auto"/>
    </w:pPr>
    <w:rPr>
      <w:rFonts w:ascii="Arial Narrow" w:hAnsi="Arial Narrow"/>
      <w:sz w:val="10"/>
      <w:szCs w:val="10"/>
    </w:rPr>
  </w:style>
  <w:style w:type="paragraph" w:customStyle="1" w:styleId="xl360">
    <w:name w:val="xl360"/>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361">
    <w:name w:val="xl361"/>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362">
    <w:name w:val="xl362"/>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63">
    <w:name w:val="xl363"/>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textAlignment w:val="center"/>
    </w:pPr>
    <w:rPr>
      <w:rFonts w:ascii="Arial Narrow" w:hAnsi="Arial Narrow"/>
      <w:b/>
      <w:bCs/>
      <w:sz w:val="10"/>
      <w:szCs w:val="10"/>
    </w:rPr>
  </w:style>
  <w:style w:type="paragraph" w:customStyle="1" w:styleId="xl364">
    <w:name w:val="xl364"/>
    <w:basedOn w:val="Normalny"/>
    <w:rsid w:val="00916181"/>
    <w:pPr>
      <w:spacing w:before="100" w:beforeAutospacing="1" w:after="100" w:afterAutospacing="1" w:line="240" w:lineRule="auto"/>
      <w:jc w:val="center"/>
    </w:pPr>
    <w:rPr>
      <w:rFonts w:ascii="Arial Narrow" w:hAnsi="Arial Narrow"/>
      <w:sz w:val="10"/>
      <w:szCs w:val="10"/>
    </w:rPr>
  </w:style>
  <w:style w:type="paragraph" w:customStyle="1" w:styleId="xl365">
    <w:name w:val="xl365"/>
    <w:basedOn w:val="Normalny"/>
    <w:rsid w:val="00916181"/>
    <w:pPr>
      <w:spacing w:before="100" w:beforeAutospacing="1" w:after="100" w:afterAutospacing="1" w:line="240" w:lineRule="auto"/>
    </w:pPr>
    <w:rPr>
      <w:rFonts w:cs="Arial"/>
      <w:sz w:val="16"/>
      <w:szCs w:val="16"/>
    </w:rPr>
  </w:style>
  <w:style w:type="paragraph" w:customStyle="1" w:styleId="xl366">
    <w:name w:val="xl366"/>
    <w:basedOn w:val="Normalny"/>
    <w:rsid w:val="00916181"/>
    <w:pPr>
      <w:spacing w:before="100" w:beforeAutospacing="1" w:after="100" w:afterAutospacing="1" w:line="240" w:lineRule="auto"/>
    </w:pPr>
    <w:rPr>
      <w:rFonts w:cs="Arial"/>
      <w:sz w:val="16"/>
      <w:szCs w:val="16"/>
    </w:rPr>
  </w:style>
  <w:style w:type="paragraph" w:customStyle="1" w:styleId="xl367">
    <w:name w:val="xl367"/>
    <w:basedOn w:val="Normalny"/>
    <w:rsid w:val="00916181"/>
    <w:pPr>
      <w:spacing w:before="100" w:beforeAutospacing="1" w:after="100" w:afterAutospacing="1" w:line="240" w:lineRule="auto"/>
    </w:pPr>
    <w:rPr>
      <w:rFonts w:cs="Arial"/>
      <w:b/>
      <w:bCs/>
      <w:sz w:val="16"/>
      <w:szCs w:val="16"/>
    </w:rPr>
  </w:style>
  <w:style w:type="paragraph" w:customStyle="1" w:styleId="xl368">
    <w:name w:val="xl368"/>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69">
    <w:name w:val="xl369"/>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370">
    <w:name w:val="xl370"/>
    <w:basedOn w:val="Normalny"/>
    <w:rsid w:val="00916181"/>
    <w:pPr>
      <w:spacing w:before="100" w:beforeAutospacing="1" w:after="100" w:afterAutospacing="1" w:line="240" w:lineRule="auto"/>
      <w:jc w:val="center"/>
    </w:pPr>
    <w:rPr>
      <w:rFonts w:cs="Arial"/>
      <w:sz w:val="16"/>
      <w:szCs w:val="16"/>
    </w:rPr>
  </w:style>
  <w:style w:type="paragraph" w:customStyle="1" w:styleId="xl371">
    <w:name w:val="xl371"/>
    <w:basedOn w:val="Normalny"/>
    <w:rsid w:val="00916181"/>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2">
    <w:name w:val="xl372"/>
    <w:basedOn w:val="Normalny"/>
    <w:rsid w:val="00916181"/>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3">
    <w:name w:val="xl373"/>
    <w:basedOn w:val="Normalny"/>
    <w:rsid w:val="00916181"/>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4">
    <w:name w:val="xl374"/>
    <w:basedOn w:val="Normalny"/>
    <w:rsid w:val="00916181"/>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5">
    <w:name w:val="xl375"/>
    <w:basedOn w:val="Normalny"/>
    <w:rsid w:val="00916181"/>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6">
    <w:name w:val="xl376"/>
    <w:basedOn w:val="Normalny"/>
    <w:rsid w:val="00916181"/>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7">
    <w:name w:val="xl377"/>
    <w:basedOn w:val="Normalny"/>
    <w:rsid w:val="00916181"/>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8">
    <w:name w:val="xl378"/>
    <w:basedOn w:val="Normalny"/>
    <w:rsid w:val="00916181"/>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9">
    <w:name w:val="xl379"/>
    <w:basedOn w:val="Normalny"/>
    <w:rsid w:val="00D72B60"/>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0">
    <w:name w:val="xl380"/>
    <w:basedOn w:val="Normalny"/>
    <w:rsid w:val="00D72B60"/>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1">
    <w:name w:val="xl381"/>
    <w:basedOn w:val="Normalny"/>
    <w:rsid w:val="00D72B60"/>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2">
    <w:name w:val="xl382"/>
    <w:basedOn w:val="Normalny"/>
    <w:rsid w:val="00D72B60"/>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3">
    <w:name w:val="xl383"/>
    <w:basedOn w:val="Normalny"/>
    <w:rsid w:val="00D72B60"/>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4">
    <w:name w:val="xl384"/>
    <w:basedOn w:val="Normalny"/>
    <w:rsid w:val="00D72B60"/>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5">
    <w:name w:val="xl385"/>
    <w:basedOn w:val="Normalny"/>
    <w:rsid w:val="00426983"/>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character" w:customStyle="1" w:styleId="normaltextrun">
    <w:name w:val="normaltextrun"/>
    <w:basedOn w:val="Domylnaczcionkaakapitu"/>
    <w:rsid w:val="005E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2">
      <w:bodyDiv w:val="1"/>
      <w:marLeft w:val="0"/>
      <w:marRight w:val="0"/>
      <w:marTop w:val="0"/>
      <w:marBottom w:val="0"/>
      <w:divBdr>
        <w:top w:val="none" w:sz="0" w:space="0" w:color="auto"/>
        <w:left w:val="none" w:sz="0" w:space="0" w:color="auto"/>
        <w:bottom w:val="none" w:sz="0" w:space="0" w:color="auto"/>
        <w:right w:val="none" w:sz="0" w:space="0" w:color="auto"/>
      </w:divBdr>
    </w:div>
    <w:div w:id="1667707">
      <w:bodyDiv w:val="1"/>
      <w:marLeft w:val="0"/>
      <w:marRight w:val="0"/>
      <w:marTop w:val="0"/>
      <w:marBottom w:val="0"/>
      <w:divBdr>
        <w:top w:val="none" w:sz="0" w:space="0" w:color="auto"/>
        <w:left w:val="none" w:sz="0" w:space="0" w:color="auto"/>
        <w:bottom w:val="none" w:sz="0" w:space="0" w:color="auto"/>
        <w:right w:val="none" w:sz="0" w:space="0" w:color="auto"/>
      </w:divBdr>
    </w:div>
    <w:div w:id="1977097">
      <w:bodyDiv w:val="1"/>
      <w:marLeft w:val="0"/>
      <w:marRight w:val="0"/>
      <w:marTop w:val="0"/>
      <w:marBottom w:val="0"/>
      <w:divBdr>
        <w:top w:val="none" w:sz="0" w:space="0" w:color="auto"/>
        <w:left w:val="none" w:sz="0" w:space="0" w:color="auto"/>
        <w:bottom w:val="none" w:sz="0" w:space="0" w:color="auto"/>
        <w:right w:val="none" w:sz="0" w:space="0" w:color="auto"/>
      </w:divBdr>
    </w:div>
    <w:div w:id="4134410">
      <w:bodyDiv w:val="1"/>
      <w:marLeft w:val="0"/>
      <w:marRight w:val="0"/>
      <w:marTop w:val="0"/>
      <w:marBottom w:val="0"/>
      <w:divBdr>
        <w:top w:val="none" w:sz="0" w:space="0" w:color="auto"/>
        <w:left w:val="none" w:sz="0" w:space="0" w:color="auto"/>
        <w:bottom w:val="none" w:sz="0" w:space="0" w:color="auto"/>
        <w:right w:val="none" w:sz="0" w:space="0" w:color="auto"/>
      </w:divBdr>
    </w:div>
    <w:div w:id="6835648">
      <w:bodyDiv w:val="1"/>
      <w:marLeft w:val="0"/>
      <w:marRight w:val="0"/>
      <w:marTop w:val="0"/>
      <w:marBottom w:val="0"/>
      <w:divBdr>
        <w:top w:val="none" w:sz="0" w:space="0" w:color="auto"/>
        <w:left w:val="none" w:sz="0" w:space="0" w:color="auto"/>
        <w:bottom w:val="none" w:sz="0" w:space="0" w:color="auto"/>
        <w:right w:val="none" w:sz="0" w:space="0" w:color="auto"/>
      </w:divBdr>
    </w:div>
    <w:div w:id="7172686">
      <w:bodyDiv w:val="1"/>
      <w:marLeft w:val="0"/>
      <w:marRight w:val="0"/>
      <w:marTop w:val="0"/>
      <w:marBottom w:val="0"/>
      <w:divBdr>
        <w:top w:val="none" w:sz="0" w:space="0" w:color="auto"/>
        <w:left w:val="none" w:sz="0" w:space="0" w:color="auto"/>
        <w:bottom w:val="none" w:sz="0" w:space="0" w:color="auto"/>
        <w:right w:val="none" w:sz="0" w:space="0" w:color="auto"/>
      </w:divBdr>
    </w:div>
    <w:div w:id="8139020">
      <w:bodyDiv w:val="1"/>
      <w:marLeft w:val="0"/>
      <w:marRight w:val="0"/>
      <w:marTop w:val="0"/>
      <w:marBottom w:val="0"/>
      <w:divBdr>
        <w:top w:val="none" w:sz="0" w:space="0" w:color="auto"/>
        <w:left w:val="none" w:sz="0" w:space="0" w:color="auto"/>
        <w:bottom w:val="none" w:sz="0" w:space="0" w:color="auto"/>
        <w:right w:val="none" w:sz="0" w:space="0" w:color="auto"/>
      </w:divBdr>
    </w:div>
    <w:div w:id="1369950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2558555">
      <w:bodyDiv w:val="1"/>
      <w:marLeft w:val="0"/>
      <w:marRight w:val="0"/>
      <w:marTop w:val="0"/>
      <w:marBottom w:val="0"/>
      <w:divBdr>
        <w:top w:val="none" w:sz="0" w:space="0" w:color="auto"/>
        <w:left w:val="none" w:sz="0" w:space="0" w:color="auto"/>
        <w:bottom w:val="none" w:sz="0" w:space="0" w:color="auto"/>
        <w:right w:val="none" w:sz="0" w:space="0" w:color="auto"/>
      </w:divBdr>
    </w:div>
    <w:div w:id="24063144">
      <w:bodyDiv w:val="1"/>
      <w:marLeft w:val="0"/>
      <w:marRight w:val="0"/>
      <w:marTop w:val="0"/>
      <w:marBottom w:val="0"/>
      <w:divBdr>
        <w:top w:val="none" w:sz="0" w:space="0" w:color="auto"/>
        <w:left w:val="none" w:sz="0" w:space="0" w:color="auto"/>
        <w:bottom w:val="none" w:sz="0" w:space="0" w:color="auto"/>
        <w:right w:val="none" w:sz="0" w:space="0" w:color="auto"/>
      </w:divBdr>
    </w:div>
    <w:div w:id="24139989">
      <w:bodyDiv w:val="1"/>
      <w:marLeft w:val="0"/>
      <w:marRight w:val="0"/>
      <w:marTop w:val="0"/>
      <w:marBottom w:val="0"/>
      <w:divBdr>
        <w:top w:val="none" w:sz="0" w:space="0" w:color="auto"/>
        <w:left w:val="none" w:sz="0" w:space="0" w:color="auto"/>
        <w:bottom w:val="none" w:sz="0" w:space="0" w:color="auto"/>
        <w:right w:val="none" w:sz="0" w:space="0" w:color="auto"/>
      </w:divBdr>
    </w:div>
    <w:div w:id="26108342">
      <w:bodyDiv w:val="1"/>
      <w:marLeft w:val="0"/>
      <w:marRight w:val="0"/>
      <w:marTop w:val="0"/>
      <w:marBottom w:val="0"/>
      <w:divBdr>
        <w:top w:val="none" w:sz="0" w:space="0" w:color="auto"/>
        <w:left w:val="none" w:sz="0" w:space="0" w:color="auto"/>
        <w:bottom w:val="none" w:sz="0" w:space="0" w:color="auto"/>
        <w:right w:val="none" w:sz="0" w:space="0" w:color="auto"/>
      </w:divBdr>
    </w:div>
    <w:div w:id="27144678">
      <w:bodyDiv w:val="1"/>
      <w:marLeft w:val="0"/>
      <w:marRight w:val="0"/>
      <w:marTop w:val="0"/>
      <w:marBottom w:val="0"/>
      <w:divBdr>
        <w:top w:val="none" w:sz="0" w:space="0" w:color="auto"/>
        <w:left w:val="none" w:sz="0" w:space="0" w:color="auto"/>
        <w:bottom w:val="none" w:sz="0" w:space="0" w:color="auto"/>
        <w:right w:val="none" w:sz="0" w:space="0" w:color="auto"/>
      </w:divBdr>
    </w:div>
    <w:div w:id="29036732">
      <w:bodyDiv w:val="1"/>
      <w:marLeft w:val="0"/>
      <w:marRight w:val="0"/>
      <w:marTop w:val="0"/>
      <w:marBottom w:val="0"/>
      <w:divBdr>
        <w:top w:val="none" w:sz="0" w:space="0" w:color="auto"/>
        <w:left w:val="none" w:sz="0" w:space="0" w:color="auto"/>
        <w:bottom w:val="none" w:sz="0" w:space="0" w:color="auto"/>
        <w:right w:val="none" w:sz="0" w:space="0" w:color="auto"/>
      </w:divBdr>
    </w:div>
    <w:div w:id="30418784">
      <w:bodyDiv w:val="1"/>
      <w:marLeft w:val="0"/>
      <w:marRight w:val="0"/>
      <w:marTop w:val="0"/>
      <w:marBottom w:val="0"/>
      <w:divBdr>
        <w:top w:val="none" w:sz="0" w:space="0" w:color="auto"/>
        <w:left w:val="none" w:sz="0" w:space="0" w:color="auto"/>
        <w:bottom w:val="none" w:sz="0" w:space="0" w:color="auto"/>
        <w:right w:val="none" w:sz="0" w:space="0" w:color="auto"/>
      </w:divBdr>
    </w:div>
    <w:div w:id="30425168">
      <w:bodyDiv w:val="1"/>
      <w:marLeft w:val="0"/>
      <w:marRight w:val="0"/>
      <w:marTop w:val="0"/>
      <w:marBottom w:val="0"/>
      <w:divBdr>
        <w:top w:val="none" w:sz="0" w:space="0" w:color="auto"/>
        <w:left w:val="none" w:sz="0" w:space="0" w:color="auto"/>
        <w:bottom w:val="none" w:sz="0" w:space="0" w:color="auto"/>
        <w:right w:val="none" w:sz="0" w:space="0" w:color="auto"/>
      </w:divBdr>
    </w:div>
    <w:div w:id="32119311">
      <w:bodyDiv w:val="1"/>
      <w:marLeft w:val="0"/>
      <w:marRight w:val="0"/>
      <w:marTop w:val="0"/>
      <w:marBottom w:val="0"/>
      <w:divBdr>
        <w:top w:val="none" w:sz="0" w:space="0" w:color="auto"/>
        <w:left w:val="none" w:sz="0" w:space="0" w:color="auto"/>
        <w:bottom w:val="none" w:sz="0" w:space="0" w:color="auto"/>
        <w:right w:val="none" w:sz="0" w:space="0" w:color="auto"/>
      </w:divBdr>
    </w:div>
    <w:div w:id="33771295">
      <w:bodyDiv w:val="1"/>
      <w:marLeft w:val="0"/>
      <w:marRight w:val="0"/>
      <w:marTop w:val="0"/>
      <w:marBottom w:val="0"/>
      <w:divBdr>
        <w:top w:val="none" w:sz="0" w:space="0" w:color="auto"/>
        <w:left w:val="none" w:sz="0" w:space="0" w:color="auto"/>
        <w:bottom w:val="none" w:sz="0" w:space="0" w:color="auto"/>
        <w:right w:val="none" w:sz="0" w:space="0" w:color="auto"/>
      </w:divBdr>
    </w:div>
    <w:div w:id="35005390">
      <w:bodyDiv w:val="1"/>
      <w:marLeft w:val="0"/>
      <w:marRight w:val="0"/>
      <w:marTop w:val="0"/>
      <w:marBottom w:val="0"/>
      <w:divBdr>
        <w:top w:val="none" w:sz="0" w:space="0" w:color="auto"/>
        <w:left w:val="none" w:sz="0" w:space="0" w:color="auto"/>
        <w:bottom w:val="none" w:sz="0" w:space="0" w:color="auto"/>
        <w:right w:val="none" w:sz="0" w:space="0" w:color="auto"/>
      </w:divBdr>
    </w:div>
    <w:div w:id="35350988">
      <w:bodyDiv w:val="1"/>
      <w:marLeft w:val="0"/>
      <w:marRight w:val="0"/>
      <w:marTop w:val="0"/>
      <w:marBottom w:val="0"/>
      <w:divBdr>
        <w:top w:val="none" w:sz="0" w:space="0" w:color="auto"/>
        <w:left w:val="none" w:sz="0" w:space="0" w:color="auto"/>
        <w:bottom w:val="none" w:sz="0" w:space="0" w:color="auto"/>
        <w:right w:val="none" w:sz="0" w:space="0" w:color="auto"/>
      </w:divBdr>
    </w:div>
    <w:div w:id="36392648">
      <w:bodyDiv w:val="1"/>
      <w:marLeft w:val="0"/>
      <w:marRight w:val="0"/>
      <w:marTop w:val="0"/>
      <w:marBottom w:val="0"/>
      <w:divBdr>
        <w:top w:val="none" w:sz="0" w:space="0" w:color="auto"/>
        <w:left w:val="none" w:sz="0" w:space="0" w:color="auto"/>
        <w:bottom w:val="none" w:sz="0" w:space="0" w:color="auto"/>
        <w:right w:val="none" w:sz="0" w:space="0" w:color="auto"/>
      </w:divBdr>
    </w:div>
    <w:div w:id="37903505">
      <w:bodyDiv w:val="1"/>
      <w:marLeft w:val="0"/>
      <w:marRight w:val="0"/>
      <w:marTop w:val="0"/>
      <w:marBottom w:val="0"/>
      <w:divBdr>
        <w:top w:val="none" w:sz="0" w:space="0" w:color="auto"/>
        <w:left w:val="none" w:sz="0" w:space="0" w:color="auto"/>
        <w:bottom w:val="none" w:sz="0" w:space="0" w:color="auto"/>
        <w:right w:val="none" w:sz="0" w:space="0" w:color="auto"/>
      </w:divBdr>
    </w:div>
    <w:div w:id="38481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132149">
      <w:bodyDiv w:val="1"/>
      <w:marLeft w:val="0"/>
      <w:marRight w:val="0"/>
      <w:marTop w:val="0"/>
      <w:marBottom w:val="0"/>
      <w:divBdr>
        <w:top w:val="none" w:sz="0" w:space="0" w:color="auto"/>
        <w:left w:val="none" w:sz="0" w:space="0" w:color="auto"/>
        <w:bottom w:val="none" w:sz="0" w:space="0" w:color="auto"/>
        <w:right w:val="none" w:sz="0" w:space="0" w:color="auto"/>
      </w:divBdr>
    </w:div>
    <w:div w:id="40712050">
      <w:bodyDiv w:val="1"/>
      <w:marLeft w:val="0"/>
      <w:marRight w:val="0"/>
      <w:marTop w:val="0"/>
      <w:marBottom w:val="0"/>
      <w:divBdr>
        <w:top w:val="none" w:sz="0" w:space="0" w:color="auto"/>
        <w:left w:val="none" w:sz="0" w:space="0" w:color="auto"/>
        <w:bottom w:val="none" w:sz="0" w:space="0" w:color="auto"/>
        <w:right w:val="none" w:sz="0" w:space="0" w:color="auto"/>
      </w:divBdr>
    </w:div>
    <w:div w:id="44138078">
      <w:bodyDiv w:val="1"/>
      <w:marLeft w:val="0"/>
      <w:marRight w:val="0"/>
      <w:marTop w:val="0"/>
      <w:marBottom w:val="0"/>
      <w:divBdr>
        <w:top w:val="none" w:sz="0" w:space="0" w:color="auto"/>
        <w:left w:val="none" w:sz="0" w:space="0" w:color="auto"/>
        <w:bottom w:val="none" w:sz="0" w:space="0" w:color="auto"/>
        <w:right w:val="none" w:sz="0" w:space="0" w:color="auto"/>
      </w:divBdr>
    </w:div>
    <w:div w:id="44763416">
      <w:bodyDiv w:val="1"/>
      <w:marLeft w:val="0"/>
      <w:marRight w:val="0"/>
      <w:marTop w:val="0"/>
      <w:marBottom w:val="0"/>
      <w:divBdr>
        <w:top w:val="none" w:sz="0" w:space="0" w:color="auto"/>
        <w:left w:val="none" w:sz="0" w:space="0" w:color="auto"/>
        <w:bottom w:val="none" w:sz="0" w:space="0" w:color="auto"/>
        <w:right w:val="none" w:sz="0" w:space="0" w:color="auto"/>
      </w:divBdr>
    </w:div>
    <w:div w:id="4576538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004304">
      <w:bodyDiv w:val="1"/>
      <w:marLeft w:val="0"/>
      <w:marRight w:val="0"/>
      <w:marTop w:val="0"/>
      <w:marBottom w:val="0"/>
      <w:divBdr>
        <w:top w:val="none" w:sz="0" w:space="0" w:color="auto"/>
        <w:left w:val="none" w:sz="0" w:space="0" w:color="auto"/>
        <w:bottom w:val="none" w:sz="0" w:space="0" w:color="auto"/>
        <w:right w:val="none" w:sz="0" w:space="0" w:color="auto"/>
      </w:divBdr>
    </w:div>
    <w:div w:id="51075738">
      <w:bodyDiv w:val="1"/>
      <w:marLeft w:val="0"/>
      <w:marRight w:val="0"/>
      <w:marTop w:val="0"/>
      <w:marBottom w:val="0"/>
      <w:divBdr>
        <w:top w:val="none" w:sz="0" w:space="0" w:color="auto"/>
        <w:left w:val="none" w:sz="0" w:space="0" w:color="auto"/>
        <w:bottom w:val="none" w:sz="0" w:space="0" w:color="auto"/>
        <w:right w:val="none" w:sz="0" w:space="0" w:color="auto"/>
      </w:divBdr>
    </w:div>
    <w:div w:id="52579963">
      <w:bodyDiv w:val="1"/>
      <w:marLeft w:val="0"/>
      <w:marRight w:val="0"/>
      <w:marTop w:val="0"/>
      <w:marBottom w:val="0"/>
      <w:divBdr>
        <w:top w:val="none" w:sz="0" w:space="0" w:color="auto"/>
        <w:left w:val="none" w:sz="0" w:space="0" w:color="auto"/>
        <w:bottom w:val="none" w:sz="0" w:space="0" w:color="auto"/>
        <w:right w:val="none" w:sz="0" w:space="0" w:color="auto"/>
      </w:divBdr>
    </w:div>
    <w:div w:id="52780811">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5906569">
      <w:bodyDiv w:val="1"/>
      <w:marLeft w:val="0"/>
      <w:marRight w:val="0"/>
      <w:marTop w:val="0"/>
      <w:marBottom w:val="0"/>
      <w:divBdr>
        <w:top w:val="none" w:sz="0" w:space="0" w:color="auto"/>
        <w:left w:val="none" w:sz="0" w:space="0" w:color="auto"/>
        <w:bottom w:val="none" w:sz="0" w:space="0" w:color="auto"/>
        <w:right w:val="none" w:sz="0" w:space="0" w:color="auto"/>
      </w:divBdr>
    </w:div>
    <w:div w:id="56171450">
      <w:bodyDiv w:val="1"/>
      <w:marLeft w:val="0"/>
      <w:marRight w:val="0"/>
      <w:marTop w:val="0"/>
      <w:marBottom w:val="0"/>
      <w:divBdr>
        <w:top w:val="none" w:sz="0" w:space="0" w:color="auto"/>
        <w:left w:val="none" w:sz="0" w:space="0" w:color="auto"/>
        <w:bottom w:val="none" w:sz="0" w:space="0" w:color="auto"/>
        <w:right w:val="none" w:sz="0" w:space="0" w:color="auto"/>
      </w:divBdr>
    </w:div>
    <w:div w:id="56366242">
      <w:bodyDiv w:val="1"/>
      <w:marLeft w:val="0"/>
      <w:marRight w:val="0"/>
      <w:marTop w:val="0"/>
      <w:marBottom w:val="0"/>
      <w:divBdr>
        <w:top w:val="none" w:sz="0" w:space="0" w:color="auto"/>
        <w:left w:val="none" w:sz="0" w:space="0" w:color="auto"/>
        <w:bottom w:val="none" w:sz="0" w:space="0" w:color="auto"/>
        <w:right w:val="none" w:sz="0" w:space="0" w:color="auto"/>
      </w:divBdr>
    </w:div>
    <w:div w:id="56561370">
      <w:bodyDiv w:val="1"/>
      <w:marLeft w:val="0"/>
      <w:marRight w:val="0"/>
      <w:marTop w:val="0"/>
      <w:marBottom w:val="0"/>
      <w:divBdr>
        <w:top w:val="none" w:sz="0" w:space="0" w:color="auto"/>
        <w:left w:val="none" w:sz="0" w:space="0" w:color="auto"/>
        <w:bottom w:val="none" w:sz="0" w:space="0" w:color="auto"/>
        <w:right w:val="none" w:sz="0" w:space="0" w:color="auto"/>
      </w:divBdr>
    </w:div>
    <w:div w:id="58022321">
      <w:bodyDiv w:val="1"/>
      <w:marLeft w:val="0"/>
      <w:marRight w:val="0"/>
      <w:marTop w:val="0"/>
      <w:marBottom w:val="0"/>
      <w:divBdr>
        <w:top w:val="none" w:sz="0" w:space="0" w:color="auto"/>
        <w:left w:val="none" w:sz="0" w:space="0" w:color="auto"/>
        <w:bottom w:val="none" w:sz="0" w:space="0" w:color="auto"/>
        <w:right w:val="none" w:sz="0" w:space="0" w:color="auto"/>
      </w:divBdr>
    </w:div>
    <w:div w:id="58945695">
      <w:bodyDiv w:val="1"/>
      <w:marLeft w:val="0"/>
      <w:marRight w:val="0"/>
      <w:marTop w:val="0"/>
      <w:marBottom w:val="0"/>
      <w:divBdr>
        <w:top w:val="none" w:sz="0" w:space="0" w:color="auto"/>
        <w:left w:val="none" w:sz="0" w:space="0" w:color="auto"/>
        <w:bottom w:val="none" w:sz="0" w:space="0" w:color="auto"/>
        <w:right w:val="none" w:sz="0" w:space="0" w:color="auto"/>
      </w:divBdr>
    </w:div>
    <w:div w:id="59527996">
      <w:bodyDiv w:val="1"/>
      <w:marLeft w:val="0"/>
      <w:marRight w:val="0"/>
      <w:marTop w:val="0"/>
      <w:marBottom w:val="0"/>
      <w:divBdr>
        <w:top w:val="none" w:sz="0" w:space="0" w:color="auto"/>
        <w:left w:val="none" w:sz="0" w:space="0" w:color="auto"/>
        <w:bottom w:val="none" w:sz="0" w:space="0" w:color="auto"/>
        <w:right w:val="none" w:sz="0" w:space="0" w:color="auto"/>
      </w:divBdr>
    </w:div>
    <w:div w:id="59864484">
      <w:bodyDiv w:val="1"/>
      <w:marLeft w:val="0"/>
      <w:marRight w:val="0"/>
      <w:marTop w:val="0"/>
      <w:marBottom w:val="0"/>
      <w:divBdr>
        <w:top w:val="none" w:sz="0" w:space="0" w:color="auto"/>
        <w:left w:val="none" w:sz="0" w:space="0" w:color="auto"/>
        <w:bottom w:val="none" w:sz="0" w:space="0" w:color="auto"/>
        <w:right w:val="none" w:sz="0" w:space="0" w:color="auto"/>
      </w:divBdr>
    </w:div>
    <w:div w:id="64569126">
      <w:bodyDiv w:val="1"/>
      <w:marLeft w:val="0"/>
      <w:marRight w:val="0"/>
      <w:marTop w:val="0"/>
      <w:marBottom w:val="0"/>
      <w:divBdr>
        <w:top w:val="none" w:sz="0" w:space="0" w:color="auto"/>
        <w:left w:val="none" w:sz="0" w:space="0" w:color="auto"/>
        <w:bottom w:val="none" w:sz="0" w:space="0" w:color="auto"/>
        <w:right w:val="none" w:sz="0" w:space="0" w:color="auto"/>
      </w:divBdr>
    </w:div>
    <w:div w:id="65538745">
      <w:bodyDiv w:val="1"/>
      <w:marLeft w:val="0"/>
      <w:marRight w:val="0"/>
      <w:marTop w:val="0"/>
      <w:marBottom w:val="0"/>
      <w:divBdr>
        <w:top w:val="none" w:sz="0" w:space="0" w:color="auto"/>
        <w:left w:val="none" w:sz="0" w:space="0" w:color="auto"/>
        <w:bottom w:val="none" w:sz="0" w:space="0" w:color="auto"/>
        <w:right w:val="none" w:sz="0" w:space="0" w:color="auto"/>
      </w:divBdr>
    </w:div>
    <w:div w:id="65685407">
      <w:bodyDiv w:val="1"/>
      <w:marLeft w:val="0"/>
      <w:marRight w:val="0"/>
      <w:marTop w:val="0"/>
      <w:marBottom w:val="0"/>
      <w:divBdr>
        <w:top w:val="none" w:sz="0" w:space="0" w:color="auto"/>
        <w:left w:val="none" w:sz="0" w:space="0" w:color="auto"/>
        <w:bottom w:val="none" w:sz="0" w:space="0" w:color="auto"/>
        <w:right w:val="none" w:sz="0" w:space="0" w:color="auto"/>
      </w:divBdr>
    </w:div>
    <w:div w:id="65759997">
      <w:bodyDiv w:val="1"/>
      <w:marLeft w:val="0"/>
      <w:marRight w:val="0"/>
      <w:marTop w:val="0"/>
      <w:marBottom w:val="0"/>
      <w:divBdr>
        <w:top w:val="none" w:sz="0" w:space="0" w:color="auto"/>
        <w:left w:val="none" w:sz="0" w:space="0" w:color="auto"/>
        <w:bottom w:val="none" w:sz="0" w:space="0" w:color="auto"/>
        <w:right w:val="none" w:sz="0" w:space="0" w:color="auto"/>
      </w:divBdr>
    </w:div>
    <w:div w:id="67072408">
      <w:bodyDiv w:val="1"/>
      <w:marLeft w:val="0"/>
      <w:marRight w:val="0"/>
      <w:marTop w:val="0"/>
      <w:marBottom w:val="0"/>
      <w:divBdr>
        <w:top w:val="none" w:sz="0" w:space="0" w:color="auto"/>
        <w:left w:val="none" w:sz="0" w:space="0" w:color="auto"/>
        <w:bottom w:val="none" w:sz="0" w:space="0" w:color="auto"/>
        <w:right w:val="none" w:sz="0" w:space="0" w:color="auto"/>
      </w:divBdr>
    </w:div>
    <w:div w:id="68433321">
      <w:bodyDiv w:val="1"/>
      <w:marLeft w:val="0"/>
      <w:marRight w:val="0"/>
      <w:marTop w:val="0"/>
      <w:marBottom w:val="0"/>
      <w:divBdr>
        <w:top w:val="none" w:sz="0" w:space="0" w:color="auto"/>
        <w:left w:val="none" w:sz="0" w:space="0" w:color="auto"/>
        <w:bottom w:val="none" w:sz="0" w:space="0" w:color="auto"/>
        <w:right w:val="none" w:sz="0" w:space="0" w:color="auto"/>
      </w:divBdr>
    </w:div>
    <w:div w:id="68618515">
      <w:bodyDiv w:val="1"/>
      <w:marLeft w:val="0"/>
      <w:marRight w:val="0"/>
      <w:marTop w:val="0"/>
      <w:marBottom w:val="0"/>
      <w:divBdr>
        <w:top w:val="none" w:sz="0" w:space="0" w:color="auto"/>
        <w:left w:val="none" w:sz="0" w:space="0" w:color="auto"/>
        <w:bottom w:val="none" w:sz="0" w:space="0" w:color="auto"/>
        <w:right w:val="none" w:sz="0" w:space="0" w:color="auto"/>
      </w:divBdr>
    </w:div>
    <w:div w:id="69158412">
      <w:bodyDiv w:val="1"/>
      <w:marLeft w:val="0"/>
      <w:marRight w:val="0"/>
      <w:marTop w:val="0"/>
      <w:marBottom w:val="0"/>
      <w:divBdr>
        <w:top w:val="none" w:sz="0" w:space="0" w:color="auto"/>
        <w:left w:val="none" w:sz="0" w:space="0" w:color="auto"/>
        <w:bottom w:val="none" w:sz="0" w:space="0" w:color="auto"/>
        <w:right w:val="none" w:sz="0" w:space="0" w:color="auto"/>
      </w:divBdr>
    </w:div>
    <w:div w:id="72897297">
      <w:bodyDiv w:val="1"/>
      <w:marLeft w:val="0"/>
      <w:marRight w:val="0"/>
      <w:marTop w:val="0"/>
      <w:marBottom w:val="0"/>
      <w:divBdr>
        <w:top w:val="none" w:sz="0" w:space="0" w:color="auto"/>
        <w:left w:val="none" w:sz="0" w:space="0" w:color="auto"/>
        <w:bottom w:val="none" w:sz="0" w:space="0" w:color="auto"/>
        <w:right w:val="none" w:sz="0" w:space="0" w:color="auto"/>
      </w:divBdr>
    </w:div>
    <w:div w:id="78721603">
      <w:bodyDiv w:val="1"/>
      <w:marLeft w:val="0"/>
      <w:marRight w:val="0"/>
      <w:marTop w:val="0"/>
      <w:marBottom w:val="0"/>
      <w:divBdr>
        <w:top w:val="none" w:sz="0" w:space="0" w:color="auto"/>
        <w:left w:val="none" w:sz="0" w:space="0" w:color="auto"/>
        <w:bottom w:val="none" w:sz="0" w:space="0" w:color="auto"/>
        <w:right w:val="none" w:sz="0" w:space="0" w:color="auto"/>
      </w:divBdr>
    </w:div>
    <w:div w:id="79566402">
      <w:bodyDiv w:val="1"/>
      <w:marLeft w:val="0"/>
      <w:marRight w:val="0"/>
      <w:marTop w:val="0"/>
      <w:marBottom w:val="0"/>
      <w:divBdr>
        <w:top w:val="none" w:sz="0" w:space="0" w:color="auto"/>
        <w:left w:val="none" w:sz="0" w:space="0" w:color="auto"/>
        <w:bottom w:val="none" w:sz="0" w:space="0" w:color="auto"/>
        <w:right w:val="none" w:sz="0" w:space="0" w:color="auto"/>
      </w:divBdr>
    </w:div>
    <w:div w:id="81226681">
      <w:bodyDiv w:val="1"/>
      <w:marLeft w:val="0"/>
      <w:marRight w:val="0"/>
      <w:marTop w:val="0"/>
      <w:marBottom w:val="0"/>
      <w:divBdr>
        <w:top w:val="none" w:sz="0" w:space="0" w:color="auto"/>
        <w:left w:val="none" w:sz="0" w:space="0" w:color="auto"/>
        <w:bottom w:val="none" w:sz="0" w:space="0" w:color="auto"/>
        <w:right w:val="none" w:sz="0" w:space="0" w:color="auto"/>
      </w:divBdr>
    </w:div>
    <w:div w:id="81687054">
      <w:bodyDiv w:val="1"/>
      <w:marLeft w:val="0"/>
      <w:marRight w:val="0"/>
      <w:marTop w:val="0"/>
      <w:marBottom w:val="0"/>
      <w:divBdr>
        <w:top w:val="none" w:sz="0" w:space="0" w:color="auto"/>
        <w:left w:val="none" w:sz="0" w:space="0" w:color="auto"/>
        <w:bottom w:val="none" w:sz="0" w:space="0" w:color="auto"/>
        <w:right w:val="none" w:sz="0" w:space="0" w:color="auto"/>
      </w:divBdr>
    </w:div>
    <w:div w:id="82143315">
      <w:bodyDiv w:val="1"/>
      <w:marLeft w:val="0"/>
      <w:marRight w:val="0"/>
      <w:marTop w:val="0"/>
      <w:marBottom w:val="0"/>
      <w:divBdr>
        <w:top w:val="none" w:sz="0" w:space="0" w:color="auto"/>
        <w:left w:val="none" w:sz="0" w:space="0" w:color="auto"/>
        <w:bottom w:val="none" w:sz="0" w:space="0" w:color="auto"/>
        <w:right w:val="none" w:sz="0" w:space="0" w:color="auto"/>
      </w:divBdr>
    </w:div>
    <w:div w:id="83378165">
      <w:bodyDiv w:val="1"/>
      <w:marLeft w:val="0"/>
      <w:marRight w:val="0"/>
      <w:marTop w:val="0"/>
      <w:marBottom w:val="0"/>
      <w:divBdr>
        <w:top w:val="none" w:sz="0" w:space="0" w:color="auto"/>
        <w:left w:val="none" w:sz="0" w:space="0" w:color="auto"/>
        <w:bottom w:val="none" w:sz="0" w:space="0" w:color="auto"/>
        <w:right w:val="none" w:sz="0" w:space="0" w:color="auto"/>
      </w:divBdr>
    </w:div>
    <w:div w:id="83692763">
      <w:bodyDiv w:val="1"/>
      <w:marLeft w:val="0"/>
      <w:marRight w:val="0"/>
      <w:marTop w:val="0"/>
      <w:marBottom w:val="0"/>
      <w:divBdr>
        <w:top w:val="none" w:sz="0" w:space="0" w:color="auto"/>
        <w:left w:val="none" w:sz="0" w:space="0" w:color="auto"/>
        <w:bottom w:val="none" w:sz="0" w:space="0" w:color="auto"/>
        <w:right w:val="none" w:sz="0" w:space="0" w:color="auto"/>
      </w:divBdr>
    </w:div>
    <w:div w:id="87889600">
      <w:bodyDiv w:val="1"/>
      <w:marLeft w:val="0"/>
      <w:marRight w:val="0"/>
      <w:marTop w:val="0"/>
      <w:marBottom w:val="0"/>
      <w:divBdr>
        <w:top w:val="none" w:sz="0" w:space="0" w:color="auto"/>
        <w:left w:val="none" w:sz="0" w:space="0" w:color="auto"/>
        <w:bottom w:val="none" w:sz="0" w:space="0" w:color="auto"/>
        <w:right w:val="none" w:sz="0" w:space="0" w:color="auto"/>
      </w:divBdr>
    </w:div>
    <w:div w:id="89208303">
      <w:bodyDiv w:val="1"/>
      <w:marLeft w:val="0"/>
      <w:marRight w:val="0"/>
      <w:marTop w:val="0"/>
      <w:marBottom w:val="0"/>
      <w:divBdr>
        <w:top w:val="none" w:sz="0" w:space="0" w:color="auto"/>
        <w:left w:val="none" w:sz="0" w:space="0" w:color="auto"/>
        <w:bottom w:val="none" w:sz="0" w:space="0" w:color="auto"/>
        <w:right w:val="none" w:sz="0" w:space="0" w:color="auto"/>
      </w:divBdr>
    </w:div>
    <w:div w:id="89353097">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2824387">
      <w:bodyDiv w:val="1"/>
      <w:marLeft w:val="0"/>
      <w:marRight w:val="0"/>
      <w:marTop w:val="0"/>
      <w:marBottom w:val="0"/>
      <w:divBdr>
        <w:top w:val="none" w:sz="0" w:space="0" w:color="auto"/>
        <w:left w:val="none" w:sz="0" w:space="0" w:color="auto"/>
        <w:bottom w:val="none" w:sz="0" w:space="0" w:color="auto"/>
        <w:right w:val="none" w:sz="0" w:space="0" w:color="auto"/>
      </w:divBdr>
    </w:div>
    <w:div w:id="96143714">
      <w:bodyDiv w:val="1"/>
      <w:marLeft w:val="0"/>
      <w:marRight w:val="0"/>
      <w:marTop w:val="0"/>
      <w:marBottom w:val="0"/>
      <w:divBdr>
        <w:top w:val="none" w:sz="0" w:space="0" w:color="auto"/>
        <w:left w:val="none" w:sz="0" w:space="0" w:color="auto"/>
        <w:bottom w:val="none" w:sz="0" w:space="0" w:color="auto"/>
        <w:right w:val="none" w:sz="0" w:space="0" w:color="auto"/>
      </w:divBdr>
    </w:div>
    <w:div w:id="98181906">
      <w:bodyDiv w:val="1"/>
      <w:marLeft w:val="0"/>
      <w:marRight w:val="0"/>
      <w:marTop w:val="0"/>
      <w:marBottom w:val="0"/>
      <w:divBdr>
        <w:top w:val="none" w:sz="0" w:space="0" w:color="auto"/>
        <w:left w:val="none" w:sz="0" w:space="0" w:color="auto"/>
        <w:bottom w:val="none" w:sz="0" w:space="0" w:color="auto"/>
        <w:right w:val="none" w:sz="0" w:space="0" w:color="auto"/>
      </w:divBdr>
    </w:div>
    <w:div w:id="100928111">
      <w:bodyDiv w:val="1"/>
      <w:marLeft w:val="0"/>
      <w:marRight w:val="0"/>
      <w:marTop w:val="0"/>
      <w:marBottom w:val="0"/>
      <w:divBdr>
        <w:top w:val="none" w:sz="0" w:space="0" w:color="auto"/>
        <w:left w:val="none" w:sz="0" w:space="0" w:color="auto"/>
        <w:bottom w:val="none" w:sz="0" w:space="0" w:color="auto"/>
        <w:right w:val="none" w:sz="0" w:space="0" w:color="auto"/>
      </w:divBdr>
    </w:div>
    <w:div w:id="101384471">
      <w:bodyDiv w:val="1"/>
      <w:marLeft w:val="0"/>
      <w:marRight w:val="0"/>
      <w:marTop w:val="0"/>
      <w:marBottom w:val="0"/>
      <w:divBdr>
        <w:top w:val="none" w:sz="0" w:space="0" w:color="auto"/>
        <w:left w:val="none" w:sz="0" w:space="0" w:color="auto"/>
        <w:bottom w:val="none" w:sz="0" w:space="0" w:color="auto"/>
        <w:right w:val="none" w:sz="0" w:space="0" w:color="auto"/>
      </w:divBdr>
    </w:div>
    <w:div w:id="104079669">
      <w:bodyDiv w:val="1"/>
      <w:marLeft w:val="0"/>
      <w:marRight w:val="0"/>
      <w:marTop w:val="0"/>
      <w:marBottom w:val="0"/>
      <w:divBdr>
        <w:top w:val="none" w:sz="0" w:space="0" w:color="auto"/>
        <w:left w:val="none" w:sz="0" w:space="0" w:color="auto"/>
        <w:bottom w:val="none" w:sz="0" w:space="0" w:color="auto"/>
        <w:right w:val="none" w:sz="0" w:space="0" w:color="auto"/>
      </w:divBdr>
    </w:div>
    <w:div w:id="105004784">
      <w:bodyDiv w:val="1"/>
      <w:marLeft w:val="0"/>
      <w:marRight w:val="0"/>
      <w:marTop w:val="0"/>
      <w:marBottom w:val="0"/>
      <w:divBdr>
        <w:top w:val="none" w:sz="0" w:space="0" w:color="auto"/>
        <w:left w:val="none" w:sz="0" w:space="0" w:color="auto"/>
        <w:bottom w:val="none" w:sz="0" w:space="0" w:color="auto"/>
        <w:right w:val="none" w:sz="0" w:space="0" w:color="auto"/>
      </w:divBdr>
    </w:div>
    <w:div w:id="107700357">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08666806">
      <w:bodyDiv w:val="1"/>
      <w:marLeft w:val="0"/>
      <w:marRight w:val="0"/>
      <w:marTop w:val="0"/>
      <w:marBottom w:val="0"/>
      <w:divBdr>
        <w:top w:val="none" w:sz="0" w:space="0" w:color="auto"/>
        <w:left w:val="none" w:sz="0" w:space="0" w:color="auto"/>
        <w:bottom w:val="none" w:sz="0" w:space="0" w:color="auto"/>
        <w:right w:val="none" w:sz="0" w:space="0" w:color="auto"/>
      </w:divBdr>
    </w:div>
    <w:div w:id="109739052">
      <w:bodyDiv w:val="1"/>
      <w:marLeft w:val="0"/>
      <w:marRight w:val="0"/>
      <w:marTop w:val="0"/>
      <w:marBottom w:val="0"/>
      <w:divBdr>
        <w:top w:val="none" w:sz="0" w:space="0" w:color="auto"/>
        <w:left w:val="none" w:sz="0" w:space="0" w:color="auto"/>
        <w:bottom w:val="none" w:sz="0" w:space="0" w:color="auto"/>
        <w:right w:val="none" w:sz="0" w:space="0" w:color="auto"/>
      </w:divBdr>
    </w:div>
    <w:div w:id="111169581">
      <w:bodyDiv w:val="1"/>
      <w:marLeft w:val="0"/>
      <w:marRight w:val="0"/>
      <w:marTop w:val="0"/>
      <w:marBottom w:val="0"/>
      <w:divBdr>
        <w:top w:val="none" w:sz="0" w:space="0" w:color="auto"/>
        <w:left w:val="none" w:sz="0" w:space="0" w:color="auto"/>
        <w:bottom w:val="none" w:sz="0" w:space="0" w:color="auto"/>
        <w:right w:val="none" w:sz="0" w:space="0" w:color="auto"/>
      </w:divBdr>
    </w:div>
    <w:div w:id="116946672">
      <w:bodyDiv w:val="1"/>
      <w:marLeft w:val="0"/>
      <w:marRight w:val="0"/>
      <w:marTop w:val="0"/>
      <w:marBottom w:val="0"/>
      <w:divBdr>
        <w:top w:val="none" w:sz="0" w:space="0" w:color="auto"/>
        <w:left w:val="none" w:sz="0" w:space="0" w:color="auto"/>
        <w:bottom w:val="none" w:sz="0" w:space="0" w:color="auto"/>
        <w:right w:val="none" w:sz="0" w:space="0" w:color="auto"/>
      </w:divBdr>
    </w:div>
    <w:div w:id="120416028">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2504695">
      <w:bodyDiv w:val="1"/>
      <w:marLeft w:val="0"/>
      <w:marRight w:val="0"/>
      <w:marTop w:val="0"/>
      <w:marBottom w:val="0"/>
      <w:divBdr>
        <w:top w:val="none" w:sz="0" w:space="0" w:color="auto"/>
        <w:left w:val="none" w:sz="0" w:space="0" w:color="auto"/>
        <w:bottom w:val="none" w:sz="0" w:space="0" w:color="auto"/>
        <w:right w:val="none" w:sz="0" w:space="0" w:color="auto"/>
      </w:divBdr>
    </w:div>
    <w:div w:id="123474213">
      <w:bodyDiv w:val="1"/>
      <w:marLeft w:val="0"/>
      <w:marRight w:val="0"/>
      <w:marTop w:val="0"/>
      <w:marBottom w:val="0"/>
      <w:divBdr>
        <w:top w:val="none" w:sz="0" w:space="0" w:color="auto"/>
        <w:left w:val="none" w:sz="0" w:space="0" w:color="auto"/>
        <w:bottom w:val="none" w:sz="0" w:space="0" w:color="auto"/>
        <w:right w:val="none" w:sz="0" w:space="0" w:color="auto"/>
      </w:divBdr>
    </w:div>
    <w:div w:id="131024088">
      <w:bodyDiv w:val="1"/>
      <w:marLeft w:val="0"/>
      <w:marRight w:val="0"/>
      <w:marTop w:val="0"/>
      <w:marBottom w:val="0"/>
      <w:divBdr>
        <w:top w:val="none" w:sz="0" w:space="0" w:color="auto"/>
        <w:left w:val="none" w:sz="0" w:space="0" w:color="auto"/>
        <w:bottom w:val="none" w:sz="0" w:space="0" w:color="auto"/>
        <w:right w:val="none" w:sz="0" w:space="0" w:color="auto"/>
      </w:divBdr>
    </w:div>
    <w:div w:id="134228749">
      <w:bodyDiv w:val="1"/>
      <w:marLeft w:val="0"/>
      <w:marRight w:val="0"/>
      <w:marTop w:val="0"/>
      <w:marBottom w:val="0"/>
      <w:divBdr>
        <w:top w:val="none" w:sz="0" w:space="0" w:color="auto"/>
        <w:left w:val="none" w:sz="0" w:space="0" w:color="auto"/>
        <w:bottom w:val="none" w:sz="0" w:space="0" w:color="auto"/>
        <w:right w:val="none" w:sz="0" w:space="0" w:color="auto"/>
      </w:divBdr>
    </w:div>
    <w:div w:id="134874582">
      <w:bodyDiv w:val="1"/>
      <w:marLeft w:val="0"/>
      <w:marRight w:val="0"/>
      <w:marTop w:val="0"/>
      <w:marBottom w:val="0"/>
      <w:divBdr>
        <w:top w:val="none" w:sz="0" w:space="0" w:color="auto"/>
        <w:left w:val="none" w:sz="0" w:space="0" w:color="auto"/>
        <w:bottom w:val="none" w:sz="0" w:space="0" w:color="auto"/>
        <w:right w:val="none" w:sz="0" w:space="0" w:color="auto"/>
      </w:divBdr>
    </w:div>
    <w:div w:id="138495932">
      <w:bodyDiv w:val="1"/>
      <w:marLeft w:val="0"/>
      <w:marRight w:val="0"/>
      <w:marTop w:val="0"/>
      <w:marBottom w:val="0"/>
      <w:divBdr>
        <w:top w:val="none" w:sz="0" w:space="0" w:color="auto"/>
        <w:left w:val="none" w:sz="0" w:space="0" w:color="auto"/>
        <w:bottom w:val="none" w:sz="0" w:space="0" w:color="auto"/>
        <w:right w:val="none" w:sz="0" w:space="0" w:color="auto"/>
      </w:divBdr>
    </w:div>
    <w:div w:id="138573599">
      <w:bodyDiv w:val="1"/>
      <w:marLeft w:val="0"/>
      <w:marRight w:val="0"/>
      <w:marTop w:val="0"/>
      <w:marBottom w:val="0"/>
      <w:divBdr>
        <w:top w:val="none" w:sz="0" w:space="0" w:color="auto"/>
        <w:left w:val="none" w:sz="0" w:space="0" w:color="auto"/>
        <w:bottom w:val="none" w:sz="0" w:space="0" w:color="auto"/>
        <w:right w:val="none" w:sz="0" w:space="0" w:color="auto"/>
      </w:divBdr>
    </w:div>
    <w:div w:id="139425358">
      <w:bodyDiv w:val="1"/>
      <w:marLeft w:val="0"/>
      <w:marRight w:val="0"/>
      <w:marTop w:val="0"/>
      <w:marBottom w:val="0"/>
      <w:divBdr>
        <w:top w:val="none" w:sz="0" w:space="0" w:color="auto"/>
        <w:left w:val="none" w:sz="0" w:space="0" w:color="auto"/>
        <w:bottom w:val="none" w:sz="0" w:space="0" w:color="auto"/>
        <w:right w:val="none" w:sz="0" w:space="0" w:color="auto"/>
      </w:divBdr>
    </w:div>
    <w:div w:id="140083175">
      <w:bodyDiv w:val="1"/>
      <w:marLeft w:val="0"/>
      <w:marRight w:val="0"/>
      <w:marTop w:val="0"/>
      <w:marBottom w:val="0"/>
      <w:divBdr>
        <w:top w:val="none" w:sz="0" w:space="0" w:color="auto"/>
        <w:left w:val="none" w:sz="0" w:space="0" w:color="auto"/>
        <w:bottom w:val="none" w:sz="0" w:space="0" w:color="auto"/>
        <w:right w:val="none" w:sz="0" w:space="0" w:color="auto"/>
      </w:divBdr>
    </w:div>
    <w:div w:id="141167869">
      <w:bodyDiv w:val="1"/>
      <w:marLeft w:val="0"/>
      <w:marRight w:val="0"/>
      <w:marTop w:val="0"/>
      <w:marBottom w:val="0"/>
      <w:divBdr>
        <w:top w:val="none" w:sz="0" w:space="0" w:color="auto"/>
        <w:left w:val="none" w:sz="0" w:space="0" w:color="auto"/>
        <w:bottom w:val="none" w:sz="0" w:space="0" w:color="auto"/>
        <w:right w:val="none" w:sz="0" w:space="0" w:color="auto"/>
      </w:divBdr>
    </w:div>
    <w:div w:id="143932343">
      <w:bodyDiv w:val="1"/>
      <w:marLeft w:val="0"/>
      <w:marRight w:val="0"/>
      <w:marTop w:val="0"/>
      <w:marBottom w:val="0"/>
      <w:divBdr>
        <w:top w:val="none" w:sz="0" w:space="0" w:color="auto"/>
        <w:left w:val="none" w:sz="0" w:space="0" w:color="auto"/>
        <w:bottom w:val="none" w:sz="0" w:space="0" w:color="auto"/>
        <w:right w:val="none" w:sz="0" w:space="0" w:color="auto"/>
      </w:divBdr>
    </w:div>
    <w:div w:id="145247493">
      <w:bodyDiv w:val="1"/>
      <w:marLeft w:val="0"/>
      <w:marRight w:val="0"/>
      <w:marTop w:val="0"/>
      <w:marBottom w:val="0"/>
      <w:divBdr>
        <w:top w:val="none" w:sz="0" w:space="0" w:color="auto"/>
        <w:left w:val="none" w:sz="0" w:space="0" w:color="auto"/>
        <w:bottom w:val="none" w:sz="0" w:space="0" w:color="auto"/>
        <w:right w:val="none" w:sz="0" w:space="0" w:color="auto"/>
      </w:divBdr>
    </w:div>
    <w:div w:id="145585898">
      <w:bodyDiv w:val="1"/>
      <w:marLeft w:val="0"/>
      <w:marRight w:val="0"/>
      <w:marTop w:val="0"/>
      <w:marBottom w:val="0"/>
      <w:divBdr>
        <w:top w:val="none" w:sz="0" w:space="0" w:color="auto"/>
        <w:left w:val="none" w:sz="0" w:space="0" w:color="auto"/>
        <w:bottom w:val="none" w:sz="0" w:space="0" w:color="auto"/>
        <w:right w:val="none" w:sz="0" w:space="0" w:color="auto"/>
      </w:divBdr>
    </w:div>
    <w:div w:id="146020047">
      <w:bodyDiv w:val="1"/>
      <w:marLeft w:val="0"/>
      <w:marRight w:val="0"/>
      <w:marTop w:val="0"/>
      <w:marBottom w:val="0"/>
      <w:divBdr>
        <w:top w:val="none" w:sz="0" w:space="0" w:color="auto"/>
        <w:left w:val="none" w:sz="0" w:space="0" w:color="auto"/>
        <w:bottom w:val="none" w:sz="0" w:space="0" w:color="auto"/>
        <w:right w:val="none" w:sz="0" w:space="0" w:color="auto"/>
      </w:divBdr>
    </w:div>
    <w:div w:id="146752108">
      <w:bodyDiv w:val="1"/>
      <w:marLeft w:val="0"/>
      <w:marRight w:val="0"/>
      <w:marTop w:val="0"/>
      <w:marBottom w:val="0"/>
      <w:divBdr>
        <w:top w:val="none" w:sz="0" w:space="0" w:color="auto"/>
        <w:left w:val="none" w:sz="0" w:space="0" w:color="auto"/>
        <w:bottom w:val="none" w:sz="0" w:space="0" w:color="auto"/>
        <w:right w:val="none" w:sz="0" w:space="0" w:color="auto"/>
      </w:divBdr>
    </w:div>
    <w:div w:id="147291701">
      <w:bodyDiv w:val="1"/>
      <w:marLeft w:val="0"/>
      <w:marRight w:val="0"/>
      <w:marTop w:val="0"/>
      <w:marBottom w:val="0"/>
      <w:divBdr>
        <w:top w:val="none" w:sz="0" w:space="0" w:color="auto"/>
        <w:left w:val="none" w:sz="0" w:space="0" w:color="auto"/>
        <w:bottom w:val="none" w:sz="0" w:space="0" w:color="auto"/>
        <w:right w:val="none" w:sz="0" w:space="0" w:color="auto"/>
      </w:divBdr>
    </w:div>
    <w:div w:id="148643160">
      <w:bodyDiv w:val="1"/>
      <w:marLeft w:val="0"/>
      <w:marRight w:val="0"/>
      <w:marTop w:val="0"/>
      <w:marBottom w:val="0"/>
      <w:divBdr>
        <w:top w:val="none" w:sz="0" w:space="0" w:color="auto"/>
        <w:left w:val="none" w:sz="0" w:space="0" w:color="auto"/>
        <w:bottom w:val="none" w:sz="0" w:space="0" w:color="auto"/>
        <w:right w:val="none" w:sz="0" w:space="0" w:color="auto"/>
      </w:divBdr>
    </w:div>
    <w:div w:id="149250060">
      <w:bodyDiv w:val="1"/>
      <w:marLeft w:val="0"/>
      <w:marRight w:val="0"/>
      <w:marTop w:val="0"/>
      <w:marBottom w:val="0"/>
      <w:divBdr>
        <w:top w:val="none" w:sz="0" w:space="0" w:color="auto"/>
        <w:left w:val="none" w:sz="0" w:space="0" w:color="auto"/>
        <w:bottom w:val="none" w:sz="0" w:space="0" w:color="auto"/>
        <w:right w:val="none" w:sz="0" w:space="0" w:color="auto"/>
      </w:divBdr>
    </w:div>
    <w:div w:id="149449190">
      <w:bodyDiv w:val="1"/>
      <w:marLeft w:val="0"/>
      <w:marRight w:val="0"/>
      <w:marTop w:val="0"/>
      <w:marBottom w:val="0"/>
      <w:divBdr>
        <w:top w:val="none" w:sz="0" w:space="0" w:color="auto"/>
        <w:left w:val="none" w:sz="0" w:space="0" w:color="auto"/>
        <w:bottom w:val="none" w:sz="0" w:space="0" w:color="auto"/>
        <w:right w:val="none" w:sz="0" w:space="0" w:color="auto"/>
      </w:divBdr>
    </w:div>
    <w:div w:id="149565485">
      <w:bodyDiv w:val="1"/>
      <w:marLeft w:val="0"/>
      <w:marRight w:val="0"/>
      <w:marTop w:val="0"/>
      <w:marBottom w:val="0"/>
      <w:divBdr>
        <w:top w:val="none" w:sz="0" w:space="0" w:color="auto"/>
        <w:left w:val="none" w:sz="0" w:space="0" w:color="auto"/>
        <w:bottom w:val="none" w:sz="0" w:space="0" w:color="auto"/>
        <w:right w:val="none" w:sz="0" w:space="0" w:color="auto"/>
      </w:divBdr>
    </w:div>
    <w:div w:id="149831251">
      <w:bodyDiv w:val="1"/>
      <w:marLeft w:val="0"/>
      <w:marRight w:val="0"/>
      <w:marTop w:val="0"/>
      <w:marBottom w:val="0"/>
      <w:divBdr>
        <w:top w:val="none" w:sz="0" w:space="0" w:color="auto"/>
        <w:left w:val="none" w:sz="0" w:space="0" w:color="auto"/>
        <w:bottom w:val="none" w:sz="0" w:space="0" w:color="auto"/>
        <w:right w:val="none" w:sz="0" w:space="0" w:color="auto"/>
      </w:divBdr>
    </w:div>
    <w:div w:id="150828777">
      <w:bodyDiv w:val="1"/>
      <w:marLeft w:val="0"/>
      <w:marRight w:val="0"/>
      <w:marTop w:val="0"/>
      <w:marBottom w:val="0"/>
      <w:divBdr>
        <w:top w:val="none" w:sz="0" w:space="0" w:color="auto"/>
        <w:left w:val="none" w:sz="0" w:space="0" w:color="auto"/>
        <w:bottom w:val="none" w:sz="0" w:space="0" w:color="auto"/>
        <w:right w:val="none" w:sz="0" w:space="0" w:color="auto"/>
      </w:divBdr>
    </w:div>
    <w:div w:id="152113986">
      <w:bodyDiv w:val="1"/>
      <w:marLeft w:val="0"/>
      <w:marRight w:val="0"/>
      <w:marTop w:val="0"/>
      <w:marBottom w:val="0"/>
      <w:divBdr>
        <w:top w:val="none" w:sz="0" w:space="0" w:color="auto"/>
        <w:left w:val="none" w:sz="0" w:space="0" w:color="auto"/>
        <w:bottom w:val="none" w:sz="0" w:space="0" w:color="auto"/>
        <w:right w:val="none" w:sz="0" w:space="0" w:color="auto"/>
      </w:divBdr>
    </w:div>
    <w:div w:id="153185752">
      <w:bodyDiv w:val="1"/>
      <w:marLeft w:val="0"/>
      <w:marRight w:val="0"/>
      <w:marTop w:val="0"/>
      <w:marBottom w:val="0"/>
      <w:divBdr>
        <w:top w:val="none" w:sz="0" w:space="0" w:color="auto"/>
        <w:left w:val="none" w:sz="0" w:space="0" w:color="auto"/>
        <w:bottom w:val="none" w:sz="0" w:space="0" w:color="auto"/>
        <w:right w:val="none" w:sz="0" w:space="0" w:color="auto"/>
      </w:divBdr>
    </w:div>
    <w:div w:id="154152850">
      <w:bodyDiv w:val="1"/>
      <w:marLeft w:val="0"/>
      <w:marRight w:val="0"/>
      <w:marTop w:val="0"/>
      <w:marBottom w:val="0"/>
      <w:divBdr>
        <w:top w:val="none" w:sz="0" w:space="0" w:color="auto"/>
        <w:left w:val="none" w:sz="0" w:space="0" w:color="auto"/>
        <w:bottom w:val="none" w:sz="0" w:space="0" w:color="auto"/>
        <w:right w:val="none" w:sz="0" w:space="0" w:color="auto"/>
      </w:divBdr>
    </w:div>
    <w:div w:id="154537873">
      <w:bodyDiv w:val="1"/>
      <w:marLeft w:val="0"/>
      <w:marRight w:val="0"/>
      <w:marTop w:val="0"/>
      <w:marBottom w:val="0"/>
      <w:divBdr>
        <w:top w:val="none" w:sz="0" w:space="0" w:color="auto"/>
        <w:left w:val="none" w:sz="0" w:space="0" w:color="auto"/>
        <w:bottom w:val="none" w:sz="0" w:space="0" w:color="auto"/>
        <w:right w:val="none" w:sz="0" w:space="0" w:color="auto"/>
      </w:divBdr>
    </w:div>
    <w:div w:id="155924420">
      <w:bodyDiv w:val="1"/>
      <w:marLeft w:val="0"/>
      <w:marRight w:val="0"/>
      <w:marTop w:val="0"/>
      <w:marBottom w:val="0"/>
      <w:divBdr>
        <w:top w:val="none" w:sz="0" w:space="0" w:color="auto"/>
        <w:left w:val="none" w:sz="0" w:space="0" w:color="auto"/>
        <w:bottom w:val="none" w:sz="0" w:space="0" w:color="auto"/>
        <w:right w:val="none" w:sz="0" w:space="0" w:color="auto"/>
      </w:divBdr>
    </w:div>
    <w:div w:id="157230405">
      <w:bodyDiv w:val="1"/>
      <w:marLeft w:val="0"/>
      <w:marRight w:val="0"/>
      <w:marTop w:val="0"/>
      <w:marBottom w:val="0"/>
      <w:divBdr>
        <w:top w:val="none" w:sz="0" w:space="0" w:color="auto"/>
        <w:left w:val="none" w:sz="0" w:space="0" w:color="auto"/>
        <w:bottom w:val="none" w:sz="0" w:space="0" w:color="auto"/>
        <w:right w:val="none" w:sz="0" w:space="0" w:color="auto"/>
      </w:divBdr>
    </w:div>
    <w:div w:id="159659046">
      <w:bodyDiv w:val="1"/>
      <w:marLeft w:val="0"/>
      <w:marRight w:val="0"/>
      <w:marTop w:val="0"/>
      <w:marBottom w:val="0"/>
      <w:divBdr>
        <w:top w:val="none" w:sz="0" w:space="0" w:color="auto"/>
        <w:left w:val="none" w:sz="0" w:space="0" w:color="auto"/>
        <w:bottom w:val="none" w:sz="0" w:space="0" w:color="auto"/>
        <w:right w:val="none" w:sz="0" w:space="0" w:color="auto"/>
      </w:divBdr>
    </w:div>
    <w:div w:id="160631339">
      <w:bodyDiv w:val="1"/>
      <w:marLeft w:val="0"/>
      <w:marRight w:val="0"/>
      <w:marTop w:val="0"/>
      <w:marBottom w:val="0"/>
      <w:divBdr>
        <w:top w:val="none" w:sz="0" w:space="0" w:color="auto"/>
        <w:left w:val="none" w:sz="0" w:space="0" w:color="auto"/>
        <w:bottom w:val="none" w:sz="0" w:space="0" w:color="auto"/>
        <w:right w:val="none" w:sz="0" w:space="0" w:color="auto"/>
      </w:divBdr>
    </w:div>
    <w:div w:id="160852254">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2549244">
      <w:bodyDiv w:val="1"/>
      <w:marLeft w:val="0"/>
      <w:marRight w:val="0"/>
      <w:marTop w:val="0"/>
      <w:marBottom w:val="0"/>
      <w:divBdr>
        <w:top w:val="none" w:sz="0" w:space="0" w:color="auto"/>
        <w:left w:val="none" w:sz="0" w:space="0" w:color="auto"/>
        <w:bottom w:val="none" w:sz="0" w:space="0" w:color="auto"/>
        <w:right w:val="none" w:sz="0" w:space="0" w:color="auto"/>
      </w:divBdr>
    </w:div>
    <w:div w:id="16255048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5950395">
      <w:bodyDiv w:val="1"/>
      <w:marLeft w:val="0"/>
      <w:marRight w:val="0"/>
      <w:marTop w:val="0"/>
      <w:marBottom w:val="0"/>
      <w:divBdr>
        <w:top w:val="none" w:sz="0" w:space="0" w:color="auto"/>
        <w:left w:val="none" w:sz="0" w:space="0" w:color="auto"/>
        <w:bottom w:val="none" w:sz="0" w:space="0" w:color="auto"/>
        <w:right w:val="none" w:sz="0" w:space="0" w:color="auto"/>
      </w:divBdr>
    </w:div>
    <w:div w:id="167251537">
      <w:bodyDiv w:val="1"/>
      <w:marLeft w:val="0"/>
      <w:marRight w:val="0"/>
      <w:marTop w:val="0"/>
      <w:marBottom w:val="0"/>
      <w:divBdr>
        <w:top w:val="none" w:sz="0" w:space="0" w:color="auto"/>
        <w:left w:val="none" w:sz="0" w:space="0" w:color="auto"/>
        <w:bottom w:val="none" w:sz="0" w:space="0" w:color="auto"/>
        <w:right w:val="none" w:sz="0" w:space="0" w:color="auto"/>
      </w:divBdr>
    </w:div>
    <w:div w:id="168760800">
      <w:bodyDiv w:val="1"/>
      <w:marLeft w:val="0"/>
      <w:marRight w:val="0"/>
      <w:marTop w:val="0"/>
      <w:marBottom w:val="0"/>
      <w:divBdr>
        <w:top w:val="none" w:sz="0" w:space="0" w:color="auto"/>
        <w:left w:val="none" w:sz="0" w:space="0" w:color="auto"/>
        <w:bottom w:val="none" w:sz="0" w:space="0" w:color="auto"/>
        <w:right w:val="none" w:sz="0" w:space="0" w:color="auto"/>
      </w:divBdr>
    </w:div>
    <w:div w:id="168956432">
      <w:bodyDiv w:val="1"/>
      <w:marLeft w:val="0"/>
      <w:marRight w:val="0"/>
      <w:marTop w:val="0"/>
      <w:marBottom w:val="0"/>
      <w:divBdr>
        <w:top w:val="none" w:sz="0" w:space="0" w:color="auto"/>
        <w:left w:val="none" w:sz="0" w:space="0" w:color="auto"/>
        <w:bottom w:val="none" w:sz="0" w:space="0" w:color="auto"/>
        <w:right w:val="none" w:sz="0" w:space="0" w:color="auto"/>
      </w:divBdr>
    </w:div>
    <w:div w:id="171536566">
      <w:bodyDiv w:val="1"/>
      <w:marLeft w:val="0"/>
      <w:marRight w:val="0"/>
      <w:marTop w:val="0"/>
      <w:marBottom w:val="0"/>
      <w:divBdr>
        <w:top w:val="none" w:sz="0" w:space="0" w:color="auto"/>
        <w:left w:val="none" w:sz="0" w:space="0" w:color="auto"/>
        <w:bottom w:val="none" w:sz="0" w:space="0" w:color="auto"/>
        <w:right w:val="none" w:sz="0" w:space="0" w:color="auto"/>
      </w:divBdr>
    </w:div>
    <w:div w:id="172184203">
      <w:bodyDiv w:val="1"/>
      <w:marLeft w:val="0"/>
      <w:marRight w:val="0"/>
      <w:marTop w:val="0"/>
      <w:marBottom w:val="0"/>
      <w:divBdr>
        <w:top w:val="none" w:sz="0" w:space="0" w:color="auto"/>
        <w:left w:val="none" w:sz="0" w:space="0" w:color="auto"/>
        <w:bottom w:val="none" w:sz="0" w:space="0" w:color="auto"/>
        <w:right w:val="none" w:sz="0" w:space="0" w:color="auto"/>
      </w:divBdr>
    </w:div>
    <w:div w:id="172259065">
      <w:bodyDiv w:val="1"/>
      <w:marLeft w:val="0"/>
      <w:marRight w:val="0"/>
      <w:marTop w:val="0"/>
      <w:marBottom w:val="0"/>
      <w:divBdr>
        <w:top w:val="none" w:sz="0" w:space="0" w:color="auto"/>
        <w:left w:val="none" w:sz="0" w:space="0" w:color="auto"/>
        <w:bottom w:val="none" w:sz="0" w:space="0" w:color="auto"/>
        <w:right w:val="none" w:sz="0" w:space="0" w:color="auto"/>
      </w:divBdr>
    </w:div>
    <w:div w:id="174349802">
      <w:bodyDiv w:val="1"/>
      <w:marLeft w:val="0"/>
      <w:marRight w:val="0"/>
      <w:marTop w:val="0"/>
      <w:marBottom w:val="0"/>
      <w:divBdr>
        <w:top w:val="none" w:sz="0" w:space="0" w:color="auto"/>
        <w:left w:val="none" w:sz="0" w:space="0" w:color="auto"/>
        <w:bottom w:val="none" w:sz="0" w:space="0" w:color="auto"/>
        <w:right w:val="none" w:sz="0" w:space="0" w:color="auto"/>
      </w:divBdr>
    </w:div>
    <w:div w:id="176192166">
      <w:bodyDiv w:val="1"/>
      <w:marLeft w:val="0"/>
      <w:marRight w:val="0"/>
      <w:marTop w:val="0"/>
      <w:marBottom w:val="0"/>
      <w:divBdr>
        <w:top w:val="none" w:sz="0" w:space="0" w:color="auto"/>
        <w:left w:val="none" w:sz="0" w:space="0" w:color="auto"/>
        <w:bottom w:val="none" w:sz="0" w:space="0" w:color="auto"/>
        <w:right w:val="none" w:sz="0" w:space="0" w:color="auto"/>
      </w:divBdr>
    </w:div>
    <w:div w:id="178130272">
      <w:bodyDiv w:val="1"/>
      <w:marLeft w:val="0"/>
      <w:marRight w:val="0"/>
      <w:marTop w:val="0"/>
      <w:marBottom w:val="0"/>
      <w:divBdr>
        <w:top w:val="none" w:sz="0" w:space="0" w:color="auto"/>
        <w:left w:val="none" w:sz="0" w:space="0" w:color="auto"/>
        <w:bottom w:val="none" w:sz="0" w:space="0" w:color="auto"/>
        <w:right w:val="none" w:sz="0" w:space="0" w:color="auto"/>
      </w:divBdr>
    </w:div>
    <w:div w:id="179049429">
      <w:bodyDiv w:val="1"/>
      <w:marLeft w:val="0"/>
      <w:marRight w:val="0"/>
      <w:marTop w:val="0"/>
      <w:marBottom w:val="0"/>
      <w:divBdr>
        <w:top w:val="none" w:sz="0" w:space="0" w:color="auto"/>
        <w:left w:val="none" w:sz="0" w:space="0" w:color="auto"/>
        <w:bottom w:val="none" w:sz="0" w:space="0" w:color="auto"/>
        <w:right w:val="none" w:sz="0" w:space="0" w:color="auto"/>
      </w:divBdr>
    </w:div>
    <w:div w:id="180093233">
      <w:bodyDiv w:val="1"/>
      <w:marLeft w:val="0"/>
      <w:marRight w:val="0"/>
      <w:marTop w:val="0"/>
      <w:marBottom w:val="0"/>
      <w:divBdr>
        <w:top w:val="none" w:sz="0" w:space="0" w:color="auto"/>
        <w:left w:val="none" w:sz="0" w:space="0" w:color="auto"/>
        <w:bottom w:val="none" w:sz="0" w:space="0" w:color="auto"/>
        <w:right w:val="none" w:sz="0" w:space="0" w:color="auto"/>
      </w:divBdr>
    </w:div>
    <w:div w:id="180244581">
      <w:bodyDiv w:val="1"/>
      <w:marLeft w:val="0"/>
      <w:marRight w:val="0"/>
      <w:marTop w:val="0"/>
      <w:marBottom w:val="0"/>
      <w:divBdr>
        <w:top w:val="none" w:sz="0" w:space="0" w:color="auto"/>
        <w:left w:val="none" w:sz="0" w:space="0" w:color="auto"/>
        <w:bottom w:val="none" w:sz="0" w:space="0" w:color="auto"/>
        <w:right w:val="none" w:sz="0" w:space="0" w:color="auto"/>
      </w:divBdr>
    </w:div>
    <w:div w:id="181095162">
      <w:bodyDiv w:val="1"/>
      <w:marLeft w:val="0"/>
      <w:marRight w:val="0"/>
      <w:marTop w:val="0"/>
      <w:marBottom w:val="0"/>
      <w:divBdr>
        <w:top w:val="none" w:sz="0" w:space="0" w:color="auto"/>
        <w:left w:val="none" w:sz="0" w:space="0" w:color="auto"/>
        <w:bottom w:val="none" w:sz="0" w:space="0" w:color="auto"/>
        <w:right w:val="none" w:sz="0" w:space="0" w:color="auto"/>
      </w:divBdr>
    </w:div>
    <w:div w:id="183714945">
      <w:bodyDiv w:val="1"/>
      <w:marLeft w:val="0"/>
      <w:marRight w:val="0"/>
      <w:marTop w:val="0"/>
      <w:marBottom w:val="0"/>
      <w:divBdr>
        <w:top w:val="none" w:sz="0" w:space="0" w:color="auto"/>
        <w:left w:val="none" w:sz="0" w:space="0" w:color="auto"/>
        <w:bottom w:val="none" w:sz="0" w:space="0" w:color="auto"/>
        <w:right w:val="none" w:sz="0" w:space="0" w:color="auto"/>
      </w:divBdr>
    </w:div>
    <w:div w:id="187574007">
      <w:bodyDiv w:val="1"/>
      <w:marLeft w:val="0"/>
      <w:marRight w:val="0"/>
      <w:marTop w:val="0"/>
      <w:marBottom w:val="0"/>
      <w:divBdr>
        <w:top w:val="none" w:sz="0" w:space="0" w:color="auto"/>
        <w:left w:val="none" w:sz="0" w:space="0" w:color="auto"/>
        <w:bottom w:val="none" w:sz="0" w:space="0" w:color="auto"/>
        <w:right w:val="none" w:sz="0" w:space="0" w:color="auto"/>
      </w:divBdr>
    </w:div>
    <w:div w:id="189686022">
      <w:bodyDiv w:val="1"/>
      <w:marLeft w:val="0"/>
      <w:marRight w:val="0"/>
      <w:marTop w:val="0"/>
      <w:marBottom w:val="0"/>
      <w:divBdr>
        <w:top w:val="none" w:sz="0" w:space="0" w:color="auto"/>
        <w:left w:val="none" w:sz="0" w:space="0" w:color="auto"/>
        <w:bottom w:val="none" w:sz="0" w:space="0" w:color="auto"/>
        <w:right w:val="none" w:sz="0" w:space="0" w:color="auto"/>
      </w:divBdr>
    </w:div>
    <w:div w:id="190151099">
      <w:bodyDiv w:val="1"/>
      <w:marLeft w:val="0"/>
      <w:marRight w:val="0"/>
      <w:marTop w:val="0"/>
      <w:marBottom w:val="0"/>
      <w:divBdr>
        <w:top w:val="none" w:sz="0" w:space="0" w:color="auto"/>
        <w:left w:val="none" w:sz="0" w:space="0" w:color="auto"/>
        <w:bottom w:val="none" w:sz="0" w:space="0" w:color="auto"/>
        <w:right w:val="none" w:sz="0" w:space="0" w:color="auto"/>
      </w:divBdr>
    </w:div>
    <w:div w:id="192571629">
      <w:bodyDiv w:val="1"/>
      <w:marLeft w:val="0"/>
      <w:marRight w:val="0"/>
      <w:marTop w:val="0"/>
      <w:marBottom w:val="0"/>
      <w:divBdr>
        <w:top w:val="none" w:sz="0" w:space="0" w:color="auto"/>
        <w:left w:val="none" w:sz="0" w:space="0" w:color="auto"/>
        <w:bottom w:val="none" w:sz="0" w:space="0" w:color="auto"/>
        <w:right w:val="none" w:sz="0" w:space="0" w:color="auto"/>
      </w:divBdr>
    </w:div>
    <w:div w:id="194124202">
      <w:bodyDiv w:val="1"/>
      <w:marLeft w:val="0"/>
      <w:marRight w:val="0"/>
      <w:marTop w:val="0"/>
      <w:marBottom w:val="0"/>
      <w:divBdr>
        <w:top w:val="none" w:sz="0" w:space="0" w:color="auto"/>
        <w:left w:val="none" w:sz="0" w:space="0" w:color="auto"/>
        <w:bottom w:val="none" w:sz="0" w:space="0" w:color="auto"/>
        <w:right w:val="none" w:sz="0" w:space="0" w:color="auto"/>
      </w:divBdr>
    </w:div>
    <w:div w:id="198595892">
      <w:bodyDiv w:val="1"/>
      <w:marLeft w:val="0"/>
      <w:marRight w:val="0"/>
      <w:marTop w:val="0"/>
      <w:marBottom w:val="0"/>
      <w:divBdr>
        <w:top w:val="none" w:sz="0" w:space="0" w:color="auto"/>
        <w:left w:val="none" w:sz="0" w:space="0" w:color="auto"/>
        <w:bottom w:val="none" w:sz="0" w:space="0" w:color="auto"/>
        <w:right w:val="none" w:sz="0" w:space="0" w:color="auto"/>
      </w:divBdr>
    </w:div>
    <w:div w:id="202834120">
      <w:bodyDiv w:val="1"/>
      <w:marLeft w:val="0"/>
      <w:marRight w:val="0"/>
      <w:marTop w:val="0"/>
      <w:marBottom w:val="0"/>
      <w:divBdr>
        <w:top w:val="none" w:sz="0" w:space="0" w:color="auto"/>
        <w:left w:val="none" w:sz="0" w:space="0" w:color="auto"/>
        <w:bottom w:val="none" w:sz="0" w:space="0" w:color="auto"/>
        <w:right w:val="none" w:sz="0" w:space="0" w:color="auto"/>
      </w:divBdr>
    </w:div>
    <w:div w:id="202910838">
      <w:bodyDiv w:val="1"/>
      <w:marLeft w:val="0"/>
      <w:marRight w:val="0"/>
      <w:marTop w:val="0"/>
      <w:marBottom w:val="0"/>
      <w:divBdr>
        <w:top w:val="none" w:sz="0" w:space="0" w:color="auto"/>
        <w:left w:val="none" w:sz="0" w:space="0" w:color="auto"/>
        <w:bottom w:val="none" w:sz="0" w:space="0" w:color="auto"/>
        <w:right w:val="none" w:sz="0" w:space="0" w:color="auto"/>
      </w:divBdr>
    </w:div>
    <w:div w:id="203253210">
      <w:bodyDiv w:val="1"/>
      <w:marLeft w:val="0"/>
      <w:marRight w:val="0"/>
      <w:marTop w:val="0"/>
      <w:marBottom w:val="0"/>
      <w:divBdr>
        <w:top w:val="none" w:sz="0" w:space="0" w:color="auto"/>
        <w:left w:val="none" w:sz="0" w:space="0" w:color="auto"/>
        <w:bottom w:val="none" w:sz="0" w:space="0" w:color="auto"/>
        <w:right w:val="none" w:sz="0" w:space="0" w:color="auto"/>
      </w:divBdr>
    </w:div>
    <w:div w:id="203637660">
      <w:bodyDiv w:val="1"/>
      <w:marLeft w:val="0"/>
      <w:marRight w:val="0"/>
      <w:marTop w:val="0"/>
      <w:marBottom w:val="0"/>
      <w:divBdr>
        <w:top w:val="none" w:sz="0" w:space="0" w:color="auto"/>
        <w:left w:val="none" w:sz="0" w:space="0" w:color="auto"/>
        <w:bottom w:val="none" w:sz="0" w:space="0" w:color="auto"/>
        <w:right w:val="none" w:sz="0" w:space="0" w:color="auto"/>
      </w:divBdr>
    </w:div>
    <w:div w:id="207033311">
      <w:bodyDiv w:val="1"/>
      <w:marLeft w:val="0"/>
      <w:marRight w:val="0"/>
      <w:marTop w:val="0"/>
      <w:marBottom w:val="0"/>
      <w:divBdr>
        <w:top w:val="none" w:sz="0" w:space="0" w:color="auto"/>
        <w:left w:val="none" w:sz="0" w:space="0" w:color="auto"/>
        <w:bottom w:val="none" w:sz="0" w:space="0" w:color="auto"/>
        <w:right w:val="none" w:sz="0" w:space="0" w:color="auto"/>
      </w:divBdr>
    </w:div>
    <w:div w:id="208806883">
      <w:bodyDiv w:val="1"/>
      <w:marLeft w:val="0"/>
      <w:marRight w:val="0"/>
      <w:marTop w:val="0"/>
      <w:marBottom w:val="0"/>
      <w:divBdr>
        <w:top w:val="none" w:sz="0" w:space="0" w:color="auto"/>
        <w:left w:val="none" w:sz="0" w:space="0" w:color="auto"/>
        <w:bottom w:val="none" w:sz="0" w:space="0" w:color="auto"/>
        <w:right w:val="none" w:sz="0" w:space="0" w:color="auto"/>
      </w:divBdr>
    </w:div>
    <w:div w:id="210271825">
      <w:bodyDiv w:val="1"/>
      <w:marLeft w:val="0"/>
      <w:marRight w:val="0"/>
      <w:marTop w:val="0"/>
      <w:marBottom w:val="0"/>
      <w:divBdr>
        <w:top w:val="none" w:sz="0" w:space="0" w:color="auto"/>
        <w:left w:val="none" w:sz="0" w:space="0" w:color="auto"/>
        <w:bottom w:val="none" w:sz="0" w:space="0" w:color="auto"/>
        <w:right w:val="none" w:sz="0" w:space="0" w:color="auto"/>
      </w:divBdr>
    </w:div>
    <w:div w:id="210463025">
      <w:bodyDiv w:val="1"/>
      <w:marLeft w:val="0"/>
      <w:marRight w:val="0"/>
      <w:marTop w:val="0"/>
      <w:marBottom w:val="0"/>
      <w:divBdr>
        <w:top w:val="none" w:sz="0" w:space="0" w:color="auto"/>
        <w:left w:val="none" w:sz="0" w:space="0" w:color="auto"/>
        <w:bottom w:val="none" w:sz="0" w:space="0" w:color="auto"/>
        <w:right w:val="none" w:sz="0" w:space="0" w:color="auto"/>
      </w:divBdr>
    </w:div>
    <w:div w:id="211428433">
      <w:bodyDiv w:val="1"/>
      <w:marLeft w:val="0"/>
      <w:marRight w:val="0"/>
      <w:marTop w:val="0"/>
      <w:marBottom w:val="0"/>
      <w:divBdr>
        <w:top w:val="none" w:sz="0" w:space="0" w:color="auto"/>
        <w:left w:val="none" w:sz="0" w:space="0" w:color="auto"/>
        <w:bottom w:val="none" w:sz="0" w:space="0" w:color="auto"/>
        <w:right w:val="none" w:sz="0" w:space="0" w:color="auto"/>
      </w:divBdr>
    </w:div>
    <w:div w:id="214004570">
      <w:bodyDiv w:val="1"/>
      <w:marLeft w:val="0"/>
      <w:marRight w:val="0"/>
      <w:marTop w:val="0"/>
      <w:marBottom w:val="0"/>
      <w:divBdr>
        <w:top w:val="none" w:sz="0" w:space="0" w:color="auto"/>
        <w:left w:val="none" w:sz="0" w:space="0" w:color="auto"/>
        <w:bottom w:val="none" w:sz="0" w:space="0" w:color="auto"/>
        <w:right w:val="none" w:sz="0" w:space="0" w:color="auto"/>
      </w:divBdr>
    </w:div>
    <w:div w:id="214972890">
      <w:bodyDiv w:val="1"/>
      <w:marLeft w:val="0"/>
      <w:marRight w:val="0"/>
      <w:marTop w:val="0"/>
      <w:marBottom w:val="0"/>
      <w:divBdr>
        <w:top w:val="none" w:sz="0" w:space="0" w:color="auto"/>
        <w:left w:val="none" w:sz="0" w:space="0" w:color="auto"/>
        <w:bottom w:val="none" w:sz="0" w:space="0" w:color="auto"/>
        <w:right w:val="none" w:sz="0" w:space="0" w:color="auto"/>
      </w:divBdr>
    </w:div>
    <w:div w:id="215044622">
      <w:bodyDiv w:val="1"/>
      <w:marLeft w:val="0"/>
      <w:marRight w:val="0"/>
      <w:marTop w:val="0"/>
      <w:marBottom w:val="0"/>
      <w:divBdr>
        <w:top w:val="none" w:sz="0" w:space="0" w:color="auto"/>
        <w:left w:val="none" w:sz="0" w:space="0" w:color="auto"/>
        <w:bottom w:val="none" w:sz="0" w:space="0" w:color="auto"/>
        <w:right w:val="none" w:sz="0" w:space="0" w:color="auto"/>
      </w:divBdr>
    </w:div>
    <w:div w:id="218632757">
      <w:bodyDiv w:val="1"/>
      <w:marLeft w:val="0"/>
      <w:marRight w:val="0"/>
      <w:marTop w:val="0"/>
      <w:marBottom w:val="0"/>
      <w:divBdr>
        <w:top w:val="none" w:sz="0" w:space="0" w:color="auto"/>
        <w:left w:val="none" w:sz="0" w:space="0" w:color="auto"/>
        <w:bottom w:val="none" w:sz="0" w:space="0" w:color="auto"/>
        <w:right w:val="none" w:sz="0" w:space="0" w:color="auto"/>
      </w:divBdr>
    </w:div>
    <w:div w:id="222371353">
      <w:bodyDiv w:val="1"/>
      <w:marLeft w:val="0"/>
      <w:marRight w:val="0"/>
      <w:marTop w:val="0"/>
      <w:marBottom w:val="0"/>
      <w:divBdr>
        <w:top w:val="none" w:sz="0" w:space="0" w:color="auto"/>
        <w:left w:val="none" w:sz="0" w:space="0" w:color="auto"/>
        <w:bottom w:val="none" w:sz="0" w:space="0" w:color="auto"/>
        <w:right w:val="none" w:sz="0" w:space="0" w:color="auto"/>
      </w:divBdr>
    </w:div>
    <w:div w:id="222985219">
      <w:bodyDiv w:val="1"/>
      <w:marLeft w:val="0"/>
      <w:marRight w:val="0"/>
      <w:marTop w:val="0"/>
      <w:marBottom w:val="0"/>
      <w:divBdr>
        <w:top w:val="none" w:sz="0" w:space="0" w:color="auto"/>
        <w:left w:val="none" w:sz="0" w:space="0" w:color="auto"/>
        <w:bottom w:val="none" w:sz="0" w:space="0" w:color="auto"/>
        <w:right w:val="none" w:sz="0" w:space="0" w:color="auto"/>
      </w:divBdr>
    </w:div>
    <w:div w:id="224799353">
      <w:bodyDiv w:val="1"/>
      <w:marLeft w:val="0"/>
      <w:marRight w:val="0"/>
      <w:marTop w:val="0"/>
      <w:marBottom w:val="0"/>
      <w:divBdr>
        <w:top w:val="none" w:sz="0" w:space="0" w:color="auto"/>
        <w:left w:val="none" w:sz="0" w:space="0" w:color="auto"/>
        <w:bottom w:val="none" w:sz="0" w:space="0" w:color="auto"/>
        <w:right w:val="none" w:sz="0" w:space="0" w:color="auto"/>
      </w:divBdr>
    </w:div>
    <w:div w:id="225645755">
      <w:bodyDiv w:val="1"/>
      <w:marLeft w:val="0"/>
      <w:marRight w:val="0"/>
      <w:marTop w:val="0"/>
      <w:marBottom w:val="0"/>
      <w:divBdr>
        <w:top w:val="none" w:sz="0" w:space="0" w:color="auto"/>
        <w:left w:val="none" w:sz="0" w:space="0" w:color="auto"/>
        <w:bottom w:val="none" w:sz="0" w:space="0" w:color="auto"/>
        <w:right w:val="none" w:sz="0" w:space="0" w:color="auto"/>
      </w:divBdr>
    </w:div>
    <w:div w:id="227229736">
      <w:bodyDiv w:val="1"/>
      <w:marLeft w:val="0"/>
      <w:marRight w:val="0"/>
      <w:marTop w:val="0"/>
      <w:marBottom w:val="0"/>
      <w:divBdr>
        <w:top w:val="none" w:sz="0" w:space="0" w:color="auto"/>
        <w:left w:val="none" w:sz="0" w:space="0" w:color="auto"/>
        <w:bottom w:val="none" w:sz="0" w:space="0" w:color="auto"/>
        <w:right w:val="none" w:sz="0" w:space="0" w:color="auto"/>
      </w:divBdr>
    </w:div>
    <w:div w:id="228925778">
      <w:bodyDiv w:val="1"/>
      <w:marLeft w:val="0"/>
      <w:marRight w:val="0"/>
      <w:marTop w:val="0"/>
      <w:marBottom w:val="0"/>
      <w:divBdr>
        <w:top w:val="none" w:sz="0" w:space="0" w:color="auto"/>
        <w:left w:val="none" w:sz="0" w:space="0" w:color="auto"/>
        <w:bottom w:val="none" w:sz="0" w:space="0" w:color="auto"/>
        <w:right w:val="none" w:sz="0" w:space="0" w:color="auto"/>
      </w:divBdr>
    </w:div>
    <w:div w:id="232743061">
      <w:bodyDiv w:val="1"/>
      <w:marLeft w:val="0"/>
      <w:marRight w:val="0"/>
      <w:marTop w:val="0"/>
      <w:marBottom w:val="0"/>
      <w:divBdr>
        <w:top w:val="none" w:sz="0" w:space="0" w:color="auto"/>
        <w:left w:val="none" w:sz="0" w:space="0" w:color="auto"/>
        <w:bottom w:val="none" w:sz="0" w:space="0" w:color="auto"/>
        <w:right w:val="none" w:sz="0" w:space="0" w:color="auto"/>
      </w:divBdr>
    </w:div>
    <w:div w:id="233125676">
      <w:bodyDiv w:val="1"/>
      <w:marLeft w:val="0"/>
      <w:marRight w:val="0"/>
      <w:marTop w:val="0"/>
      <w:marBottom w:val="0"/>
      <w:divBdr>
        <w:top w:val="none" w:sz="0" w:space="0" w:color="auto"/>
        <w:left w:val="none" w:sz="0" w:space="0" w:color="auto"/>
        <w:bottom w:val="none" w:sz="0" w:space="0" w:color="auto"/>
        <w:right w:val="none" w:sz="0" w:space="0" w:color="auto"/>
      </w:divBdr>
    </w:div>
    <w:div w:id="233203604">
      <w:bodyDiv w:val="1"/>
      <w:marLeft w:val="0"/>
      <w:marRight w:val="0"/>
      <w:marTop w:val="0"/>
      <w:marBottom w:val="0"/>
      <w:divBdr>
        <w:top w:val="none" w:sz="0" w:space="0" w:color="auto"/>
        <w:left w:val="none" w:sz="0" w:space="0" w:color="auto"/>
        <w:bottom w:val="none" w:sz="0" w:space="0" w:color="auto"/>
        <w:right w:val="none" w:sz="0" w:space="0" w:color="auto"/>
      </w:divBdr>
    </w:div>
    <w:div w:id="233592168">
      <w:bodyDiv w:val="1"/>
      <w:marLeft w:val="0"/>
      <w:marRight w:val="0"/>
      <w:marTop w:val="0"/>
      <w:marBottom w:val="0"/>
      <w:divBdr>
        <w:top w:val="none" w:sz="0" w:space="0" w:color="auto"/>
        <w:left w:val="none" w:sz="0" w:space="0" w:color="auto"/>
        <w:bottom w:val="none" w:sz="0" w:space="0" w:color="auto"/>
        <w:right w:val="none" w:sz="0" w:space="0" w:color="auto"/>
      </w:divBdr>
    </w:div>
    <w:div w:id="236597234">
      <w:bodyDiv w:val="1"/>
      <w:marLeft w:val="0"/>
      <w:marRight w:val="0"/>
      <w:marTop w:val="0"/>
      <w:marBottom w:val="0"/>
      <w:divBdr>
        <w:top w:val="none" w:sz="0" w:space="0" w:color="auto"/>
        <w:left w:val="none" w:sz="0" w:space="0" w:color="auto"/>
        <w:bottom w:val="none" w:sz="0" w:space="0" w:color="auto"/>
        <w:right w:val="none" w:sz="0" w:space="0" w:color="auto"/>
      </w:divBdr>
    </w:div>
    <w:div w:id="236866146">
      <w:bodyDiv w:val="1"/>
      <w:marLeft w:val="0"/>
      <w:marRight w:val="0"/>
      <w:marTop w:val="0"/>
      <w:marBottom w:val="0"/>
      <w:divBdr>
        <w:top w:val="none" w:sz="0" w:space="0" w:color="auto"/>
        <w:left w:val="none" w:sz="0" w:space="0" w:color="auto"/>
        <w:bottom w:val="none" w:sz="0" w:space="0" w:color="auto"/>
        <w:right w:val="none" w:sz="0" w:space="0" w:color="auto"/>
      </w:divBdr>
    </w:div>
    <w:div w:id="236869198">
      <w:bodyDiv w:val="1"/>
      <w:marLeft w:val="0"/>
      <w:marRight w:val="0"/>
      <w:marTop w:val="0"/>
      <w:marBottom w:val="0"/>
      <w:divBdr>
        <w:top w:val="none" w:sz="0" w:space="0" w:color="auto"/>
        <w:left w:val="none" w:sz="0" w:space="0" w:color="auto"/>
        <w:bottom w:val="none" w:sz="0" w:space="0" w:color="auto"/>
        <w:right w:val="none" w:sz="0" w:space="0" w:color="auto"/>
      </w:divBdr>
    </w:div>
    <w:div w:id="237859757">
      <w:bodyDiv w:val="1"/>
      <w:marLeft w:val="0"/>
      <w:marRight w:val="0"/>
      <w:marTop w:val="0"/>
      <w:marBottom w:val="0"/>
      <w:divBdr>
        <w:top w:val="none" w:sz="0" w:space="0" w:color="auto"/>
        <w:left w:val="none" w:sz="0" w:space="0" w:color="auto"/>
        <w:bottom w:val="none" w:sz="0" w:space="0" w:color="auto"/>
        <w:right w:val="none" w:sz="0" w:space="0" w:color="auto"/>
      </w:divBdr>
    </w:div>
    <w:div w:id="243490874">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4195303">
      <w:bodyDiv w:val="1"/>
      <w:marLeft w:val="0"/>
      <w:marRight w:val="0"/>
      <w:marTop w:val="0"/>
      <w:marBottom w:val="0"/>
      <w:divBdr>
        <w:top w:val="none" w:sz="0" w:space="0" w:color="auto"/>
        <w:left w:val="none" w:sz="0" w:space="0" w:color="auto"/>
        <w:bottom w:val="none" w:sz="0" w:space="0" w:color="auto"/>
        <w:right w:val="none" w:sz="0" w:space="0" w:color="auto"/>
      </w:divBdr>
    </w:div>
    <w:div w:id="2449254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034337">
      <w:bodyDiv w:val="1"/>
      <w:marLeft w:val="0"/>
      <w:marRight w:val="0"/>
      <w:marTop w:val="0"/>
      <w:marBottom w:val="0"/>
      <w:divBdr>
        <w:top w:val="none" w:sz="0" w:space="0" w:color="auto"/>
        <w:left w:val="none" w:sz="0" w:space="0" w:color="auto"/>
        <w:bottom w:val="none" w:sz="0" w:space="0" w:color="auto"/>
        <w:right w:val="none" w:sz="0" w:space="0" w:color="auto"/>
      </w:divBdr>
    </w:div>
    <w:div w:id="246962665">
      <w:bodyDiv w:val="1"/>
      <w:marLeft w:val="0"/>
      <w:marRight w:val="0"/>
      <w:marTop w:val="0"/>
      <w:marBottom w:val="0"/>
      <w:divBdr>
        <w:top w:val="none" w:sz="0" w:space="0" w:color="auto"/>
        <w:left w:val="none" w:sz="0" w:space="0" w:color="auto"/>
        <w:bottom w:val="none" w:sz="0" w:space="0" w:color="auto"/>
        <w:right w:val="none" w:sz="0" w:space="0" w:color="auto"/>
      </w:divBdr>
    </w:div>
    <w:div w:id="249314419">
      <w:bodyDiv w:val="1"/>
      <w:marLeft w:val="0"/>
      <w:marRight w:val="0"/>
      <w:marTop w:val="0"/>
      <w:marBottom w:val="0"/>
      <w:divBdr>
        <w:top w:val="none" w:sz="0" w:space="0" w:color="auto"/>
        <w:left w:val="none" w:sz="0" w:space="0" w:color="auto"/>
        <w:bottom w:val="none" w:sz="0" w:space="0" w:color="auto"/>
        <w:right w:val="none" w:sz="0" w:space="0" w:color="auto"/>
      </w:divBdr>
    </w:div>
    <w:div w:id="249631573">
      <w:bodyDiv w:val="1"/>
      <w:marLeft w:val="0"/>
      <w:marRight w:val="0"/>
      <w:marTop w:val="0"/>
      <w:marBottom w:val="0"/>
      <w:divBdr>
        <w:top w:val="none" w:sz="0" w:space="0" w:color="auto"/>
        <w:left w:val="none" w:sz="0" w:space="0" w:color="auto"/>
        <w:bottom w:val="none" w:sz="0" w:space="0" w:color="auto"/>
        <w:right w:val="none" w:sz="0" w:space="0" w:color="auto"/>
      </w:divBdr>
    </w:div>
    <w:div w:id="252594368">
      <w:bodyDiv w:val="1"/>
      <w:marLeft w:val="0"/>
      <w:marRight w:val="0"/>
      <w:marTop w:val="0"/>
      <w:marBottom w:val="0"/>
      <w:divBdr>
        <w:top w:val="none" w:sz="0" w:space="0" w:color="auto"/>
        <w:left w:val="none" w:sz="0" w:space="0" w:color="auto"/>
        <w:bottom w:val="none" w:sz="0" w:space="0" w:color="auto"/>
        <w:right w:val="none" w:sz="0" w:space="0" w:color="auto"/>
      </w:divBdr>
    </w:div>
    <w:div w:id="252713631">
      <w:bodyDiv w:val="1"/>
      <w:marLeft w:val="0"/>
      <w:marRight w:val="0"/>
      <w:marTop w:val="0"/>
      <w:marBottom w:val="0"/>
      <w:divBdr>
        <w:top w:val="none" w:sz="0" w:space="0" w:color="auto"/>
        <w:left w:val="none" w:sz="0" w:space="0" w:color="auto"/>
        <w:bottom w:val="none" w:sz="0" w:space="0" w:color="auto"/>
        <w:right w:val="none" w:sz="0" w:space="0" w:color="auto"/>
      </w:divBdr>
    </w:div>
    <w:div w:id="254245465">
      <w:bodyDiv w:val="1"/>
      <w:marLeft w:val="0"/>
      <w:marRight w:val="0"/>
      <w:marTop w:val="0"/>
      <w:marBottom w:val="0"/>
      <w:divBdr>
        <w:top w:val="none" w:sz="0" w:space="0" w:color="auto"/>
        <w:left w:val="none" w:sz="0" w:space="0" w:color="auto"/>
        <w:bottom w:val="none" w:sz="0" w:space="0" w:color="auto"/>
        <w:right w:val="none" w:sz="0" w:space="0" w:color="auto"/>
      </w:divBdr>
    </w:div>
    <w:div w:id="255677502">
      <w:bodyDiv w:val="1"/>
      <w:marLeft w:val="0"/>
      <w:marRight w:val="0"/>
      <w:marTop w:val="0"/>
      <w:marBottom w:val="0"/>
      <w:divBdr>
        <w:top w:val="none" w:sz="0" w:space="0" w:color="auto"/>
        <w:left w:val="none" w:sz="0" w:space="0" w:color="auto"/>
        <w:bottom w:val="none" w:sz="0" w:space="0" w:color="auto"/>
        <w:right w:val="none" w:sz="0" w:space="0" w:color="auto"/>
      </w:divBdr>
    </w:div>
    <w:div w:id="255790511">
      <w:bodyDiv w:val="1"/>
      <w:marLeft w:val="0"/>
      <w:marRight w:val="0"/>
      <w:marTop w:val="0"/>
      <w:marBottom w:val="0"/>
      <w:divBdr>
        <w:top w:val="none" w:sz="0" w:space="0" w:color="auto"/>
        <w:left w:val="none" w:sz="0" w:space="0" w:color="auto"/>
        <w:bottom w:val="none" w:sz="0" w:space="0" w:color="auto"/>
        <w:right w:val="none" w:sz="0" w:space="0" w:color="auto"/>
      </w:divBdr>
    </w:div>
    <w:div w:id="257562508">
      <w:bodyDiv w:val="1"/>
      <w:marLeft w:val="0"/>
      <w:marRight w:val="0"/>
      <w:marTop w:val="0"/>
      <w:marBottom w:val="0"/>
      <w:divBdr>
        <w:top w:val="none" w:sz="0" w:space="0" w:color="auto"/>
        <w:left w:val="none" w:sz="0" w:space="0" w:color="auto"/>
        <w:bottom w:val="none" w:sz="0" w:space="0" w:color="auto"/>
        <w:right w:val="none" w:sz="0" w:space="0" w:color="auto"/>
      </w:divBdr>
    </w:div>
    <w:div w:id="259877250">
      <w:bodyDiv w:val="1"/>
      <w:marLeft w:val="0"/>
      <w:marRight w:val="0"/>
      <w:marTop w:val="0"/>
      <w:marBottom w:val="0"/>
      <w:divBdr>
        <w:top w:val="none" w:sz="0" w:space="0" w:color="auto"/>
        <w:left w:val="none" w:sz="0" w:space="0" w:color="auto"/>
        <w:bottom w:val="none" w:sz="0" w:space="0" w:color="auto"/>
        <w:right w:val="none" w:sz="0" w:space="0" w:color="auto"/>
      </w:divBdr>
    </w:div>
    <w:div w:id="260144921">
      <w:bodyDiv w:val="1"/>
      <w:marLeft w:val="0"/>
      <w:marRight w:val="0"/>
      <w:marTop w:val="0"/>
      <w:marBottom w:val="0"/>
      <w:divBdr>
        <w:top w:val="none" w:sz="0" w:space="0" w:color="auto"/>
        <w:left w:val="none" w:sz="0" w:space="0" w:color="auto"/>
        <w:bottom w:val="none" w:sz="0" w:space="0" w:color="auto"/>
        <w:right w:val="none" w:sz="0" w:space="0" w:color="auto"/>
      </w:divBdr>
    </w:div>
    <w:div w:id="262109692">
      <w:bodyDiv w:val="1"/>
      <w:marLeft w:val="0"/>
      <w:marRight w:val="0"/>
      <w:marTop w:val="0"/>
      <w:marBottom w:val="0"/>
      <w:divBdr>
        <w:top w:val="none" w:sz="0" w:space="0" w:color="auto"/>
        <w:left w:val="none" w:sz="0" w:space="0" w:color="auto"/>
        <w:bottom w:val="none" w:sz="0" w:space="0" w:color="auto"/>
        <w:right w:val="none" w:sz="0" w:space="0" w:color="auto"/>
      </w:divBdr>
    </w:div>
    <w:div w:id="265967549">
      <w:bodyDiv w:val="1"/>
      <w:marLeft w:val="0"/>
      <w:marRight w:val="0"/>
      <w:marTop w:val="0"/>
      <w:marBottom w:val="0"/>
      <w:divBdr>
        <w:top w:val="none" w:sz="0" w:space="0" w:color="auto"/>
        <w:left w:val="none" w:sz="0" w:space="0" w:color="auto"/>
        <w:bottom w:val="none" w:sz="0" w:space="0" w:color="auto"/>
        <w:right w:val="none" w:sz="0" w:space="0" w:color="auto"/>
      </w:divBdr>
    </w:div>
    <w:div w:id="266541250">
      <w:bodyDiv w:val="1"/>
      <w:marLeft w:val="0"/>
      <w:marRight w:val="0"/>
      <w:marTop w:val="0"/>
      <w:marBottom w:val="0"/>
      <w:divBdr>
        <w:top w:val="none" w:sz="0" w:space="0" w:color="auto"/>
        <w:left w:val="none" w:sz="0" w:space="0" w:color="auto"/>
        <w:bottom w:val="none" w:sz="0" w:space="0" w:color="auto"/>
        <w:right w:val="none" w:sz="0" w:space="0" w:color="auto"/>
      </w:divBdr>
    </w:div>
    <w:div w:id="266930947">
      <w:bodyDiv w:val="1"/>
      <w:marLeft w:val="0"/>
      <w:marRight w:val="0"/>
      <w:marTop w:val="0"/>
      <w:marBottom w:val="0"/>
      <w:divBdr>
        <w:top w:val="none" w:sz="0" w:space="0" w:color="auto"/>
        <w:left w:val="none" w:sz="0" w:space="0" w:color="auto"/>
        <w:bottom w:val="none" w:sz="0" w:space="0" w:color="auto"/>
        <w:right w:val="none" w:sz="0" w:space="0" w:color="auto"/>
      </w:divBdr>
    </w:div>
    <w:div w:id="272523009">
      <w:bodyDiv w:val="1"/>
      <w:marLeft w:val="0"/>
      <w:marRight w:val="0"/>
      <w:marTop w:val="0"/>
      <w:marBottom w:val="0"/>
      <w:divBdr>
        <w:top w:val="none" w:sz="0" w:space="0" w:color="auto"/>
        <w:left w:val="none" w:sz="0" w:space="0" w:color="auto"/>
        <w:bottom w:val="none" w:sz="0" w:space="0" w:color="auto"/>
        <w:right w:val="none" w:sz="0" w:space="0" w:color="auto"/>
      </w:divBdr>
    </w:div>
    <w:div w:id="276067222">
      <w:bodyDiv w:val="1"/>
      <w:marLeft w:val="0"/>
      <w:marRight w:val="0"/>
      <w:marTop w:val="0"/>
      <w:marBottom w:val="0"/>
      <w:divBdr>
        <w:top w:val="none" w:sz="0" w:space="0" w:color="auto"/>
        <w:left w:val="none" w:sz="0" w:space="0" w:color="auto"/>
        <w:bottom w:val="none" w:sz="0" w:space="0" w:color="auto"/>
        <w:right w:val="none" w:sz="0" w:space="0" w:color="auto"/>
      </w:divBdr>
    </w:div>
    <w:div w:id="278875839">
      <w:bodyDiv w:val="1"/>
      <w:marLeft w:val="0"/>
      <w:marRight w:val="0"/>
      <w:marTop w:val="0"/>
      <w:marBottom w:val="0"/>
      <w:divBdr>
        <w:top w:val="none" w:sz="0" w:space="0" w:color="auto"/>
        <w:left w:val="none" w:sz="0" w:space="0" w:color="auto"/>
        <w:bottom w:val="none" w:sz="0" w:space="0" w:color="auto"/>
        <w:right w:val="none" w:sz="0" w:space="0" w:color="auto"/>
      </w:divBdr>
    </w:div>
    <w:div w:id="283467516">
      <w:bodyDiv w:val="1"/>
      <w:marLeft w:val="0"/>
      <w:marRight w:val="0"/>
      <w:marTop w:val="0"/>
      <w:marBottom w:val="0"/>
      <w:divBdr>
        <w:top w:val="none" w:sz="0" w:space="0" w:color="auto"/>
        <w:left w:val="none" w:sz="0" w:space="0" w:color="auto"/>
        <w:bottom w:val="none" w:sz="0" w:space="0" w:color="auto"/>
        <w:right w:val="none" w:sz="0" w:space="0" w:color="auto"/>
      </w:divBdr>
    </w:div>
    <w:div w:id="284311640">
      <w:bodyDiv w:val="1"/>
      <w:marLeft w:val="0"/>
      <w:marRight w:val="0"/>
      <w:marTop w:val="0"/>
      <w:marBottom w:val="0"/>
      <w:divBdr>
        <w:top w:val="none" w:sz="0" w:space="0" w:color="auto"/>
        <w:left w:val="none" w:sz="0" w:space="0" w:color="auto"/>
        <w:bottom w:val="none" w:sz="0" w:space="0" w:color="auto"/>
        <w:right w:val="none" w:sz="0" w:space="0" w:color="auto"/>
      </w:divBdr>
    </w:div>
    <w:div w:id="285703358">
      <w:bodyDiv w:val="1"/>
      <w:marLeft w:val="0"/>
      <w:marRight w:val="0"/>
      <w:marTop w:val="0"/>
      <w:marBottom w:val="0"/>
      <w:divBdr>
        <w:top w:val="none" w:sz="0" w:space="0" w:color="auto"/>
        <w:left w:val="none" w:sz="0" w:space="0" w:color="auto"/>
        <w:bottom w:val="none" w:sz="0" w:space="0" w:color="auto"/>
        <w:right w:val="none" w:sz="0" w:space="0" w:color="auto"/>
      </w:divBdr>
    </w:div>
    <w:div w:id="287245137">
      <w:bodyDiv w:val="1"/>
      <w:marLeft w:val="0"/>
      <w:marRight w:val="0"/>
      <w:marTop w:val="0"/>
      <w:marBottom w:val="0"/>
      <w:divBdr>
        <w:top w:val="none" w:sz="0" w:space="0" w:color="auto"/>
        <w:left w:val="none" w:sz="0" w:space="0" w:color="auto"/>
        <w:bottom w:val="none" w:sz="0" w:space="0" w:color="auto"/>
        <w:right w:val="none" w:sz="0" w:space="0" w:color="auto"/>
      </w:divBdr>
    </w:div>
    <w:div w:id="290407126">
      <w:bodyDiv w:val="1"/>
      <w:marLeft w:val="0"/>
      <w:marRight w:val="0"/>
      <w:marTop w:val="0"/>
      <w:marBottom w:val="0"/>
      <w:divBdr>
        <w:top w:val="none" w:sz="0" w:space="0" w:color="auto"/>
        <w:left w:val="none" w:sz="0" w:space="0" w:color="auto"/>
        <w:bottom w:val="none" w:sz="0" w:space="0" w:color="auto"/>
        <w:right w:val="none" w:sz="0" w:space="0" w:color="auto"/>
      </w:divBdr>
    </w:div>
    <w:div w:id="294335725">
      <w:bodyDiv w:val="1"/>
      <w:marLeft w:val="0"/>
      <w:marRight w:val="0"/>
      <w:marTop w:val="0"/>
      <w:marBottom w:val="0"/>
      <w:divBdr>
        <w:top w:val="none" w:sz="0" w:space="0" w:color="auto"/>
        <w:left w:val="none" w:sz="0" w:space="0" w:color="auto"/>
        <w:bottom w:val="none" w:sz="0" w:space="0" w:color="auto"/>
        <w:right w:val="none" w:sz="0" w:space="0" w:color="auto"/>
      </w:divBdr>
    </w:div>
    <w:div w:id="298221134">
      <w:bodyDiv w:val="1"/>
      <w:marLeft w:val="0"/>
      <w:marRight w:val="0"/>
      <w:marTop w:val="0"/>
      <w:marBottom w:val="0"/>
      <w:divBdr>
        <w:top w:val="none" w:sz="0" w:space="0" w:color="auto"/>
        <w:left w:val="none" w:sz="0" w:space="0" w:color="auto"/>
        <w:bottom w:val="none" w:sz="0" w:space="0" w:color="auto"/>
        <w:right w:val="none" w:sz="0" w:space="0" w:color="auto"/>
      </w:divBdr>
    </w:div>
    <w:div w:id="303051200">
      <w:bodyDiv w:val="1"/>
      <w:marLeft w:val="0"/>
      <w:marRight w:val="0"/>
      <w:marTop w:val="0"/>
      <w:marBottom w:val="0"/>
      <w:divBdr>
        <w:top w:val="none" w:sz="0" w:space="0" w:color="auto"/>
        <w:left w:val="none" w:sz="0" w:space="0" w:color="auto"/>
        <w:bottom w:val="none" w:sz="0" w:space="0" w:color="auto"/>
        <w:right w:val="none" w:sz="0" w:space="0" w:color="auto"/>
      </w:divBdr>
    </w:div>
    <w:div w:id="304511394">
      <w:bodyDiv w:val="1"/>
      <w:marLeft w:val="0"/>
      <w:marRight w:val="0"/>
      <w:marTop w:val="0"/>
      <w:marBottom w:val="0"/>
      <w:divBdr>
        <w:top w:val="none" w:sz="0" w:space="0" w:color="auto"/>
        <w:left w:val="none" w:sz="0" w:space="0" w:color="auto"/>
        <w:bottom w:val="none" w:sz="0" w:space="0" w:color="auto"/>
        <w:right w:val="none" w:sz="0" w:space="0" w:color="auto"/>
      </w:divBdr>
    </w:div>
    <w:div w:id="310061175">
      <w:bodyDiv w:val="1"/>
      <w:marLeft w:val="0"/>
      <w:marRight w:val="0"/>
      <w:marTop w:val="0"/>
      <w:marBottom w:val="0"/>
      <w:divBdr>
        <w:top w:val="none" w:sz="0" w:space="0" w:color="auto"/>
        <w:left w:val="none" w:sz="0" w:space="0" w:color="auto"/>
        <w:bottom w:val="none" w:sz="0" w:space="0" w:color="auto"/>
        <w:right w:val="none" w:sz="0" w:space="0" w:color="auto"/>
      </w:divBdr>
    </w:div>
    <w:div w:id="314526835">
      <w:bodyDiv w:val="1"/>
      <w:marLeft w:val="0"/>
      <w:marRight w:val="0"/>
      <w:marTop w:val="0"/>
      <w:marBottom w:val="0"/>
      <w:divBdr>
        <w:top w:val="none" w:sz="0" w:space="0" w:color="auto"/>
        <w:left w:val="none" w:sz="0" w:space="0" w:color="auto"/>
        <w:bottom w:val="none" w:sz="0" w:space="0" w:color="auto"/>
        <w:right w:val="none" w:sz="0" w:space="0" w:color="auto"/>
      </w:divBdr>
    </w:div>
    <w:div w:id="314769876">
      <w:bodyDiv w:val="1"/>
      <w:marLeft w:val="0"/>
      <w:marRight w:val="0"/>
      <w:marTop w:val="0"/>
      <w:marBottom w:val="0"/>
      <w:divBdr>
        <w:top w:val="none" w:sz="0" w:space="0" w:color="auto"/>
        <w:left w:val="none" w:sz="0" w:space="0" w:color="auto"/>
        <w:bottom w:val="none" w:sz="0" w:space="0" w:color="auto"/>
        <w:right w:val="none" w:sz="0" w:space="0" w:color="auto"/>
      </w:divBdr>
    </w:div>
    <w:div w:id="315303121">
      <w:bodyDiv w:val="1"/>
      <w:marLeft w:val="0"/>
      <w:marRight w:val="0"/>
      <w:marTop w:val="0"/>
      <w:marBottom w:val="0"/>
      <w:divBdr>
        <w:top w:val="none" w:sz="0" w:space="0" w:color="auto"/>
        <w:left w:val="none" w:sz="0" w:space="0" w:color="auto"/>
        <w:bottom w:val="none" w:sz="0" w:space="0" w:color="auto"/>
        <w:right w:val="none" w:sz="0" w:space="0" w:color="auto"/>
      </w:divBdr>
    </w:div>
    <w:div w:id="316306377">
      <w:bodyDiv w:val="1"/>
      <w:marLeft w:val="0"/>
      <w:marRight w:val="0"/>
      <w:marTop w:val="0"/>
      <w:marBottom w:val="0"/>
      <w:divBdr>
        <w:top w:val="none" w:sz="0" w:space="0" w:color="auto"/>
        <w:left w:val="none" w:sz="0" w:space="0" w:color="auto"/>
        <w:bottom w:val="none" w:sz="0" w:space="0" w:color="auto"/>
        <w:right w:val="none" w:sz="0" w:space="0" w:color="auto"/>
      </w:divBdr>
    </w:div>
    <w:div w:id="316885709">
      <w:bodyDiv w:val="1"/>
      <w:marLeft w:val="0"/>
      <w:marRight w:val="0"/>
      <w:marTop w:val="0"/>
      <w:marBottom w:val="0"/>
      <w:divBdr>
        <w:top w:val="none" w:sz="0" w:space="0" w:color="auto"/>
        <w:left w:val="none" w:sz="0" w:space="0" w:color="auto"/>
        <w:bottom w:val="none" w:sz="0" w:space="0" w:color="auto"/>
        <w:right w:val="none" w:sz="0" w:space="0" w:color="auto"/>
      </w:divBdr>
    </w:div>
    <w:div w:id="316962400">
      <w:bodyDiv w:val="1"/>
      <w:marLeft w:val="0"/>
      <w:marRight w:val="0"/>
      <w:marTop w:val="0"/>
      <w:marBottom w:val="0"/>
      <w:divBdr>
        <w:top w:val="none" w:sz="0" w:space="0" w:color="auto"/>
        <w:left w:val="none" w:sz="0" w:space="0" w:color="auto"/>
        <w:bottom w:val="none" w:sz="0" w:space="0" w:color="auto"/>
        <w:right w:val="none" w:sz="0" w:space="0" w:color="auto"/>
      </w:divBdr>
    </w:div>
    <w:div w:id="317463793">
      <w:bodyDiv w:val="1"/>
      <w:marLeft w:val="0"/>
      <w:marRight w:val="0"/>
      <w:marTop w:val="0"/>
      <w:marBottom w:val="0"/>
      <w:divBdr>
        <w:top w:val="none" w:sz="0" w:space="0" w:color="auto"/>
        <w:left w:val="none" w:sz="0" w:space="0" w:color="auto"/>
        <w:bottom w:val="none" w:sz="0" w:space="0" w:color="auto"/>
        <w:right w:val="none" w:sz="0" w:space="0" w:color="auto"/>
      </w:divBdr>
    </w:div>
    <w:div w:id="318266180">
      <w:bodyDiv w:val="1"/>
      <w:marLeft w:val="0"/>
      <w:marRight w:val="0"/>
      <w:marTop w:val="0"/>
      <w:marBottom w:val="0"/>
      <w:divBdr>
        <w:top w:val="none" w:sz="0" w:space="0" w:color="auto"/>
        <w:left w:val="none" w:sz="0" w:space="0" w:color="auto"/>
        <w:bottom w:val="none" w:sz="0" w:space="0" w:color="auto"/>
        <w:right w:val="none" w:sz="0" w:space="0" w:color="auto"/>
      </w:divBdr>
    </w:div>
    <w:div w:id="319769487">
      <w:bodyDiv w:val="1"/>
      <w:marLeft w:val="0"/>
      <w:marRight w:val="0"/>
      <w:marTop w:val="0"/>
      <w:marBottom w:val="0"/>
      <w:divBdr>
        <w:top w:val="none" w:sz="0" w:space="0" w:color="auto"/>
        <w:left w:val="none" w:sz="0" w:space="0" w:color="auto"/>
        <w:bottom w:val="none" w:sz="0" w:space="0" w:color="auto"/>
        <w:right w:val="none" w:sz="0" w:space="0" w:color="auto"/>
      </w:divBdr>
    </w:div>
    <w:div w:id="321394971">
      <w:bodyDiv w:val="1"/>
      <w:marLeft w:val="0"/>
      <w:marRight w:val="0"/>
      <w:marTop w:val="0"/>
      <w:marBottom w:val="0"/>
      <w:divBdr>
        <w:top w:val="none" w:sz="0" w:space="0" w:color="auto"/>
        <w:left w:val="none" w:sz="0" w:space="0" w:color="auto"/>
        <w:bottom w:val="none" w:sz="0" w:space="0" w:color="auto"/>
        <w:right w:val="none" w:sz="0" w:space="0" w:color="auto"/>
      </w:divBdr>
    </w:div>
    <w:div w:id="322128717">
      <w:bodyDiv w:val="1"/>
      <w:marLeft w:val="0"/>
      <w:marRight w:val="0"/>
      <w:marTop w:val="0"/>
      <w:marBottom w:val="0"/>
      <w:divBdr>
        <w:top w:val="none" w:sz="0" w:space="0" w:color="auto"/>
        <w:left w:val="none" w:sz="0" w:space="0" w:color="auto"/>
        <w:bottom w:val="none" w:sz="0" w:space="0" w:color="auto"/>
        <w:right w:val="none" w:sz="0" w:space="0" w:color="auto"/>
      </w:divBdr>
    </w:div>
    <w:div w:id="322785323">
      <w:bodyDiv w:val="1"/>
      <w:marLeft w:val="0"/>
      <w:marRight w:val="0"/>
      <w:marTop w:val="0"/>
      <w:marBottom w:val="0"/>
      <w:divBdr>
        <w:top w:val="none" w:sz="0" w:space="0" w:color="auto"/>
        <w:left w:val="none" w:sz="0" w:space="0" w:color="auto"/>
        <w:bottom w:val="none" w:sz="0" w:space="0" w:color="auto"/>
        <w:right w:val="none" w:sz="0" w:space="0" w:color="auto"/>
      </w:divBdr>
    </w:div>
    <w:div w:id="326133943">
      <w:bodyDiv w:val="1"/>
      <w:marLeft w:val="0"/>
      <w:marRight w:val="0"/>
      <w:marTop w:val="0"/>
      <w:marBottom w:val="0"/>
      <w:divBdr>
        <w:top w:val="none" w:sz="0" w:space="0" w:color="auto"/>
        <w:left w:val="none" w:sz="0" w:space="0" w:color="auto"/>
        <w:bottom w:val="none" w:sz="0" w:space="0" w:color="auto"/>
        <w:right w:val="none" w:sz="0" w:space="0" w:color="auto"/>
      </w:divBdr>
    </w:div>
    <w:div w:id="32620445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827772">
      <w:bodyDiv w:val="1"/>
      <w:marLeft w:val="0"/>
      <w:marRight w:val="0"/>
      <w:marTop w:val="0"/>
      <w:marBottom w:val="0"/>
      <w:divBdr>
        <w:top w:val="none" w:sz="0" w:space="0" w:color="auto"/>
        <w:left w:val="none" w:sz="0" w:space="0" w:color="auto"/>
        <w:bottom w:val="none" w:sz="0" w:space="0" w:color="auto"/>
        <w:right w:val="none" w:sz="0" w:space="0" w:color="auto"/>
      </w:divBdr>
    </w:div>
    <w:div w:id="334696198">
      <w:bodyDiv w:val="1"/>
      <w:marLeft w:val="0"/>
      <w:marRight w:val="0"/>
      <w:marTop w:val="0"/>
      <w:marBottom w:val="0"/>
      <w:divBdr>
        <w:top w:val="none" w:sz="0" w:space="0" w:color="auto"/>
        <w:left w:val="none" w:sz="0" w:space="0" w:color="auto"/>
        <w:bottom w:val="none" w:sz="0" w:space="0" w:color="auto"/>
        <w:right w:val="none" w:sz="0" w:space="0" w:color="auto"/>
      </w:divBdr>
    </w:div>
    <w:div w:id="339547982">
      <w:bodyDiv w:val="1"/>
      <w:marLeft w:val="0"/>
      <w:marRight w:val="0"/>
      <w:marTop w:val="0"/>
      <w:marBottom w:val="0"/>
      <w:divBdr>
        <w:top w:val="none" w:sz="0" w:space="0" w:color="auto"/>
        <w:left w:val="none" w:sz="0" w:space="0" w:color="auto"/>
        <w:bottom w:val="none" w:sz="0" w:space="0" w:color="auto"/>
        <w:right w:val="none" w:sz="0" w:space="0" w:color="auto"/>
      </w:divBdr>
    </w:div>
    <w:div w:id="341202509">
      <w:bodyDiv w:val="1"/>
      <w:marLeft w:val="0"/>
      <w:marRight w:val="0"/>
      <w:marTop w:val="0"/>
      <w:marBottom w:val="0"/>
      <w:divBdr>
        <w:top w:val="none" w:sz="0" w:space="0" w:color="auto"/>
        <w:left w:val="none" w:sz="0" w:space="0" w:color="auto"/>
        <w:bottom w:val="none" w:sz="0" w:space="0" w:color="auto"/>
        <w:right w:val="none" w:sz="0" w:space="0" w:color="auto"/>
      </w:divBdr>
    </w:div>
    <w:div w:id="341472425">
      <w:bodyDiv w:val="1"/>
      <w:marLeft w:val="0"/>
      <w:marRight w:val="0"/>
      <w:marTop w:val="0"/>
      <w:marBottom w:val="0"/>
      <w:divBdr>
        <w:top w:val="none" w:sz="0" w:space="0" w:color="auto"/>
        <w:left w:val="none" w:sz="0" w:space="0" w:color="auto"/>
        <w:bottom w:val="none" w:sz="0" w:space="0" w:color="auto"/>
        <w:right w:val="none" w:sz="0" w:space="0" w:color="auto"/>
      </w:divBdr>
    </w:div>
    <w:div w:id="341589831">
      <w:bodyDiv w:val="1"/>
      <w:marLeft w:val="0"/>
      <w:marRight w:val="0"/>
      <w:marTop w:val="0"/>
      <w:marBottom w:val="0"/>
      <w:divBdr>
        <w:top w:val="none" w:sz="0" w:space="0" w:color="auto"/>
        <w:left w:val="none" w:sz="0" w:space="0" w:color="auto"/>
        <w:bottom w:val="none" w:sz="0" w:space="0" w:color="auto"/>
        <w:right w:val="none" w:sz="0" w:space="0" w:color="auto"/>
      </w:divBdr>
    </w:div>
    <w:div w:id="341787340">
      <w:bodyDiv w:val="1"/>
      <w:marLeft w:val="0"/>
      <w:marRight w:val="0"/>
      <w:marTop w:val="0"/>
      <w:marBottom w:val="0"/>
      <w:divBdr>
        <w:top w:val="none" w:sz="0" w:space="0" w:color="auto"/>
        <w:left w:val="none" w:sz="0" w:space="0" w:color="auto"/>
        <w:bottom w:val="none" w:sz="0" w:space="0" w:color="auto"/>
        <w:right w:val="none" w:sz="0" w:space="0" w:color="auto"/>
      </w:divBdr>
    </w:div>
    <w:div w:id="342827807">
      <w:bodyDiv w:val="1"/>
      <w:marLeft w:val="0"/>
      <w:marRight w:val="0"/>
      <w:marTop w:val="0"/>
      <w:marBottom w:val="0"/>
      <w:divBdr>
        <w:top w:val="none" w:sz="0" w:space="0" w:color="auto"/>
        <w:left w:val="none" w:sz="0" w:space="0" w:color="auto"/>
        <w:bottom w:val="none" w:sz="0" w:space="0" w:color="auto"/>
        <w:right w:val="none" w:sz="0" w:space="0" w:color="auto"/>
      </w:divBdr>
    </w:div>
    <w:div w:id="344215411">
      <w:bodyDiv w:val="1"/>
      <w:marLeft w:val="0"/>
      <w:marRight w:val="0"/>
      <w:marTop w:val="0"/>
      <w:marBottom w:val="0"/>
      <w:divBdr>
        <w:top w:val="none" w:sz="0" w:space="0" w:color="auto"/>
        <w:left w:val="none" w:sz="0" w:space="0" w:color="auto"/>
        <w:bottom w:val="none" w:sz="0" w:space="0" w:color="auto"/>
        <w:right w:val="none" w:sz="0" w:space="0" w:color="auto"/>
      </w:divBdr>
    </w:div>
    <w:div w:id="344674539">
      <w:bodyDiv w:val="1"/>
      <w:marLeft w:val="0"/>
      <w:marRight w:val="0"/>
      <w:marTop w:val="0"/>
      <w:marBottom w:val="0"/>
      <w:divBdr>
        <w:top w:val="none" w:sz="0" w:space="0" w:color="auto"/>
        <w:left w:val="none" w:sz="0" w:space="0" w:color="auto"/>
        <w:bottom w:val="none" w:sz="0" w:space="0" w:color="auto"/>
        <w:right w:val="none" w:sz="0" w:space="0" w:color="auto"/>
      </w:divBdr>
    </w:div>
    <w:div w:id="345980106">
      <w:bodyDiv w:val="1"/>
      <w:marLeft w:val="0"/>
      <w:marRight w:val="0"/>
      <w:marTop w:val="0"/>
      <w:marBottom w:val="0"/>
      <w:divBdr>
        <w:top w:val="none" w:sz="0" w:space="0" w:color="auto"/>
        <w:left w:val="none" w:sz="0" w:space="0" w:color="auto"/>
        <w:bottom w:val="none" w:sz="0" w:space="0" w:color="auto"/>
        <w:right w:val="none" w:sz="0" w:space="0" w:color="auto"/>
      </w:divBdr>
    </w:div>
    <w:div w:id="348684007">
      <w:bodyDiv w:val="1"/>
      <w:marLeft w:val="0"/>
      <w:marRight w:val="0"/>
      <w:marTop w:val="0"/>
      <w:marBottom w:val="0"/>
      <w:divBdr>
        <w:top w:val="none" w:sz="0" w:space="0" w:color="auto"/>
        <w:left w:val="none" w:sz="0" w:space="0" w:color="auto"/>
        <w:bottom w:val="none" w:sz="0" w:space="0" w:color="auto"/>
        <w:right w:val="none" w:sz="0" w:space="0" w:color="auto"/>
      </w:divBdr>
    </w:div>
    <w:div w:id="351802977">
      <w:bodyDiv w:val="1"/>
      <w:marLeft w:val="0"/>
      <w:marRight w:val="0"/>
      <w:marTop w:val="0"/>
      <w:marBottom w:val="0"/>
      <w:divBdr>
        <w:top w:val="none" w:sz="0" w:space="0" w:color="auto"/>
        <w:left w:val="none" w:sz="0" w:space="0" w:color="auto"/>
        <w:bottom w:val="none" w:sz="0" w:space="0" w:color="auto"/>
        <w:right w:val="none" w:sz="0" w:space="0" w:color="auto"/>
      </w:divBdr>
    </w:div>
    <w:div w:id="352656157">
      <w:bodyDiv w:val="1"/>
      <w:marLeft w:val="0"/>
      <w:marRight w:val="0"/>
      <w:marTop w:val="0"/>
      <w:marBottom w:val="0"/>
      <w:divBdr>
        <w:top w:val="none" w:sz="0" w:space="0" w:color="auto"/>
        <w:left w:val="none" w:sz="0" w:space="0" w:color="auto"/>
        <w:bottom w:val="none" w:sz="0" w:space="0" w:color="auto"/>
        <w:right w:val="none" w:sz="0" w:space="0" w:color="auto"/>
      </w:divBdr>
    </w:div>
    <w:div w:id="358899182">
      <w:bodyDiv w:val="1"/>
      <w:marLeft w:val="0"/>
      <w:marRight w:val="0"/>
      <w:marTop w:val="0"/>
      <w:marBottom w:val="0"/>
      <w:divBdr>
        <w:top w:val="none" w:sz="0" w:space="0" w:color="auto"/>
        <w:left w:val="none" w:sz="0" w:space="0" w:color="auto"/>
        <w:bottom w:val="none" w:sz="0" w:space="0" w:color="auto"/>
        <w:right w:val="none" w:sz="0" w:space="0" w:color="auto"/>
      </w:divBdr>
    </w:div>
    <w:div w:id="360711528">
      <w:bodyDiv w:val="1"/>
      <w:marLeft w:val="0"/>
      <w:marRight w:val="0"/>
      <w:marTop w:val="0"/>
      <w:marBottom w:val="0"/>
      <w:divBdr>
        <w:top w:val="none" w:sz="0" w:space="0" w:color="auto"/>
        <w:left w:val="none" w:sz="0" w:space="0" w:color="auto"/>
        <w:bottom w:val="none" w:sz="0" w:space="0" w:color="auto"/>
        <w:right w:val="none" w:sz="0" w:space="0" w:color="auto"/>
      </w:divBdr>
    </w:div>
    <w:div w:id="361366040">
      <w:bodyDiv w:val="1"/>
      <w:marLeft w:val="0"/>
      <w:marRight w:val="0"/>
      <w:marTop w:val="0"/>
      <w:marBottom w:val="0"/>
      <w:divBdr>
        <w:top w:val="none" w:sz="0" w:space="0" w:color="auto"/>
        <w:left w:val="none" w:sz="0" w:space="0" w:color="auto"/>
        <w:bottom w:val="none" w:sz="0" w:space="0" w:color="auto"/>
        <w:right w:val="none" w:sz="0" w:space="0" w:color="auto"/>
      </w:divBdr>
    </w:div>
    <w:div w:id="363293710">
      <w:bodyDiv w:val="1"/>
      <w:marLeft w:val="0"/>
      <w:marRight w:val="0"/>
      <w:marTop w:val="0"/>
      <w:marBottom w:val="0"/>
      <w:divBdr>
        <w:top w:val="none" w:sz="0" w:space="0" w:color="auto"/>
        <w:left w:val="none" w:sz="0" w:space="0" w:color="auto"/>
        <w:bottom w:val="none" w:sz="0" w:space="0" w:color="auto"/>
        <w:right w:val="none" w:sz="0" w:space="0" w:color="auto"/>
      </w:divBdr>
    </w:div>
    <w:div w:id="363944948">
      <w:bodyDiv w:val="1"/>
      <w:marLeft w:val="0"/>
      <w:marRight w:val="0"/>
      <w:marTop w:val="0"/>
      <w:marBottom w:val="0"/>
      <w:divBdr>
        <w:top w:val="none" w:sz="0" w:space="0" w:color="auto"/>
        <w:left w:val="none" w:sz="0" w:space="0" w:color="auto"/>
        <w:bottom w:val="none" w:sz="0" w:space="0" w:color="auto"/>
        <w:right w:val="none" w:sz="0" w:space="0" w:color="auto"/>
      </w:divBdr>
    </w:div>
    <w:div w:id="368336379">
      <w:bodyDiv w:val="1"/>
      <w:marLeft w:val="0"/>
      <w:marRight w:val="0"/>
      <w:marTop w:val="0"/>
      <w:marBottom w:val="0"/>
      <w:divBdr>
        <w:top w:val="none" w:sz="0" w:space="0" w:color="auto"/>
        <w:left w:val="none" w:sz="0" w:space="0" w:color="auto"/>
        <w:bottom w:val="none" w:sz="0" w:space="0" w:color="auto"/>
        <w:right w:val="none" w:sz="0" w:space="0" w:color="auto"/>
      </w:divBdr>
    </w:div>
    <w:div w:id="368846059">
      <w:bodyDiv w:val="1"/>
      <w:marLeft w:val="0"/>
      <w:marRight w:val="0"/>
      <w:marTop w:val="0"/>
      <w:marBottom w:val="0"/>
      <w:divBdr>
        <w:top w:val="none" w:sz="0" w:space="0" w:color="auto"/>
        <w:left w:val="none" w:sz="0" w:space="0" w:color="auto"/>
        <w:bottom w:val="none" w:sz="0" w:space="0" w:color="auto"/>
        <w:right w:val="none" w:sz="0" w:space="0" w:color="auto"/>
      </w:divBdr>
    </w:div>
    <w:div w:id="368917216">
      <w:bodyDiv w:val="1"/>
      <w:marLeft w:val="0"/>
      <w:marRight w:val="0"/>
      <w:marTop w:val="0"/>
      <w:marBottom w:val="0"/>
      <w:divBdr>
        <w:top w:val="none" w:sz="0" w:space="0" w:color="auto"/>
        <w:left w:val="none" w:sz="0" w:space="0" w:color="auto"/>
        <w:bottom w:val="none" w:sz="0" w:space="0" w:color="auto"/>
        <w:right w:val="none" w:sz="0" w:space="0" w:color="auto"/>
      </w:divBdr>
    </w:div>
    <w:div w:id="371421804">
      <w:bodyDiv w:val="1"/>
      <w:marLeft w:val="0"/>
      <w:marRight w:val="0"/>
      <w:marTop w:val="0"/>
      <w:marBottom w:val="0"/>
      <w:divBdr>
        <w:top w:val="none" w:sz="0" w:space="0" w:color="auto"/>
        <w:left w:val="none" w:sz="0" w:space="0" w:color="auto"/>
        <w:bottom w:val="none" w:sz="0" w:space="0" w:color="auto"/>
        <w:right w:val="none" w:sz="0" w:space="0" w:color="auto"/>
      </w:divBdr>
    </w:div>
    <w:div w:id="371541215">
      <w:bodyDiv w:val="1"/>
      <w:marLeft w:val="0"/>
      <w:marRight w:val="0"/>
      <w:marTop w:val="0"/>
      <w:marBottom w:val="0"/>
      <w:divBdr>
        <w:top w:val="none" w:sz="0" w:space="0" w:color="auto"/>
        <w:left w:val="none" w:sz="0" w:space="0" w:color="auto"/>
        <w:bottom w:val="none" w:sz="0" w:space="0" w:color="auto"/>
        <w:right w:val="none" w:sz="0" w:space="0" w:color="auto"/>
      </w:divBdr>
    </w:div>
    <w:div w:id="372847381">
      <w:bodyDiv w:val="1"/>
      <w:marLeft w:val="0"/>
      <w:marRight w:val="0"/>
      <w:marTop w:val="0"/>
      <w:marBottom w:val="0"/>
      <w:divBdr>
        <w:top w:val="none" w:sz="0" w:space="0" w:color="auto"/>
        <w:left w:val="none" w:sz="0" w:space="0" w:color="auto"/>
        <w:bottom w:val="none" w:sz="0" w:space="0" w:color="auto"/>
        <w:right w:val="none" w:sz="0" w:space="0" w:color="auto"/>
      </w:divBdr>
    </w:div>
    <w:div w:id="37350668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504672">
      <w:bodyDiv w:val="1"/>
      <w:marLeft w:val="0"/>
      <w:marRight w:val="0"/>
      <w:marTop w:val="0"/>
      <w:marBottom w:val="0"/>
      <w:divBdr>
        <w:top w:val="none" w:sz="0" w:space="0" w:color="auto"/>
        <w:left w:val="none" w:sz="0" w:space="0" w:color="auto"/>
        <w:bottom w:val="none" w:sz="0" w:space="0" w:color="auto"/>
        <w:right w:val="none" w:sz="0" w:space="0" w:color="auto"/>
      </w:divBdr>
    </w:div>
    <w:div w:id="376976134">
      <w:bodyDiv w:val="1"/>
      <w:marLeft w:val="0"/>
      <w:marRight w:val="0"/>
      <w:marTop w:val="0"/>
      <w:marBottom w:val="0"/>
      <w:divBdr>
        <w:top w:val="none" w:sz="0" w:space="0" w:color="auto"/>
        <w:left w:val="none" w:sz="0" w:space="0" w:color="auto"/>
        <w:bottom w:val="none" w:sz="0" w:space="0" w:color="auto"/>
        <w:right w:val="none" w:sz="0" w:space="0" w:color="auto"/>
      </w:divBdr>
    </w:div>
    <w:div w:id="380903179">
      <w:bodyDiv w:val="1"/>
      <w:marLeft w:val="0"/>
      <w:marRight w:val="0"/>
      <w:marTop w:val="0"/>
      <w:marBottom w:val="0"/>
      <w:divBdr>
        <w:top w:val="none" w:sz="0" w:space="0" w:color="auto"/>
        <w:left w:val="none" w:sz="0" w:space="0" w:color="auto"/>
        <w:bottom w:val="none" w:sz="0" w:space="0" w:color="auto"/>
        <w:right w:val="none" w:sz="0" w:space="0" w:color="auto"/>
      </w:divBdr>
    </w:div>
    <w:div w:id="383601798">
      <w:bodyDiv w:val="1"/>
      <w:marLeft w:val="0"/>
      <w:marRight w:val="0"/>
      <w:marTop w:val="0"/>
      <w:marBottom w:val="0"/>
      <w:divBdr>
        <w:top w:val="none" w:sz="0" w:space="0" w:color="auto"/>
        <w:left w:val="none" w:sz="0" w:space="0" w:color="auto"/>
        <w:bottom w:val="none" w:sz="0" w:space="0" w:color="auto"/>
        <w:right w:val="none" w:sz="0" w:space="0" w:color="auto"/>
      </w:divBdr>
    </w:div>
    <w:div w:id="389113109">
      <w:bodyDiv w:val="1"/>
      <w:marLeft w:val="0"/>
      <w:marRight w:val="0"/>
      <w:marTop w:val="0"/>
      <w:marBottom w:val="0"/>
      <w:divBdr>
        <w:top w:val="none" w:sz="0" w:space="0" w:color="auto"/>
        <w:left w:val="none" w:sz="0" w:space="0" w:color="auto"/>
        <w:bottom w:val="none" w:sz="0" w:space="0" w:color="auto"/>
        <w:right w:val="none" w:sz="0" w:space="0" w:color="auto"/>
      </w:divBdr>
    </w:div>
    <w:div w:id="389884612">
      <w:bodyDiv w:val="1"/>
      <w:marLeft w:val="0"/>
      <w:marRight w:val="0"/>
      <w:marTop w:val="0"/>
      <w:marBottom w:val="0"/>
      <w:divBdr>
        <w:top w:val="none" w:sz="0" w:space="0" w:color="auto"/>
        <w:left w:val="none" w:sz="0" w:space="0" w:color="auto"/>
        <w:bottom w:val="none" w:sz="0" w:space="0" w:color="auto"/>
        <w:right w:val="none" w:sz="0" w:space="0" w:color="auto"/>
      </w:divBdr>
    </w:div>
    <w:div w:id="390078580">
      <w:bodyDiv w:val="1"/>
      <w:marLeft w:val="0"/>
      <w:marRight w:val="0"/>
      <w:marTop w:val="0"/>
      <w:marBottom w:val="0"/>
      <w:divBdr>
        <w:top w:val="none" w:sz="0" w:space="0" w:color="auto"/>
        <w:left w:val="none" w:sz="0" w:space="0" w:color="auto"/>
        <w:bottom w:val="none" w:sz="0" w:space="0" w:color="auto"/>
        <w:right w:val="none" w:sz="0" w:space="0" w:color="auto"/>
      </w:divBdr>
    </w:div>
    <w:div w:id="393896090">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397021633">
      <w:bodyDiv w:val="1"/>
      <w:marLeft w:val="0"/>
      <w:marRight w:val="0"/>
      <w:marTop w:val="0"/>
      <w:marBottom w:val="0"/>
      <w:divBdr>
        <w:top w:val="none" w:sz="0" w:space="0" w:color="auto"/>
        <w:left w:val="none" w:sz="0" w:space="0" w:color="auto"/>
        <w:bottom w:val="none" w:sz="0" w:space="0" w:color="auto"/>
        <w:right w:val="none" w:sz="0" w:space="0" w:color="auto"/>
      </w:divBdr>
    </w:div>
    <w:div w:id="398096411">
      <w:bodyDiv w:val="1"/>
      <w:marLeft w:val="0"/>
      <w:marRight w:val="0"/>
      <w:marTop w:val="0"/>
      <w:marBottom w:val="0"/>
      <w:divBdr>
        <w:top w:val="none" w:sz="0" w:space="0" w:color="auto"/>
        <w:left w:val="none" w:sz="0" w:space="0" w:color="auto"/>
        <w:bottom w:val="none" w:sz="0" w:space="0" w:color="auto"/>
        <w:right w:val="none" w:sz="0" w:space="0" w:color="auto"/>
      </w:divBdr>
    </w:div>
    <w:div w:id="399911973">
      <w:bodyDiv w:val="1"/>
      <w:marLeft w:val="0"/>
      <w:marRight w:val="0"/>
      <w:marTop w:val="0"/>
      <w:marBottom w:val="0"/>
      <w:divBdr>
        <w:top w:val="none" w:sz="0" w:space="0" w:color="auto"/>
        <w:left w:val="none" w:sz="0" w:space="0" w:color="auto"/>
        <w:bottom w:val="none" w:sz="0" w:space="0" w:color="auto"/>
        <w:right w:val="none" w:sz="0" w:space="0" w:color="auto"/>
      </w:divBdr>
    </w:div>
    <w:div w:id="401372489">
      <w:bodyDiv w:val="1"/>
      <w:marLeft w:val="0"/>
      <w:marRight w:val="0"/>
      <w:marTop w:val="0"/>
      <w:marBottom w:val="0"/>
      <w:divBdr>
        <w:top w:val="none" w:sz="0" w:space="0" w:color="auto"/>
        <w:left w:val="none" w:sz="0" w:space="0" w:color="auto"/>
        <w:bottom w:val="none" w:sz="0" w:space="0" w:color="auto"/>
        <w:right w:val="none" w:sz="0" w:space="0" w:color="auto"/>
      </w:divBdr>
    </w:div>
    <w:div w:id="402412498">
      <w:bodyDiv w:val="1"/>
      <w:marLeft w:val="0"/>
      <w:marRight w:val="0"/>
      <w:marTop w:val="0"/>
      <w:marBottom w:val="0"/>
      <w:divBdr>
        <w:top w:val="none" w:sz="0" w:space="0" w:color="auto"/>
        <w:left w:val="none" w:sz="0" w:space="0" w:color="auto"/>
        <w:bottom w:val="none" w:sz="0" w:space="0" w:color="auto"/>
        <w:right w:val="none" w:sz="0" w:space="0" w:color="auto"/>
      </w:divBdr>
    </w:div>
    <w:div w:id="402484297">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04913577">
      <w:bodyDiv w:val="1"/>
      <w:marLeft w:val="0"/>
      <w:marRight w:val="0"/>
      <w:marTop w:val="0"/>
      <w:marBottom w:val="0"/>
      <w:divBdr>
        <w:top w:val="none" w:sz="0" w:space="0" w:color="auto"/>
        <w:left w:val="none" w:sz="0" w:space="0" w:color="auto"/>
        <w:bottom w:val="none" w:sz="0" w:space="0" w:color="auto"/>
        <w:right w:val="none" w:sz="0" w:space="0" w:color="auto"/>
      </w:divBdr>
    </w:div>
    <w:div w:id="407920651">
      <w:bodyDiv w:val="1"/>
      <w:marLeft w:val="0"/>
      <w:marRight w:val="0"/>
      <w:marTop w:val="0"/>
      <w:marBottom w:val="0"/>
      <w:divBdr>
        <w:top w:val="none" w:sz="0" w:space="0" w:color="auto"/>
        <w:left w:val="none" w:sz="0" w:space="0" w:color="auto"/>
        <w:bottom w:val="none" w:sz="0" w:space="0" w:color="auto"/>
        <w:right w:val="none" w:sz="0" w:space="0" w:color="auto"/>
      </w:divBdr>
    </w:div>
    <w:div w:id="408038753">
      <w:bodyDiv w:val="1"/>
      <w:marLeft w:val="0"/>
      <w:marRight w:val="0"/>
      <w:marTop w:val="0"/>
      <w:marBottom w:val="0"/>
      <w:divBdr>
        <w:top w:val="none" w:sz="0" w:space="0" w:color="auto"/>
        <w:left w:val="none" w:sz="0" w:space="0" w:color="auto"/>
        <w:bottom w:val="none" w:sz="0" w:space="0" w:color="auto"/>
        <w:right w:val="none" w:sz="0" w:space="0" w:color="auto"/>
      </w:divBdr>
    </w:div>
    <w:div w:id="411126866">
      <w:bodyDiv w:val="1"/>
      <w:marLeft w:val="0"/>
      <w:marRight w:val="0"/>
      <w:marTop w:val="0"/>
      <w:marBottom w:val="0"/>
      <w:divBdr>
        <w:top w:val="none" w:sz="0" w:space="0" w:color="auto"/>
        <w:left w:val="none" w:sz="0" w:space="0" w:color="auto"/>
        <w:bottom w:val="none" w:sz="0" w:space="0" w:color="auto"/>
        <w:right w:val="none" w:sz="0" w:space="0" w:color="auto"/>
      </w:divBdr>
    </w:div>
    <w:div w:id="413354199">
      <w:bodyDiv w:val="1"/>
      <w:marLeft w:val="0"/>
      <w:marRight w:val="0"/>
      <w:marTop w:val="0"/>
      <w:marBottom w:val="0"/>
      <w:divBdr>
        <w:top w:val="none" w:sz="0" w:space="0" w:color="auto"/>
        <w:left w:val="none" w:sz="0" w:space="0" w:color="auto"/>
        <w:bottom w:val="none" w:sz="0" w:space="0" w:color="auto"/>
        <w:right w:val="none" w:sz="0" w:space="0" w:color="auto"/>
      </w:divBdr>
    </w:div>
    <w:div w:id="416368634">
      <w:bodyDiv w:val="1"/>
      <w:marLeft w:val="0"/>
      <w:marRight w:val="0"/>
      <w:marTop w:val="0"/>
      <w:marBottom w:val="0"/>
      <w:divBdr>
        <w:top w:val="none" w:sz="0" w:space="0" w:color="auto"/>
        <w:left w:val="none" w:sz="0" w:space="0" w:color="auto"/>
        <w:bottom w:val="none" w:sz="0" w:space="0" w:color="auto"/>
        <w:right w:val="none" w:sz="0" w:space="0" w:color="auto"/>
      </w:divBdr>
    </w:div>
    <w:div w:id="419178408">
      <w:bodyDiv w:val="1"/>
      <w:marLeft w:val="0"/>
      <w:marRight w:val="0"/>
      <w:marTop w:val="0"/>
      <w:marBottom w:val="0"/>
      <w:divBdr>
        <w:top w:val="none" w:sz="0" w:space="0" w:color="auto"/>
        <w:left w:val="none" w:sz="0" w:space="0" w:color="auto"/>
        <w:bottom w:val="none" w:sz="0" w:space="0" w:color="auto"/>
        <w:right w:val="none" w:sz="0" w:space="0" w:color="auto"/>
      </w:divBdr>
    </w:div>
    <w:div w:id="421998842">
      <w:bodyDiv w:val="1"/>
      <w:marLeft w:val="0"/>
      <w:marRight w:val="0"/>
      <w:marTop w:val="0"/>
      <w:marBottom w:val="0"/>
      <w:divBdr>
        <w:top w:val="none" w:sz="0" w:space="0" w:color="auto"/>
        <w:left w:val="none" w:sz="0" w:space="0" w:color="auto"/>
        <w:bottom w:val="none" w:sz="0" w:space="0" w:color="auto"/>
        <w:right w:val="none" w:sz="0" w:space="0" w:color="auto"/>
      </w:divBdr>
    </w:div>
    <w:div w:id="424038147">
      <w:bodyDiv w:val="1"/>
      <w:marLeft w:val="0"/>
      <w:marRight w:val="0"/>
      <w:marTop w:val="0"/>
      <w:marBottom w:val="0"/>
      <w:divBdr>
        <w:top w:val="none" w:sz="0" w:space="0" w:color="auto"/>
        <w:left w:val="none" w:sz="0" w:space="0" w:color="auto"/>
        <w:bottom w:val="none" w:sz="0" w:space="0" w:color="auto"/>
        <w:right w:val="none" w:sz="0" w:space="0" w:color="auto"/>
      </w:divBdr>
    </w:div>
    <w:div w:id="425730009">
      <w:bodyDiv w:val="1"/>
      <w:marLeft w:val="0"/>
      <w:marRight w:val="0"/>
      <w:marTop w:val="0"/>
      <w:marBottom w:val="0"/>
      <w:divBdr>
        <w:top w:val="none" w:sz="0" w:space="0" w:color="auto"/>
        <w:left w:val="none" w:sz="0" w:space="0" w:color="auto"/>
        <w:bottom w:val="none" w:sz="0" w:space="0" w:color="auto"/>
        <w:right w:val="none" w:sz="0" w:space="0" w:color="auto"/>
      </w:divBdr>
    </w:div>
    <w:div w:id="426121590">
      <w:bodyDiv w:val="1"/>
      <w:marLeft w:val="0"/>
      <w:marRight w:val="0"/>
      <w:marTop w:val="0"/>
      <w:marBottom w:val="0"/>
      <w:divBdr>
        <w:top w:val="none" w:sz="0" w:space="0" w:color="auto"/>
        <w:left w:val="none" w:sz="0" w:space="0" w:color="auto"/>
        <w:bottom w:val="none" w:sz="0" w:space="0" w:color="auto"/>
        <w:right w:val="none" w:sz="0" w:space="0" w:color="auto"/>
      </w:divBdr>
    </w:div>
    <w:div w:id="428046508">
      <w:bodyDiv w:val="1"/>
      <w:marLeft w:val="0"/>
      <w:marRight w:val="0"/>
      <w:marTop w:val="0"/>
      <w:marBottom w:val="0"/>
      <w:divBdr>
        <w:top w:val="none" w:sz="0" w:space="0" w:color="auto"/>
        <w:left w:val="none" w:sz="0" w:space="0" w:color="auto"/>
        <w:bottom w:val="none" w:sz="0" w:space="0" w:color="auto"/>
        <w:right w:val="none" w:sz="0" w:space="0" w:color="auto"/>
      </w:divBdr>
    </w:div>
    <w:div w:id="429400510">
      <w:bodyDiv w:val="1"/>
      <w:marLeft w:val="0"/>
      <w:marRight w:val="0"/>
      <w:marTop w:val="0"/>
      <w:marBottom w:val="0"/>
      <w:divBdr>
        <w:top w:val="none" w:sz="0" w:space="0" w:color="auto"/>
        <w:left w:val="none" w:sz="0" w:space="0" w:color="auto"/>
        <w:bottom w:val="none" w:sz="0" w:space="0" w:color="auto"/>
        <w:right w:val="none" w:sz="0" w:space="0" w:color="auto"/>
      </w:divBdr>
    </w:div>
    <w:div w:id="429468737">
      <w:bodyDiv w:val="1"/>
      <w:marLeft w:val="0"/>
      <w:marRight w:val="0"/>
      <w:marTop w:val="0"/>
      <w:marBottom w:val="0"/>
      <w:divBdr>
        <w:top w:val="none" w:sz="0" w:space="0" w:color="auto"/>
        <w:left w:val="none" w:sz="0" w:space="0" w:color="auto"/>
        <w:bottom w:val="none" w:sz="0" w:space="0" w:color="auto"/>
        <w:right w:val="none" w:sz="0" w:space="0" w:color="auto"/>
      </w:divBdr>
    </w:div>
    <w:div w:id="431241147">
      <w:bodyDiv w:val="1"/>
      <w:marLeft w:val="0"/>
      <w:marRight w:val="0"/>
      <w:marTop w:val="0"/>
      <w:marBottom w:val="0"/>
      <w:divBdr>
        <w:top w:val="none" w:sz="0" w:space="0" w:color="auto"/>
        <w:left w:val="none" w:sz="0" w:space="0" w:color="auto"/>
        <w:bottom w:val="none" w:sz="0" w:space="0" w:color="auto"/>
        <w:right w:val="none" w:sz="0" w:space="0" w:color="auto"/>
      </w:divBdr>
    </w:div>
    <w:div w:id="433669413">
      <w:bodyDiv w:val="1"/>
      <w:marLeft w:val="0"/>
      <w:marRight w:val="0"/>
      <w:marTop w:val="0"/>
      <w:marBottom w:val="0"/>
      <w:divBdr>
        <w:top w:val="none" w:sz="0" w:space="0" w:color="auto"/>
        <w:left w:val="none" w:sz="0" w:space="0" w:color="auto"/>
        <w:bottom w:val="none" w:sz="0" w:space="0" w:color="auto"/>
        <w:right w:val="none" w:sz="0" w:space="0" w:color="auto"/>
      </w:divBdr>
    </w:div>
    <w:div w:id="433749001">
      <w:bodyDiv w:val="1"/>
      <w:marLeft w:val="0"/>
      <w:marRight w:val="0"/>
      <w:marTop w:val="0"/>
      <w:marBottom w:val="0"/>
      <w:divBdr>
        <w:top w:val="none" w:sz="0" w:space="0" w:color="auto"/>
        <w:left w:val="none" w:sz="0" w:space="0" w:color="auto"/>
        <w:bottom w:val="none" w:sz="0" w:space="0" w:color="auto"/>
        <w:right w:val="none" w:sz="0" w:space="0" w:color="auto"/>
      </w:divBdr>
    </w:div>
    <w:div w:id="438796098">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453599551">
      <w:bodyDiv w:val="1"/>
      <w:marLeft w:val="0"/>
      <w:marRight w:val="0"/>
      <w:marTop w:val="0"/>
      <w:marBottom w:val="0"/>
      <w:divBdr>
        <w:top w:val="none" w:sz="0" w:space="0" w:color="auto"/>
        <w:left w:val="none" w:sz="0" w:space="0" w:color="auto"/>
        <w:bottom w:val="none" w:sz="0" w:space="0" w:color="auto"/>
        <w:right w:val="none" w:sz="0" w:space="0" w:color="auto"/>
      </w:divBdr>
    </w:div>
    <w:div w:id="453720421">
      <w:bodyDiv w:val="1"/>
      <w:marLeft w:val="0"/>
      <w:marRight w:val="0"/>
      <w:marTop w:val="0"/>
      <w:marBottom w:val="0"/>
      <w:divBdr>
        <w:top w:val="none" w:sz="0" w:space="0" w:color="auto"/>
        <w:left w:val="none" w:sz="0" w:space="0" w:color="auto"/>
        <w:bottom w:val="none" w:sz="0" w:space="0" w:color="auto"/>
        <w:right w:val="none" w:sz="0" w:space="0" w:color="auto"/>
      </w:divBdr>
    </w:div>
    <w:div w:id="454637674">
      <w:bodyDiv w:val="1"/>
      <w:marLeft w:val="0"/>
      <w:marRight w:val="0"/>
      <w:marTop w:val="0"/>
      <w:marBottom w:val="0"/>
      <w:divBdr>
        <w:top w:val="none" w:sz="0" w:space="0" w:color="auto"/>
        <w:left w:val="none" w:sz="0" w:space="0" w:color="auto"/>
        <w:bottom w:val="none" w:sz="0" w:space="0" w:color="auto"/>
        <w:right w:val="none" w:sz="0" w:space="0" w:color="auto"/>
      </w:divBdr>
    </w:div>
    <w:div w:id="456219300">
      <w:bodyDiv w:val="1"/>
      <w:marLeft w:val="0"/>
      <w:marRight w:val="0"/>
      <w:marTop w:val="0"/>
      <w:marBottom w:val="0"/>
      <w:divBdr>
        <w:top w:val="none" w:sz="0" w:space="0" w:color="auto"/>
        <w:left w:val="none" w:sz="0" w:space="0" w:color="auto"/>
        <w:bottom w:val="none" w:sz="0" w:space="0" w:color="auto"/>
        <w:right w:val="none" w:sz="0" w:space="0" w:color="auto"/>
      </w:divBdr>
    </w:div>
    <w:div w:id="456725735">
      <w:bodyDiv w:val="1"/>
      <w:marLeft w:val="0"/>
      <w:marRight w:val="0"/>
      <w:marTop w:val="0"/>
      <w:marBottom w:val="0"/>
      <w:divBdr>
        <w:top w:val="none" w:sz="0" w:space="0" w:color="auto"/>
        <w:left w:val="none" w:sz="0" w:space="0" w:color="auto"/>
        <w:bottom w:val="none" w:sz="0" w:space="0" w:color="auto"/>
        <w:right w:val="none" w:sz="0" w:space="0" w:color="auto"/>
      </w:divBdr>
    </w:div>
    <w:div w:id="460154440">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0998741">
      <w:bodyDiv w:val="1"/>
      <w:marLeft w:val="0"/>
      <w:marRight w:val="0"/>
      <w:marTop w:val="0"/>
      <w:marBottom w:val="0"/>
      <w:divBdr>
        <w:top w:val="none" w:sz="0" w:space="0" w:color="auto"/>
        <w:left w:val="none" w:sz="0" w:space="0" w:color="auto"/>
        <w:bottom w:val="none" w:sz="0" w:space="0" w:color="auto"/>
        <w:right w:val="none" w:sz="0" w:space="0" w:color="auto"/>
      </w:divBdr>
    </w:div>
    <w:div w:id="461924509">
      <w:bodyDiv w:val="1"/>
      <w:marLeft w:val="0"/>
      <w:marRight w:val="0"/>
      <w:marTop w:val="0"/>
      <w:marBottom w:val="0"/>
      <w:divBdr>
        <w:top w:val="none" w:sz="0" w:space="0" w:color="auto"/>
        <w:left w:val="none" w:sz="0" w:space="0" w:color="auto"/>
        <w:bottom w:val="none" w:sz="0" w:space="0" w:color="auto"/>
        <w:right w:val="none" w:sz="0" w:space="0" w:color="auto"/>
      </w:divBdr>
    </w:div>
    <w:div w:id="466440093">
      <w:bodyDiv w:val="1"/>
      <w:marLeft w:val="0"/>
      <w:marRight w:val="0"/>
      <w:marTop w:val="0"/>
      <w:marBottom w:val="0"/>
      <w:divBdr>
        <w:top w:val="none" w:sz="0" w:space="0" w:color="auto"/>
        <w:left w:val="none" w:sz="0" w:space="0" w:color="auto"/>
        <w:bottom w:val="none" w:sz="0" w:space="0" w:color="auto"/>
        <w:right w:val="none" w:sz="0" w:space="0" w:color="auto"/>
      </w:divBdr>
    </w:div>
    <w:div w:id="471558592">
      <w:bodyDiv w:val="1"/>
      <w:marLeft w:val="0"/>
      <w:marRight w:val="0"/>
      <w:marTop w:val="0"/>
      <w:marBottom w:val="0"/>
      <w:divBdr>
        <w:top w:val="none" w:sz="0" w:space="0" w:color="auto"/>
        <w:left w:val="none" w:sz="0" w:space="0" w:color="auto"/>
        <w:bottom w:val="none" w:sz="0" w:space="0" w:color="auto"/>
        <w:right w:val="none" w:sz="0" w:space="0" w:color="auto"/>
      </w:divBdr>
    </w:div>
    <w:div w:id="471799297">
      <w:bodyDiv w:val="1"/>
      <w:marLeft w:val="0"/>
      <w:marRight w:val="0"/>
      <w:marTop w:val="0"/>
      <w:marBottom w:val="0"/>
      <w:divBdr>
        <w:top w:val="none" w:sz="0" w:space="0" w:color="auto"/>
        <w:left w:val="none" w:sz="0" w:space="0" w:color="auto"/>
        <w:bottom w:val="none" w:sz="0" w:space="0" w:color="auto"/>
        <w:right w:val="none" w:sz="0" w:space="0" w:color="auto"/>
      </w:divBdr>
    </w:div>
    <w:div w:id="473259039">
      <w:bodyDiv w:val="1"/>
      <w:marLeft w:val="0"/>
      <w:marRight w:val="0"/>
      <w:marTop w:val="0"/>
      <w:marBottom w:val="0"/>
      <w:divBdr>
        <w:top w:val="none" w:sz="0" w:space="0" w:color="auto"/>
        <w:left w:val="none" w:sz="0" w:space="0" w:color="auto"/>
        <w:bottom w:val="none" w:sz="0" w:space="0" w:color="auto"/>
        <w:right w:val="none" w:sz="0" w:space="0" w:color="auto"/>
      </w:divBdr>
    </w:div>
    <w:div w:id="474103741">
      <w:bodyDiv w:val="1"/>
      <w:marLeft w:val="0"/>
      <w:marRight w:val="0"/>
      <w:marTop w:val="0"/>
      <w:marBottom w:val="0"/>
      <w:divBdr>
        <w:top w:val="none" w:sz="0" w:space="0" w:color="auto"/>
        <w:left w:val="none" w:sz="0" w:space="0" w:color="auto"/>
        <w:bottom w:val="none" w:sz="0" w:space="0" w:color="auto"/>
        <w:right w:val="none" w:sz="0" w:space="0" w:color="auto"/>
      </w:divBdr>
    </w:div>
    <w:div w:id="476187625">
      <w:bodyDiv w:val="1"/>
      <w:marLeft w:val="0"/>
      <w:marRight w:val="0"/>
      <w:marTop w:val="0"/>
      <w:marBottom w:val="0"/>
      <w:divBdr>
        <w:top w:val="none" w:sz="0" w:space="0" w:color="auto"/>
        <w:left w:val="none" w:sz="0" w:space="0" w:color="auto"/>
        <w:bottom w:val="none" w:sz="0" w:space="0" w:color="auto"/>
        <w:right w:val="none" w:sz="0" w:space="0" w:color="auto"/>
      </w:divBdr>
    </w:div>
    <w:div w:id="476536222">
      <w:bodyDiv w:val="1"/>
      <w:marLeft w:val="0"/>
      <w:marRight w:val="0"/>
      <w:marTop w:val="0"/>
      <w:marBottom w:val="0"/>
      <w:divBdr>
        <w:top w:val="none" w:sz="0" w:space="0" w:color="auto"/>
        <w:left w:val="none" w:sz="0" w:space="0" w:color="auto"/>
        <w:bottom w:val="none" w:sz="0" w:space="0" w:color="auto"/>
        <w:right w:val="none" w:sz="0" w:space="0" w:color="auto"/>
      </w:divBdr>
    </w:div>
    <w:div w:id="476725258">
      <w:bodyDiv w:val="1"/>
      <w:marLeft w:val="0"/>
      <w:marRight w:val="0"/>
      <w:marTop w:val="0"/>
      <w:marBottom w:val="0"/>
      <w:divBdr>
        <w:top w:val="none" w:sz="0" w:space="0" w:color="auto"/>
        <w:left w:val="none" w:sz="0" w:space="0" w:color="auto"/>
        <w:bottom w:val="none" w:sz="0" w:space="0" w:color="auto"/>
        <w:right w:val="none" w:sz="0" w:space="0" w:color="auto"/>
      </w:divBdr>
    </w:div>
    <w:div w:id="477773111">
      <w:bodyDiv w:val="1"/>
      <w:marLeft w:val="0"/>
      <w:marRight w:val="0"/>
      <w:marTop w:val="0"/>
      <w:marBottom w:val="0"/>
      <w:divBdr>
        <w:top w:val="none" w:sz="0" w:space="0" w:color="auto"/>
        <w:left w:val="none" w:sz="0" w:space="0" w:color="auto"/>
        <w:bottom w:val="none" w:sz="0" w:space="0" w:color="auto"/>
        <w:right w:val="none" w:sz="0" w:space="0" w:color="auto"/>
      </w:divBdr>
    </w:div>
    <w:div w:id="478036408">
      <w:bodyDiv w:val="1"/>
      <w:marLeft w:val="0"/>
      <w:marRight w:val="0"/>
      <w:marTop w:val="0"/>
      <w:marBottom w:val="0"/>
      <w:divBdr>
        <w:top w:val="none" w:sz="0" w:space="0" w:color="auto"/>
        <w:left w:val="none" w:sz="0" w:space="0" w:color="auto"/>
        <w:bottom w:val="none" w:sz="0" w:space="0" w:color="auto"/>
        <w:right w:val="none" w:sz="0" w:space="0" w:color="auto"/>
      </w:divBdr>
    </w:div>
    <w:div w:id="479929026">
      <w:bodyDiv w:val="1"/>
      <w:marLeft w:val="0"/>
      <w:marRight w:val="0"/>
      <w:marTop w:val="0"/>
      <w:marBottom w:val="0"/>
      <w:divBdr>
        <w:top w:val="none" w:sz="0" w:space="0" w:color="auto"/>
        <w:left w:val="none" w:sz="0" w:space="0" w:color="auto"/>
        <w:bottom w:val="none" w:sz="0" w:space="0" w:color="auto"/>
        <w:right w:val="none" w:sz="0" w:space="0" w:color="auto"/>
      </w:divBdr>
    </w:div>
    <w:div w:id="480073796">
      <w:bodyDiv w:val="1"/>
      <w:marLeft w:val="0"/>
      <w:marRight w:val="0"/>
      <w:marTop w:val="0"/>
      <w:marBottom w:val="0"/>
      <w:divBdr>
        <w:top w:val="none" w:sz="0" w:space="0" w:color="auto"/>
        <w:left w:val="none" w:sz="0" w:space="0" w:color="auto"/>
        <w:bottom w:val="none" w:sz="0" w:space="0" w:color="auto"/>
        <w:right w:val="none" w:sz="0" w:space="0" w:color="auto"/>
      </w:divBdr>
    </w:div>
    <w:div w:id="485129404">
      <w:bodyDiv w:val="1"/>
      <w:marLeft w:val="0"/>
      <w:marRight w:val="0"/>
      <w:marTop w:val="0"/>
      <w:marBottom w:val="0"/>
      <w:divBdr>
        <w:top w:val="none" w:sz="0" w:space="0" w:color="auto"/>
        <w:left w:val="none" w:sz="0" w:space="0" w:color="auto"/>
        <w:bottom w:val="none" w:sz="0" w:space="0" w:color="auto"/>
        <w:right w:val="none" w:sz="0" w:space="0" w:color="auto"/>
      </w:divBdr>
    </w:div>
    <w:div w:id="486482704">
      <w:bodyDiv w:val="1"/>
      <w:marLeft w:val="0"/>
      <w:marRight w:val="0"/>
      <w:marTop w:val="0"/>
      <w:marBottom w:val="0"/>
      <w:divBdr>
        <w:top w:val="none" w:sz="0" w:space="0" w:color="auto"/>
        <w:left w:val="none" w:sz="0" w:space="0" w:color="auto"/>
        <w:bottom w:val="none" w:sz="0" w:space="0" w:color="auto"/>
        <w:right w:val="none" w:sz="0" w:space="0" w:color="auto"/>
      </w:divBdr>
    </w:div>
    <w:div w:id="487480386">
      <w:bodyDiv w:val="1"/>
      <w:marLeft w:val="0"/>
      <w:marRight w:val="0"/>
      <w:marTop w:val="0"/>
      <w:marBottom w:val="0"/>
      <w:divBdr>
        <w:top w:val="none" w:sz="0" w:space="0" w:color="auto"/>
        <w:left w:val="none" w:sz="0" w:space="0" w:color="auto"/>
        <w:bottom w:val="none" w:sz="0" w:space="0" w:color="auto"/>
        <w:right w:val="none" w:sz="0" w:space="0" w:color="auto"/>
      </w:divBdr>
    </w:div>
    <w:div w:id="488331872">
      <w:bodyDiv w:val="1"/>
      <w:marLeft w:val="0"/>
      <w:marRight w:val="0"/>
      <w:marTop w:val="0"/>
      <w:marBottom w:val="0"/>
      <w:divBdr>
        <w:top w:val="none" w:sz="0" w:space="0" w:color="auto"/>
        <w:left w:val="none" w:sz="0" w:space="0" w:color="auto"/>
        <w:bottom w:val="none" w:sz="0" w:space="0" w:color="auto"/>
        <w:right w:val="none" w:sz="0" w:space="0" w:color="auto"/>
      </w:divBdr>
    </w:div>
    <w:div w:id="489058397">
      <w:bodyDiv w:val="1"/>
      <w:marLeft w:val="0"/>
      <w:marRight w:val="0"/>
      <w:marTop w:val="0"/>
      <w:marBottom w:val="0"/>
      <w:divBdr>
        <w:top w:val="none" w:sz="0" w:space="0" w:color="auto"/>
        <w:left w:val="none" w:sz="0" w:space="0" w:color="auto"/>
        <w:bottom w:val="none" w:sz="0" w:space="0" w:color="auto"/>
        <w:right w:val="none" w:sz="0" w:space="0" w:color="auto"/>
      </w:divBdr>
    </w:div>
    <w:div w:id="490028614">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493684316">
      <w:bodyDiv w:val="1"/>
      <w:marLeft w:val="0"/>
      <w:marRight w:val="0"/>
      <w:marTop w:val="0"/>
      <w:marBottom w:val="0"/>
      <w:divBdr>
        <w:top w:val="none" w:sz="0" w:space="0" w:color="auto"/>
        <w:left w:val="none" w:sz="0" w:space="0" w:color="auto"/>
        <w:bottom w:val="none" w:sz="0" w:space="0" w:color="auto"/>
        <w:right w:val="none" w:sz="0" w:space="0" w:color="auto"/>
      </w:divBdr>
    </w:div>
    <w:div w:id="496306152">
      <w:bodyDiv w:val="1"/>
      <w:marLeft w:val="0"/>
      <w:marRight w:val="0"/>
      <w:marTop w:val="0"/>
      <w:marBottom w:val="0"/>
      <w:divBdr>
        <w:top w:val="none" w:sz="0" w:space="0" w:color="auto"/>
        <w:left w:val="none" w:sz="0" w:space="0" w:color="auto"/>
        <w:bottom w:val="none" w:sz="0" w:space="0" w:color="auto"/>
        <w:right w:val="none" w:sz="0" w:space="0" w:color="auto"/>
      </w:divBdr>
    </w:div>
    <w:div w:id="496728521">
      <w:bodyDiv w:val="1"/>
      <w:marLeft w:val="0"/>
      <w:marRight w:val="0"/>
      <w:marTop w:val="0"/>
      <w:marBottom w:val="0"/>
      <w:divBdr>
        <w:top w:val="none" w:sz="0" w:space="0" w:color="auto"/>
        <w:left w:val="none" w:sz="0" w:space="0" w:color="auto"/>
        <w:bottom w:val="none" w:sz="0" w:space="0" w:color="auto"/>
        <w:right w:val="none" w:sz="0" w:space="0" w:color="auto"/>
      </w:divBdr>
    </w:div>
    <w:div w:id="501511095">
      <w:bodyDiv w:val="1"/>
      <w:marLeft w:val="0"/>
      <w:marRight w:val="0"/>
      <w:marTop w:val="0"/>
      <w:marBottom w:val="0"/>
      <w:divBdr>
        <w:top w:val="none" w:sz="0" w:space="0" w:color="auto"/>
        <w:left w:val="none" w:sz="0" w:space="0" w:color="auto"/>
        <w:bottom w:val="none" w:sz="0" w:space="0" w:color="auto"/>
        <w:right w:val="none" w:sz="0" w:space="0" w:color="auto"/>
      </w:divBdr>
    </w:div>
    <w:div w:id="504054123">
      <w:bodyDiv w:val="1"/>
      <w:marLeft w:val="0"/>
      <w:marRight w:val="0"/>
      <w:marTop w:val="0"/>
      <w:marBottom w:val="0"/>
      <w:divBdr>
        <w:top w:val="none" w:sz="0" w:space="0" w:color="auto"/>
        <w:left w:val="none" w:sz="0" w:space="0" w:color="auto"/>
        <w:bottom w:val="none" w:sz="0" w:space="0" w:color="auto"/>
        <w:right w:val="none" w:sz="0" w:space="0" w:color="auto"/>
      </w:divBdr>
    </w:div>
    <w:div w:id="504517073">
      <w:bodyDiv w:val="1"/>
      <w:marLeft w:val="0"/>
      <w:marRight w:val="0"/>
      <w:marTop w:val="0"/>
      <w:marBottom w:val="0"/>
      <w:divBdr>
        <w:top w:val="none" w:sz="0" w:space="0" w:color="auto"/>
        <w:left w:val="none" w:sz="0" w:space="0" w:color="auto"/>
        <w:bottom w:val="none" w:sz="0" w:space="0" w:color="auto"/>
        <w:right w:val="none" w:sz="0" w:space="0" w:color="auto"/>
      </w:divBdr>
    </w:div>
    <w:div w:id="507446820">
      <w:bodyDiv w:val="1"/>
      <w:marLeft w:val="0"/>
      <w:marRight w:val="0"/>
      <w:marTop w:val="0"/>
      <w:marBottom w:val="0"/>
      <w:divBdr>
        <w:top w:val="none" w:sz="0" w:space="0" w:color="auto"/>
        <w:left w:val="none" w:sz="0" w:space="0" w:color="auto"/>
        <w:bottom w:val="none" w:sz="0" w:space="0" w:color="auto"/>
        <w:right w:val="none" w:sz="0" w:space="0" w:color="auto"/>
      </w:divBdr>
    </w:div>
    <w:div w:id="507642953">
      <w:bodyDiv w:val="1"/>
      <w:marLeft w:val="0"/>
      <w:marRight w:val="0"/>
      <w:marTop w:val="0"/>
      <w:marBottom w:val="0"/>
      <w:divBdr>
        <w:top w:val="none" w:sz="0" w:space="0" w:color="auto"/>
        <w:left w:val="none" w:sz="0" w:space="0" w:color="auto"/>
        <w:bottom w:val="none" w:sz="0" w:space="0" w:color="auto"/>
        <w:right w:val="none" w:sz="0" w:space="0" w:color="auto"/>
      </w:divBdr>
    </w:div>
    <w:div w:id="510411824">
      <w:bodyDiv w:val="1"/>
      <w:marLeft w:val="0"/>
      <w:marRight w:val="0"/>
      <w:marTop w:val="0"/>
      <w:marBottom w:val="0"/>
      <w:divBdr>
        <w:top w:val="none" w:sz="0" w:space="0" w:color="auto"/>
        <w:left w:val="none" w:sz="0" w:space="0" w:color="auto"/>
        <w:bottom w:val="none" w:sz="0" w:space="0" w:color="auto"/>
        <w:right w:val="none" w:sz="0" w:space="0" w:color="auto"/>
      </w:divBdr>
    </w:div>
    <w:div w:id="510417636">
      <w:bodyDiv w:val="1"/>
      <w:marLeft w:val="0"/>
      <w:marRight w:val="0"/>
      <w:marTop w:val="0"/>
      <w:marBottom w:val="0"/>
      <w:divBdr>
        <w:top w:val="none" w:sz="0" w:space="0" w:color="auto"/>
        <w:left w:val="none" w:sz="0" w:space="0" w:color="auto"/>
        <w:bottom w:val="none" w:sz="0" w:space="0" w:color="auto"/>
        <w:right w:val="none" w:sz="0" w:space="0" w:color="auto"/>
      </w:divBdr>
    </w:div>
    <w:div w:id="515073331">
      <w:bodyDiv w:val="1"/>
      <w:marLeft w:val="0"/>
      <w:marRight w:val="0"/>
      <w:marTop w:val="0"/>
      <w:marBottom w:val="0"/>
      <w:divBdr>
        <w:top w:val="none" w:sz="0" w:space="0" w:color="auto"/>
        <w:left w:val="none" w:sz="0" w:space="0" w:color="auto"/>
        <w:bottom w:val="none" w:sz="0" w:space="0" w:color="auto"/>
        <w:right w:val="none" w:sz="0" w:space="0" w:color="auto"/>
      </w:divBdr>
    </w:div>
    <w:div w:id="515074388">
      <w:bodyDiv w:val="1"/>
      <w:marLeft w:val="0"/>
      <w:marRight w:val="0"/>
      <w:marTop w:val="0"/>
      <w:marBottom w:val="0"/>
      <w:divBdr>
        <w:top w:val="none" w:sz="0" w:space="0" w:color="auto"/>
        <w:left w:val="none" w:sz="0" w:space="0" w:color="auto"/>
        <w:bottom w:val="none" w:sz="0" w:space="0" w:color="auto"/>
        <w:right w:val="none" w:sz="0" w:space="0" w:color="auto"/>
      </w:divBdr>
    </w:div>
    <w:div w:id="515536808">
      <w:bodyDiv w:val="1"/>
      <w:marLeft w:val="0"/>
      <w:marRight w:val="0"/>
      <w:marTop w:val="0"/>
      <w:marBottom w:val="0"/>
      <w:divBdr>
        <w:top w:val="none" w:sz="0" w:space="0" w:color="auto"/>
        <w:left w:val="none" w:sz="0" w:space="0" w:color="auto"/>
        <w:bottom w:val="none" w:sz="0" w:space="0" w:color="auto"/>
        <w:right w:val="none" w:sz="0" w:space="0" w:color="auto"/>
      </w:divBdr>
    </w:div>
    <w:div w:id="526456365">
      <w:bodyDiv w:val="1"/>
      <w:marLeft w:val="0"/>
      <w:marRight w:val="0"/>
      <w:marTop w:val="0"/>
      <w:marBottom w:val="0"/>
      <w:divBdr>
        <w:top w:val="none" w:sz="0" w:space="0" w:color="auto"/>
        <w:left w:val="none" w:sz="0" w:space="0" w:color="auto"/>
        <w:bottom w:val="none" w:sz="0" w:space="0" w:color="auto"/>
        <w:right w:val="none" w:sz="0" w:space="0" w:color="auto"/>
      </w:divBdr>
    </w:div>
    <w:div w:id="526988652">
      <w:bodyDiv w:val="1"/>
      <w:marLeft w:val="0"/>
      <w:marRight w:val="0"/>
      <w:marTop w:val="0"/>
      <w:marBottom w:val="0"/>
      <w:divBdr>
        <w:top w:val="none" w:sz="0" w:space="0" w:color="auto"/>
        <w:left w:val="none" w:sz="0" w:space="0" w:color="auto"/>
        <w:bottom w:val="none" w:sz="0" w:space="0" w:color="auto"/>
        <w:right w:val="none" w:sz="0" w:space="0" w:color="auto"/>
      </w:divBdr>
    </w:div>
    <w:div w:id="529801565">
      <w:bodyDiv w:val="1"/>
      <w:marLeft w:val="0"/>
      <w:marRight w:val="0"/>
      <w:marTop w:val="0"/>
      <w:marBottom w:val="0"/>
      <w:divBdr>
        <w:top w:val="none" w:sz="0" w:space="0" w:color="auto"/>
        <w:left w:val="none" w:sz="0" w:space="0" w:color="auto"/>
        <w:bottom w:val="none" w:sz="0" w:space="0" w:color="auto"/>
        <w:right w:val="none" w:sz="0" w:space="0" w:color="auto"/>
      </w:divBdr>
    </w:div>
    <w:div w:id="530188855">
      <w:bodyDiv w:val="1"/>
      <w:marLeft w:val="0"/>
      <w:marRight w:val="0"/>
      <w:marTop w:val="0"/>
      <w:marBottom w:val="0"/>
      <w:divBdr>
        <w:top w:val="none" w:sz="0" w:space="0" w:color="auto"/>
        <w:left w:val="none" w:sz="0" w:space="0" w:color="auto"/>
        <w:bottom w:val="none" w:sz="0" w:space="0" w:color="auto"/>
        <w:right w:val="none" w:sz="0" w:space="0" w:color="auto"/>
      </w:divBdr>
    </w:div>
    <w:div w:id="532688211">
      <w:bodyDiv w:val="1"/>
      <w:marLeft w:val="0"/>
      <w:marRight w:val="0"/>
      <w:marTop w:val="0"/>
      <w:marBottom w:val="0"/>
      <w:divBdr>
        <w:top w:val="none" w:sz="0" w:space="0" w:color="auto"/>
        <w:left w:val="none" w:sz="0" w:space="0" w:color="auto"/>
        <w:bottom w:val="none" w:sz="0" w:space="0" w:color="auto"/>
        <w:right w:val="none" w:sz="0" w:space="0" w:color="auto"/>
      </w:divBdr>
    </w:div>
    <w:div w:id="533034882">
      <w:bodyDiv w:val="1"/>
      <w:marLeft w:val="0"/>
      <w:marRight w:val="0"/>
      <w:marTop w:val="0"/>
      <w:marBottom w:val="0"/>
      <w:divBdr>
        <w:top w:val="none" w:sz="0" w:space="0" w:color="auto"/>
        <w:left w:val="none" w:sz="0" w:space="0" w:color="auto"/>
        <w:bottom w:val="none" w:sz="0" w:space="0" w:color="auto"/>
        <w:right w:val="none" w:sz="0" w:space="0" w:color="auto"/>
      </w:divBdr>
    </w:div>
    <w:div w:id="534778139">
      <w:bodyDiv w:val="1"/>
      <w:marLeft w:val="0"/>
      <w:marRight w:val="0"/>
      <w:marTop w:val="0"/>
      <w:marBottom w:val="0"/>
      <w:divBdr>
        <w:top w:val="none" w:sz="0" w:space="0" w:color="auto"/>
        <w:left w:val="none" w:sz="0" w:space="0" w:color="auto"/>
        <w:bottom w:val="none" w:sz="0" w:space="0" w:color="auto"/>
        <w:right w:val="none" w:sz="0" w:space="0" w:color="auto"/>
      </w:divBdr>
    </w:div>
    <w:div w:id="535317402">
      <w:bodyDiv w:val="1"/>
      <w:marLeft w:val="0"/>
      <w:marRight w:val="0"/>
      <w:marTop w:val="0"/>
      <w:marBottom w:val="0"/>
      <w:divBdr>
        <w:top w:val="none" w:sz="0" w:space="0" w:color="auto"/>
        <w:left w:val="none" w:sz="0" w:space="0" w:color="auto"/>
        <w:bottom w:val="none" w:sz="0" w:space="0" w:color="auto"/>
        <w:right w:val="none" w:sz="0" w:space="0" w:color="auto"/>
      </w:divBdr>
    </w:div>
    <w:div w:id="535972818">
      <w:bodyDiv w:val="1"/>
      <w:marLeft w:val="0"/>
      <w:marRight w:val="0"/>
      <w:marTop w:val="0"/>
      <w:marBottom w:val="0"/>
      <w:divBdr>
        <w:top w:val="none" w:sz="0" w:space="0" w:color="auto"/>
        <w:left w:val="none" w:sz="0" w:space="0" w:color="auto"/>
        <w:bottom w:val="none" w:sz="0" w:space="0" w:color="auto"/>
        <w:right w:val="none" w:sz="0" w:space="0" w:color="auto"/>
      </w:divBdr>
    </w:div>
    <w:div w:id="536283146">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8400737">
      <w:bodyDiv w:val="1"/>
      <w:marLeft w:val="0"/>
      <w:marRight w:val="0"/>
      <w:marTop w:val="0"/>
      <w:marBottom w:val="0"/>
      <w:divBdr>
        <w:top w:val="none" w:sz="0" w:space="0" w:color="auto"/>
        <w:left w:val="none" w:sz="0" w:space="0" w:color="auto"/>
        <w:bottom w:val="none" w:sz="0" w:space="0" w:color="auto"/>
        <w:right w:val="none" w:sz="0" w:space="0" w:color="auto"/>
      </w:divBdr>
    </w:div>
    <w:div w:id="539436036">
      <w:bodyDiv w:val="1"/>
      <w:marLeft w:val="0"/>
      <w:marRight w:val="0"/>
      <w:marTop w:val="0"/>
      <w:marBottom w:val="0"/>
      <w:divBdr>
        <w:top w:val="none" w:sz="0" w:space="0" w:color="auto"/>
        <w:left w:val="none" w:sz="0" w:space="0" w:color="auto"/>
        <w:bottom w:val="none" w:sz="0" w:space="0" w:color="auto"/>
        <w:right w:val="none" w:sz="0" w:space="0" w:color="auto"/>
      </w:divBdr>
    </w:div>
    <w:div w:id="543759915">
      <w:bodyDiv w:val="1"/>
      <w:marLeft w:val="0"/>
      <w:marRight w:val="0"/>
      <w:marTop w:val="0"/>
      <w:marBottom w:val="0"/>
      <w:divBdr>
        <w:top w:val="none" w:sz="0" w:space="0" w:color="auto"/>
        <w:left w:val="none" w:sz="0" w:space="0" w:color="auto"/>
        <w:bottom w:val="none" w:sz="0" w:space="0" w:color="auto"/>
        <w:right w:val="none" w:sz="0" w:space="0" w:color="auto"/>
      </w:divBdr>
    </w:div>
    <w:div w:id="544105307">
      <w:bodyDiv w:val="1"/>
      <w:marLeft w:val="0"/>
      <w:marRight w:val="0"/>
      <w:marTop w:val="0"/>
      <w:marBottom w:val="0"/>
      <w:divBdr>
        <w:top w:val="none" w:sz="0" w:space="0" w:color="auto"/>
        <w:left w:val="none" w:sz="0" w:space="0" w:color="auto"/>
        <w:bottom w:val="none" w:sz="0" w:space="0" w:color="auto"/>
        <w:right w:val="none" w:sz="0" w:space="0" w:color="auto"/>
      </w:divBdr>
    </w:div>
    <w:div w:id="547380461">
      <w:bodyDiv w:val="1"/>
      <w:marLeft w:val="0"/>
      <w:marRight w:val="0"/>
      <w:marTop w:val="0"/>
      <w:marBottom w:val="0"/>
      <w:divBdr>
        <w:top w:val="none" w:sz="0" w:space="0" w:color="auto"/>
        <w:left w:val="none" w:sz="0" w:space="0" w:color="auto"/>
        <w:bottom w:val="none" w:sz="0" w:space="0" w:color="auto"/>
        <w:right w:val="none" w:sz="0" w:space="0" w:color="auto"/>
      </w:divBdr>
    </w:div>
    <w:div w:id="547954385">
      <w:bodyDiv w:val="1"/>
      <w:marLeft w:val="0"/>
      <w:marRight w:val="0"/>
      <w:marTop w:val="0"/>
      <w:marBottom w:val="0"/>
      <w:divBdr>
        <w:top w:val="none" w:sz="0" w:space="0" w:color="auto"/>
        <w:left w:val="none" w:sz="0" w:space="0" w:color="auto"/>
        <w:bottom w:val="none" w:sz="0" w:space="0" w:color="auto"/>
        <w:right w:val="none" w:sz="0" w:space="0" w:color="auto"/>
      </w:divBdr>
    </w:div>
    <w:div w:id="549653364">
      <w:bodyDiv w:val="1"/>
      <w:marLeft w:val="0"/>
      <w:marRight w:val="0"/>
      <w:marTop w:val="0"/>
      <w:marBottom w:val="0"/>
      <w:divBdr>
        <w:top w:val="none" w:sz="0" w:space="0" w:color="auto"/>
        <w:left w:val="none" w:sz="0" w:space="0" w:color="auto"/>
        <w:bottom w:val="none" w:sz="0" w:space="0" w:color="auto"/>
        <w:right w:val="none" w:sz="0" w:space="0" w:color="auto"/>
      </w:divBdr>
    </w:div>
    <w:div w:id="549734029">
      <w:bodyDiv w:val="1"/>
      <w:marLeft w:val="0"/>
      <w:marRight w:val="0"/>
      <w:marTop w:val="0"/>
      <w:marBottom w:val="0"/>
      <w:divBdr>
        <w:top w:val="none" w:sz="0" w:space="0" w:color="auto"/>
        <w:left w:val="none" w:sz="0" w:space="0" w:color="auto"/>
        <w:bottom w:val="none" w:sz="0" w:space="0" w:color="auto"/>
        <w:right w:val="none" w:sz="0" w:space="0" w:color="auto"/>
      </w:divBdr>
    </w:div>
    <w:div w:id="549809681">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3393995">
      <w:bodyDiv w:val="1"/>
      <w:marLeft w:val="0"/>
      <w:marRight w:val="0"/>
      <w:marTop w:val="0"/>
      <w:marBottom w:val="0"/>
      <w:divBdr>
        <w:top w:val="none" w:sz="0" w:space="0" w:color="auto"/>
        <w:left w:val="none" w:sz="0" w:space="0" w:color="auto"/>
        <w:bottom w:val="none" w:sz="0" w:space="0" w:color="auto"/>
        <w:right w:val="none" w:sz="0" w:space="0" w:color="auto"/>
      </w:divBdr>
    </w:div>
    <w:div w:id="554269515">
      <w:bodyDiv w:val="1"/>
      <w:marLeft w:val="0"/>
      <w:marRight w:val="0"/>
      <w:marTop w:val="0"/>
      <w:marBottom w:val="0"/>
      <w:divBdr>
        <w:top w:val="none" w:sz="0" w:space="0" w:color="auto"/>
        <w:left w:val="none" w:sz="0" w:space="0" w:color="auto"/>
        <w:bottom w:val="none" w:sz="0" w:space="0" w:color="auto"/>
        <w:right w:val="none" w:sz="0" w:space="0" w:color="auto"/>
      </w:divBdr>
    </w:div>
    <w:div w:id="554700571">
      <w:bodyDiv w:val="1"/>
      <w:marLeft w:val="0"/>
      <w:marRight w:val="0"/>
      <w:marTop w:val="0"/>
      <w:marBottom w:val="0"/>
      <w:divBdr>
        <w:top w:val="none" w:sz="0" w:space="0" w:color="auto"/>
        <w:left w:val="none" w:sz="0" w:space="0" w:color="auto"/>
        <w:bottom w:val="none" w:sz="0" w:space="0" w:color="auto"/>
        <w:right w:val="none" w:sz="0" w:space="0" w:color="auto"/>
      </w:divBdr>
    </w:div>
    <w:div w:id="557016687">
      <w:bodyDiv w:val="1"/>
      <w:marLeft w:val="0"/>
      <w:marRight w:val="0"/>
      <w:marTop w:val="0"/>
      <w:marBottom w:val="0"/>
      <w:divBdr>
        <w:top w:val="none" w:sz="0" w:space="0" w:color="auto"/>
        <w:left w:val="none" w:sz="0" w:space="0" w:color="auto"/>
        <w:bottom w:val="none" w:sz="0" w:space="0" w:color="auto"/>
        <w:right w:val="none" w:sz="0" w:space="0" w:color="auto"/>
      </w:divBdr>
    </w:div>
    <w:div w:id="557591030">
      <w:bodyDiv w:val="1"/>
      <w:marLeft w:val="0"/>
      <w:marRight w:val="0"/>
      <w:marTop w:val="0"/>
      <w:marBottom w:val="0"/>
      <w:divBdr>
        <w:top w:val="none" w:sz="0" w:space="0" w:color="auto"/>
        <w:left w:val="none" w:sz="0" w:space="0" w:color="auto"/>
        <w:bottom w:val="none" w:sz="0" w:space="0" w:color="auto"/>
        <w:right w:val="none" w:sz="0" w:space="0" w:color="auto"/>
      </w:divBdr>
    </w:div>
    <w:div w:id="557857697">
      <w:bodyDiv w:val="1"/>
      <w:marLeft w:val="0"/>
      <w:marRight w:val="0"/>
      <w:marTop w:val="0"/>
      <w:marBottom w:val="0"/>
      <w:divBdr>
        <w:top w:val="none" w:sz="0" w:space="0" w:color="auto"/>
        <w:left w:val="none" w:sz="0" w:space="0" w:color="auto"/>
        <w:bottom w:val="none" w:sz="0" w:space="0" w:color="auto"/>
        <w:right w:val="none" w:sz="0" w:space="0" w:color="auto"/>
      </w:divBdr>
    </w:div>
    <w:div w:id="558327487">
      <w:bodyDiv w:val="1"/>
      <w:marLeft w:val="0"/>
      <w:marRight w:val="0"/>
      <w:marTop w:val="0"/>
      <w:marBottom w:val="0"/>
      <w:divBdr>
        <w:top w:val="none" w:sz="0" w:space="0" w:color="auto"/>
        <w:left w:val="none" w:sz="0" w:space="0" w:color="auto"/>
        <w:bottom w:val="none" w:sz="0" w:space="0" w:color="auto"/>
        <w:right w:val="none" w:sz="0" w:space="0" w:color="auto"/>
      </w:divBdr>
    </w:div>
    <w:div w:id="558638774">
      <w:bodyDiv w:val="1"/>
      <w:marLeft w:val="0"/>
      <w:marRight w:val="0"/>
      <w:marTop w:val="0"/>
      <w:marBottom w:val="0"/>
      <w:divBdr>
        <w:top w:val="none" w:sz="0" w:space="0" w:color="auto"/>
        <w:left w:val="none" w:sz="0" w:space="0" w:color="auto"/>
        <w:bottom w:val="none" w:sz="0" w:space="0" w:color="auto"/>
        <w:right w:val="none" w:sz="0" w:space="0" w:color="auto"/>
      </w:divBdr>
    </w:div>
    <w:div w:id="560335127">
      <w:bodyDiv w:val="1"/>
      <w:marLeft w:val="0"/>
      <w:marRight w:val="0"/>
      <w:marTop w:val="0"/>
      <w:marBottom w:val="0"/>
      <w:divBdr>
        <w:top w:val="none" w:sz="0" w:space="0" w:color="auto"/>
        <w:left w:val="none" w:sz="0" w:space="0" w:color="auto"/>
        <w:bottom w:val="none" w:sz="0" w:space="0" w:color="auto"/>
        <w:right w:val="none" w:sz="0" w:space="0" w:color="auto"/>
      </w:divBdr>
    </w:div>
    <w:div w:id="561019542">
      <w:bodyDiv w:val="1"/>
      <w:marLeft w:val="0"/>
      <w:marRight w:val="0"/>
      <w:marTop w:val="0"/>
      <w:marBottom w:val="0"/>
      <w:divBdr>
        <w:top w:val="none" w:sz="0" w:space="0" w:color="auto"/>
        <w:left w:val="none" w:sz="0" w:space="0" w:color="auto"/>
        <w:bottom w:val="none" w:sz="0" w:space="0" w:color="auto"/>
        <w:right w:val="none" w:sz="0" w:space="0" w:color="auto"/>
      </w:divBdr>
    </w:div>
    <w:div w:id="561717116">
      <w:bodyDiv w:val="1"/>
      <w:marLeft w:val="0"/>
      <w:marRight w:val="0"/>
      <w:marTop w:val="0"/>
      <w:marBottom w:val="0"/>
      <w:divBdr>
        <w:top w:val="none" w:sz="0" w:space="0" w:color="auto"/>
        <w:left w:val="none" w:sz="0" w:space="0" w:color="auto"/>
        <w:bottom w:val="none" w:sz="0" w:space="0" w:color="auto"/>
        <w:right w:val="none" w:sz="0" w:space="0" w:color="auto"/>
      </w:divBdr>
    </w:div>
    <w:div w:id="564413220">
      <w:bodyDiv w:val="1"/>
      <w:marLeft w:val="0"/>
      <w:marRight w:val="0"/>
      <w:marTop w:val="0"/>
      <w:marBottom w:val="0"/>
      <w:divBdr>
        <w:top w:val="none" w:sz="0" w:space="0" w:color="auto"/>
        <w:left w:val="none" w:sz="0" w:space="0" w:color="auto"/>
        <w:bottom w:val="none" w:sz="0" w:space="0" w:color="auto"/>
        <w:right w:val="none" w:sz="0" w:space="0" w:color="auto"/>
      </w:divBdr>
    </w:div>
    <w:div w:id="571277816">
      <w:bodyDiv w:val="1"/>
      <w:marLeft w:val="0"/>
      <w:marRight w:val="0"/>
      <w:marTop w:val="0"/>
      <w:marBottom w:val="0"/>
      <w:divBdr>
        <w:top w:val="none" w:sz="0" w:space="0" w:color="auto"/>
        <w:left w:val="none" w:sz="0" w:space="0" w:color="auto"/>
        <w:bottom w:val="none" w:sz="0" w:space="0" w:color="auto"/>
        <w:right w:val="none" w:sz="0" w:space="0" w:color="auto"/>
      </w:divBdr>
    </w:div>
    <w:div w:id="574978568">
      <w:bodyDiv w:val="1"/>
      <w:marLeft w:val="0"/>
      <w:marRight w:val="0"/>
      <w:marTop w:val="0"/>
      <w:marBottom w:val="0"/>
      <w:divBdr>
        <w:top w:val="none" w:sz="0" w:space="0" w:color="auto"/>
        <w:left w:val="none" w:sz="0" w:space="0" w:color="auto"/>
        <w:bottom w:val="none" w:sz="0" w:space="0" w:color="auto"/>
        <w:right w:val="none" w:sz="0" w:space="0" w:color="auto"/>
      </w:divBdr>
    </w:div>
    <w:div w:id="575018407">
      <w:bodyDiv w:val="1"/>
      <w:marLeft w:val="0"/>
      <w:marRight w:val="0"/>
      <w:marTop w:val="0"/>
      <w:marBottom w:val="0"/>
      <w:divBdr>
        <w:top w:val="none" w:sz="0" w:space="0" w:color="auto"/>
        <w:left w:val="none" w:sz="0" w:space="0" w:color="auto"/>
        <w:bottom w:val="none" w:sz="0" w:space="0" w:color="auto"/>
        <w:right w:val="none" w:sz="0" w:space="0" w:color="auto"/>
      </w:divBdr>
    </w:div>
    <w:div w:id="578177188">
      <w:bodyDiv w:val="1"/>
      <w:marLeft w:val="0"/>
      <w:marRight w:val="0"/>
      <w:marTop w:val="0"/>
      <w:marBottom w:val="0"/>
      <w:divBdr>
        <w:top w:val="none" w:sz="0" w:space="0" w:color="auto"/>
        <w:left w:val="none" w:sz="0" w:space="0" w:color="auto"/>
        <w:bottom w:val="none" w:sz="0" w:space="0" w:color="auto"/>
        <w:right w:val="none" w:sz="0" w:space="0" w:color="auto"/>
      </w:divBdr>
    </w:div>
    <w:div w:id="580532204">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904369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512405">
      <w:bodyDiv w:val="1"/>
      <w:marLeft w:val="0"/>
      <w:marRight w:val="0"/>
      <w:marTop w:val="0"/>
      <w:marBottom w:val="0"/>
      <w:divBdr>
        <w:top w:val="none" w:sz="0" w:space="0" w:color="auto"/>
        <w:left w:val="none" w:sz="0" w:space="0" w:color="auto"/>
        <w:bottom w:val="none" w:sz="0" w:space="0" w:color="auto"/>
        <w:right w:val="none" w:sz="0" w:space="0" w:color="auto"/>
      </w:divBdr>
    </w:div>
    <w:div w:id="591278102">
      <w:bodyDiv w:val="1"/>
      <w:marLeft w:val="0"/>
      <w:marRight w:val="0"/>
      <w:marTop w:val="0"/>
      <w:marBottom w:val="0"/>
      <w:divBdr>
        <w:top w:val="none" w:sz="0" w:space="0" w:color="auto"/>
        <w:left w:val="none" w:sz="0" w:space="0" w:color="auto"/>
        <w:bottom w:val="none" w:sz="0" w:space="0" w:color="auto"/>
        <w:right w:val="none" w:sz="0" w:space="0" w:color="auto"/>
      </w:divBdr>
    </w:div>
    <w:div w:id="593516818">
      <w:bodyDiv w:val="1"/>
      <w:marLeft w:val="0"/>
      <w:marRight w:val="0"/>
      <w:marTop w:val="0"/>
      <w:marBottom w:val="0"/>
      <w:divBdr>
        <w:top w:val="none" w:sz="0" w:space="0" w:color="auto"/>
        <w:left w:val="none" w:sz="0" w:space="0" w:color="auto"/>
        <w:bottom w:val="none" w:sz="0" w:space="0" w:color="auto"/>
        <w:right w:val="none" w:sz="0" w:space="0" w:color="auto"/>
      </w:divBdr>
    </w:div>
    <w:div w:id="596402658">
      <w:bodyDiv w:val="1"/>
      <w:marLeft w:val="0"/>
      <w:marRight w:val="0"/>
      <w:marTop w:val="0"/>
      <w:marBottom w:val="0"/>
      <w:divBdr>
        <w:top w:val="none" w:sz="0" w:space="0" w:color="auto"/>
        <w:left w:val="none" w:sz="0" w:space="0" w:color="auto"/>
        <w:bottom w:val="none" w:sz="0" w:space="0" w:color="auto"/>
        <w:right w:val="none" w:sz="0" w:space="0" w:color="auto"/>
      </w:divBdr>
    </w:div>
    <w:div w:id="597493726">
      <w:bodyDiv w:val="1"/>
      <w:marLeft w:val="0"/>
      <w:marRight w:val="0"/>
      <w:marTop w:val="0"/>
      <w:marBottom w:val="0"/>
      <w:divBdr>
        <w:top w:val="none" w:sz="0" w:space="0" w:color="auto"/>
        <w:left w:val="none" w:sz="0" w:space="0" w:color="auto"/>
        <w:bottom w:val="none" w:sz="0" w:space="0" w:color="auto"/>
        <w:right w:val="none" w:sz="0" w:space="0" w:color="auto"/>
      </w:divBdr>
    </w:div>
    <w:div w:id="598831279">
      <w:bodyDiv w:val="1"/>
      <w:marLeft w:val="0"/>
      <w:marRight w:val="0"/>
      <w:marTop w:val="0"/>
      <w:marBottom w:val="0"/>
      <w:divBdr>
        <w:top w:val="none" w:sz="0" w:space="0" w:color="auto"/>
        <w:left w:val="none" w:sz="0" w:space="0" w:color="auto"/>
        <w:bottom w:val="none" w:sz="0" w:space="0" w:color="auto"/>
        <w:right w:val="none" w:sz="0" w:space="0" w:color="auto"/>
      </w:divBdr>
    </w:div>
    <w:div w:id="600643697">
      <w:bodyDiv w:val="1"/>
      <w:marLeft w:val="0"/>
      <w:marRight w:val="0"/>
      <w:marTop w:val="0"/>
      <w:marBottom w:val="0"/>
      <w:divBdr>
        <w:top w:val="none" w:sz="0" w:space="0" w:color="auto"/>
        <w:left w:val="none" w:sz="0" w:space="0" w:color="auto"/>
        <w:bottom w:val="none" w:sz="0" w:space="0" w:color="auto"/>
        <w:right w:val="none" w:sz="0" w:space="0" w:color="auto"/>
      </w:divBdr>
    </w:div>
    <w:div w:id="607468314">
      <w:bodyDiv w:val="1"/>
      <w:marLeft w:val="0"/>
      <w:marRight w:val="0"/>
      <w:marTop w:val="0"/>
      <w:marBottom w:val="0"/>
      <w:divBdr>
        <w:top w:val="none" w:sz="0" w:space="0" w:color="auto"/>
        <w:left w:val="none" w:sz="0" w:space="0" w:color="auto"/>
        <w:bottom w:val="none" w:sz="0" w:space="0" w:color="auto"/>
        <w:right w:val="none" w:sz="0" w:space="0" w:color="auto"/>
      </w:divBdr>
    </w:div>
    <w:div w:id="609703738">
      <w:bodyDiv w:val="1"/>
      <w:marLeft w:val="0"/>
      <w:marRight w:val="0"/>
      <w:marTop w:val="0"/>
      <w:marBottom w:val="0"/>
      <w:divBdr>
        <w:top w:val="none" w:sz="0" w:space="0" w:color="auto"/>
        <w:left w:val="none" w:sz="0" w:space="0" w:color="auto"/>
        <w:bottom w:val="none" w:sz="0" w:space="0" w:color="auto"/>
        <w:right w:val="none" w:sz="0" w:space="0" w:color="auto"/>
      </w:divBdr>
    </w:div>
    <w:div w:id="610206363">
      <w:bodyDiv w:val="1"/>
      <w:marLeft w:val="0"/>
      <w:marRight w:val="0"/>
      <w:marTop w:val="0"/>
      <w:marBottom w:val="0"/>
      <w:divBdr>
        <w:top w:val="none" w:sz="0" w:space="0" w:color="auto"/>
        <w:left w:val="none" w:sz="0" w:space="0" w:color="auto"/>
        <w:bottom w:val="none" w:sz="0" w:space="0" w:color="auto"/>
        <w:right w:val="none" w:sz="0" w:space="0" w:color="auto"/>
      </w:divBdr>
    </w:div>
    <w:div w:id="610405509">
      <w:bodyDiv w:val="1"/>
      <w:marLeft w:val="0"/>
      <w:marRight w:val="0"/>
      <w:marTop w:val="0"/>
      <w:marBottom w:val="0"/>
      <w:divBdr>
        <w:top w:val="none" w:sz="0" w:space="0" w:color="auto"/>
        <w:left w:val="none" w:sz="0" w:space="0" w:color="auto"/>
        <w:bottom w:val="none" w:sz="0" w:space="0" w:color="auto"/>
        <w:right w:val="none" w:sz="0" w:space="0" w:color="auto"/>
      </w:divBdr>
    </w:div>
    <w:div w:id="611397718">
      <w:bodyDiv w:val="1"/>
      <w:marLeft w:val="0"/>
      <w:marRight w:val="0"/>
      <w:marTop w:val="0"/>
      <w:marBottom w:val="0"/>
      <w:divBdr>
        <w:top w:val="none" w:sz="0" w:space="0" w:color="auto"/>
        <w:left w:val="none" w:sz="0" w:space="0" w:color="auto"/>
        <w:bottom w:val="none" w:sz="0" w:space="0" w:color="auto"/>
        <w:right w:val="none" w:sz="0" w:space="0" w:color="auto"/>
      </w:divBdr>
    </w:div>
    <w:div w:id="611863728">
      <w:bodyDiv w:val="1"/>
      <w:marLeft w:val="0"/>
      <w:marRight w:val="0"/>
      <w:marTop w:val="0"/>
      <w:marBottom w:val="0"/>
      <w:divBdr>
        <w:top w:val="none" w:sz="0" w:space="0" w:color="auto"/>
        <w:left w:val="none" w:sz="0" w:space="0" w:color="auto"/>
        <w:bottom w:val="none" w:sz="0" w:space="0" w:color="auto"/>
        <w:right w:val="none" w:sz="0" w:space="0" w:color="auto"/>
      </w:divBdr>
    </w:div>
    <w:div w:id="612440956">
      <w:bodyDiv w:val="1"/>
      <w:marLeft w:val="0"/>
      <w:marRight w:val="0"/>
      <w:marTop w:val="0"/>
      <w:marBottom w:val="0"/>
      <w:divBdr>
        <w:top w:val="none" w:sz="0" w:space="0" w:color="auto"/>
        <w:left w:val="none" w:sz="0" w:space="0" w:color="auto"/>
        <w:bottom w:val="none" w:sz="0" w:space="0" w:color="auto"/>
        <w:right w:val="none" w:sz="0" w:space="0" w:color="auto"/>
      </w:divBdr>
    </w:div>
    <w:div w:id="614674182">
      <w:bodyDiv w:val="1"/>
      <w:marLeft w:val="0"/>
      <w:marRight w:val="0"/>
      <w:marTop w:val="0"/>
      <w:marBottom w:val="0"/>
      <w:divBdr>
        <w:top w:val="none" w:sz="0" w:space="0" w:color="auto"/>
        <w:left w:val="none" w:sz="0" w:space="0" w:color="auto"/>
        <w:bottom w:val="none" w:sz="0" w:space="0" w:color="auto"/>
        <w:right w:val="none" w:sz="0" w:space="0" w:color="auto"/>
      </w:divBdr>
    </w:div>
    <w:div w:id="615407459">
      <w:bodyDiv w:val="1"/>
      <w:marLeft w:val="0"/>
      <w:marRight w:val="0"/>
      <w:marTop w:val="0"/>
      <w:marBottom w:val="0"/>
      <w:divBdr>
        <w:top w:val="none" w:sz="0" w:space="0" w:color="auto"/>
        <w:left w:val="none" w:sz="0" w:space="0" w:color="auto"/>
        <w:bottom w:val="none" w:sz="0" w:space="0" w:color="auto"/>
        <w:right w:val="none" w:sz="0" w:space="0" w:color="auto"/>
      </w:divBdr>
    </w:div>
    <w:div w:id="619649494">
      <w:bodyDiv w:val="1"/>
      <w:marLeft w:val="0"/>
      <w:marRight w:val="0"/>
      <w:marTop w:val="0"/>
      <w:marBottom w:val="0"/>
      <w:divBdr>
        <w:top w:val="none" w:sz="0" w:space="0" w:color="auto"/>
        <w:left w:val="none" w:sz="0" w:space="0" w:color="auto"/>
        <w:bottom w:val="none" w:sz="0" w:space="0" w:color="auto"/>
        <w:right w:val="none" w:sz="0" w:space="0" w:color="auto"/>
      </w:divBdr>
    </w:div>
    <w:div w:id="621499761">
      <w:bodyDiv w:val="1"/>
      <w:marLeft w:val="0"/>
      <w:marRight w:val="0"/>
      <w:marTop w:val="0"/>
      <w:marBottom w:val="0"/>
      <w:divBdr>
        <w:top w:val="none" w:sz="0" w:space="0" w:color="auto"/>
        <w:left w:val="none" w:sz="0" w:space="0" w:color="auto"/>
        <w:bottom w:val="none" w:sz="0" w:space="0" w:color="auto"/>
        <w:right w:val="none" w:sz="0" w:space="0" w:color="auto"/>
      </w:divBdr>
    </w:div>
    <w:div w:id="622199766">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25309250">
      <w:bodyDiv w:val="1"/>
      <w:marLeft w:val="0"/>
      <w:marRight w:val="0"/>
      <w:marTop w:val="0"/>
      <w:marBottom w:val="0"/>
      <w:divBdr>
        <w:top w:val="none" w:sz="0" w:space="0" w:color="auto"/>
        <w:left w:val="none" w:sz="0" w:space="0" w:color="auto"/>
        <w:bottom w:val="none" w:sz="0" w:space="0" w:color="auto"/>
        <w:right w:val="none" w:sz="0" w:space="0" w:color="auto"/>
      </w:divBdr>
    </w:div>
    <w:div w:id="628512091">
      <w:bodyDiv w:val="1"/>
      <w:marLeft w:val="0"/>
      <w:marRight w:val="0"/>
      <w:marTop w:val="0"/>
      <w:marBottom w:val="0"/>
      <w:divBdr>
        <w:top w:val="none" w:sz="0" w:space="0" w:color="auto"/>
        <w:left w:val="none" w:sz="0" w:space="0" w:color="auto"/>
        <w:bottom w:val="none" w:sz="0" w:space="0" w:color="auto"/>
        <w:right w:val="none" w:sz="0" w:space="0" w:color="auto"/>
      </w:divBdr>
    </w:div>
    <w:div w:id="630092147">
      <w:bodyDiv w:val="1"/>
      <w:marLeft w:val="0"/>
      <w:marRight w:val="0"/>
      <w:marTop w:val="0"/>
      <w:marBottom w:val="0"/>
      <w:divBdr>
        <w:top w:val="none" w:sz="0" w:space="0" w:color="auto"/>
        <w:left w:val="none" w:sz="0" w:space="0" w:color="auto"/>
        <w:bottom w:val="none" w:sz="0" w:space="0" w:color="auto"/>
        <w:right w:val="none" w:sz="0" w:space="0" w:color="auto"/>
      </w:divBdr>
    </w:div>
    <w:div w:id="632828494">
      <w:bodyDiv w:val="1"/>
      <w:marLeft w:val="0"/>
      <w:marRight w:val="0"/>
      <w:marTop w:val="0"/>
      <w:marBottom w:val="0"/>
      <w:divBdr>
        <w:top w:val="none" w:sz="0" w:space="0" w:color="auto"/>
        <w:left w:val="none" w:sz="0" w:space="0" w:color="auto"/>
        <w:bottom w:val="none" w:sz="0" w:space="0" w:color="auto"/>
        <w:right w:val="none" w:sz="0" w:space="0" w:color="auto"/>
      </w:divBdr>
    </w:div>
    <w:div w:id="633488284">
      <w:bodyDiv w:val="1"/>
      <w:marLeft w:val="0"/>
      <w:marRight w:val="0"/>
      <w:marTop w:val="0"/>
      <w:marBottom w:val="0"/>
      <w:divBdr>
        <w:top w:val="none" w:sz="0" w:space="0" w:color="auto"/>
        <w:left w:val="none" w:sz="0" w:space="0" w:color="auto"/>
        <w:bottom w:val="none" w:sz="0" w:space="0" w:color="auto"/>
        <w:right w:val="none" w:sz="0" w:space="0" w:color="auto"/>
      </w:divBdr>
    </w:div>
    <w:div w:id="634912963">
      <w:bodyDiv w:val="1"/>
      <w:marLeft w:val="0"/>
      <w:marRight w:val="0"/>
      <w:marTop w:val="0"/>
      <w:marBottom w:val="0"/>
      <w:divBdr>
        <w:top w:val="none" w:sz="0" w:space="0" w:color="auto"/>
        <w:left w:val="none" w:sz="0" w:space="0" w:color="auto"/>
        <w:bottom w:val="none" w:sz="0" w:space="0" w:color="auto"/>
        <w:right w:val="none" w:sz="0" w:space="0" w:color="auto"/>
      </w:divBdr>
    </w:div>
    <w:div w:id="637148924">
      <w:bodyDiv w:val="1"/>
      <w:marLeft w:val="0"/>
      <w:marRight w:val="0"/>
      <w:marTop w:val="0"/>
      <w:marBottom w:val="0"/>
      <w:divBdr>
        <w:top w:val="none" w:sz="0" w:space="0" w:color="auto"/>
        <w:left w:val="none" w:sz="0" w:space="0" w:color="auto"/>
        <w:bottom w:val="none" w:sz="0" w:space="0" w:color="auto"/>
        <w:right w:val="none" w:sz="0" w:space="0" w:color="auto"/>
      </w:divBdr>
    </w:div>
    <w:div w:id="637489528">
      <w:bodyDiv w:val="1"/>
      <w:marLeft w:val="0"/>
      <w:marRight w:val="0"/>
      <w:marTop w:val="0"/>
      <w:marBottom w:val="0"/>
      <w:divBdr>
        <w:top w:val="none" w:sz="0" w:space="0" w:color="auto"/>
        <w:left w:val="none" w:sz="0" w:space="0" w:color="auto"/>
        <w:bottom w:val="none" w:sz="0" w:space="0" w:color="auto"/>
        <w:right w:val="none" w:sz="0" w:space="0" w:color="auto"/>
      </w:divBdr>
    </w:div>
    <w:div w:id="638457789">
      <w:bodyDiv w:val="1"/>
      <w:marLeft w:val="0"/>
      <w:marRight w:val="0"/>
      <w:marTop w:val="0"/>
      <w:marBottom w:val="0"/>
      <w:divBdr>
        <w:top w:val="none" w:sz="0" w:space="0" w:color="auto"/>
        <w:left w:val="none" w:sz="0" w:space="0" w:color="auto"/>
        <w:bottom w:val="none" w:sz="0" w:space="0" w:color="auto"/>
        <w:right w:val="none" w:sz="0" w:space="0" w:color="auto"/>
      </w:divBdr>
    </w:div>
    <w:div w:id="638993518">
      <w:bodyDiv w:val="1"/>
      <w:marLeft w:val="0"/>
      <w:marRight w:val="0"/>
      <w:marTop w:val="0"/>
      <w:marBottom w:val="0"/>
      <w:divBdr>
        <w:top w:val="none" w:sz="0" w:space="0" w:color="auto"/>
        <w:left w:val="none" w:sz="0" w:space="0" w:color="auto"/>
        <w:bottom w:val="none" w:sz="0" w:space="0" w:color="auto"/>
        <w:right w:val="none" w:sz="0" w:space="0" w:color="auto"/>
      </w:divBdr>
    </w:div>
    <w:div w:id="640696314">
      <w:bodyDiv w:val="1"/>
      <w:marLeft w:val="0"/>
      <w:marRight w:val="0"/>
      <w:marTop w:val="0"/>
      <w:marBottom w:val="0"/>
      <w:divBdr>
        <w:top w:val="none" w:sz="0" w:space="0" w:color="auto"/>
        <w:left w:val="none" w:sz="0" w:space="0" w:color="auto"/>
        <w:bottom w:val="none" w:sz="0" w:space="0" w:color="auto"/>
        <w:right w:val="none" w:sz="0" w:space="0" w:color="auto"/>
      </w:divBdr>
    </w:div>
    <w:div w:id="641040305">
      <w:bodyDiv w:val="1"/>
      <w:marLeft w:val="0"/>
      <w:marRight w:val="0"/>
      <w:marTop w:val="0"/>
      <w:marBottom w:val="0"/>
      <w:divBdr>
        <w:top w:val="none" w:sz="0" w:space="0" w:color="auto"/>
        <w:left w:val="none" w:sz="0" w:space="0" w:color="auto"/>
        <w:bottom w:val="none" w:sz="0" w:space="0" w:color="auto"/>
        <w:right w:val="none" w:sz="0" w:space="0" w:color="auto"/>
      </w:divBdr>
    </w:div>
    <w:div w:id="641732398">
      <w:bodyDiv w:val="1"/>
      <w:marLeft w:val="0"/>
      <w:marRight w:val="0"/>
      <w:marTop w:val="0"/>
      <w:marBottom w:val="0"/>
      <w:divBdr>
        <w:top w:val="none" w:sz="0" w:space="0" w:color="auto"/>
        <w:left w:val="none" w:sz="0" w:space="0" w:color="auto"/>
        <w:bottom w:val="none" w:sz="0" w:space="0" w:color="auto"/>
        <w:right w:val="none" w:sz="0" w:space="0" w:color="auto"/>
      </w:divBdr>
    </w:div>
    <w:div w:id="641807622">
      <w:bodyDiv w:val="1"/>
      <w:marLeft w:val="0"/>
      <w:marRight w:val="0"/>
      <w:marTop w:val="0"/>
      <w:marBottom w:val="0"/>
      <w:divBdr>
        <w:top w:val="none" w:sz="0" w:space="0" w:color="auto"/>
        <w:left w:val="none" w:sz="0" w:space="0" w:color="auto"/>
        <w:bottom w:val="none" w:sz="0" w:space="0" w:color="auto"/>
        <w:right w:val="none" w:sz="0" w:space="0" w:color="auto"/>
      </w:divBdr>
    </w:div>
    <w:div w:id="645234349">
      <w:bodyDiv w:val="1"/>
      <w:marLeft w:val="0"/>
      <w:marRight w:val="0"/>
      <w:marTop w:val="0"/>
      <w:marBottom w:val="0"/>
      <w:divBdr>
        <w:top w:val="none" w:sz="0" w:space="0" w:color="auto"/>
        <w:left w:val="none" w:sz="0" w:space="0" w:color="auto"/>
        <w:bottom w:val="none" w:sz="0" w:space="0" w:color="auto"/>
        <w:right w:val="none" w:sz="0" w:space="0" w:color="auto"/>
      </w:divBdr>
    </w:div>
    <w:div w:id="646664227">
      <w:bodyDiv w:val="1"/>
      <w:marLeft w:val="0"/>
      <w:marRight w:val="0"/>
      <w:marTop w:val="0"/>
      <w:marBottom w:val="0"/>
      <w:divBdr>
        <w:top w:val="none" w:sz="0" w:space="0" w:color="auto"/>
        <w:left w:val="none" w:sz="0" w:space="0" w:color="auto"/>
        <w:bottom w:val="none" w:sz="0" w:space="0" w:color="auto"/>
        <w:right w:val="none" w:sz="0" w:space="0" w:color="auto"/>
      </w:divBdr>
    </w:div>
    <w:div w:id="646934465">
      <w:bodyDiv w:val="1"/>
      <w:marLeft w:val="0"/>
      <w:marRight w:val="0"/>
      <w:marTop w:val="0"/>
      <w:marBottom w:val="0"/>
      <w:divBdr>
        <w:top w:val="none" w:sz="0" w:space="0" w:color="auto"/>
        <w:left w:val="none" w:sz="0" w:space="0" w:color="auto"/>
        <w:bottom w:val="none" w:sz="0" w:space="0" w:color="auto"/>
        <w:right w:val="none" w:sz="0" w:space="0" w:color="auto"/>
      </w:divBdr>
    </w:div>
    <w:div w:id="653529880">
      <w:bodyDiv w:val="1"/>
      <w:marLeft w:val="0"/>
      <w:marRight w:val="0"/>
      <w:marTop w:val="0"/>
      <w:marBottom w:val="0"/>
      <w:divBdr>
        <w:top w:val="none" w:sz="0" w:space="0" w:color="auto"/>
        <w:left w:val="none" w:sz="0" w:space="0" w:color="auto"/>
        <w:bottom w:val="none" w:sz="0" w:space="0" w:color="auto"/>
        <w:right w:val="none" w:sz="0" w:space="0" w:color="auto"/>
      </w:divBdr>
    </w:div>
    <w:div w:id="653877740">
      <w:bodyDiv w:val="1"/>
      <w:marLeft w:val="0"/>
      <w:marRight w:val="0"/>
      <w:marTop w:val="0"/>
      <w:marBottom w:val="0"/>
      <w:divBdr>
        <w:top w:val="none" w:sz="0" w:space="0" w:color="auto"/>
        <w:left w:val="none" w:sz="0" w:space="0" w:color="auto"/>
        <w:bottom w:val="none" w:sz="0" w:space="0" w:color="auto"/>
        <w:right w:val="none" w:sz="0" w:space="0" w:color="auto"/>
      </w:divBdr>
    </w:div>
    <w:div w:id="656998695">
      <w:bodyDiv w:val="1"/>
      <w:marLeft w:val="0"/>
      <w:marRight w:val="0"/>
      <w:marTop w:val="0"/>
      <w:marBottom w:val="0"/>
      <w:divBdr>
        <w:top w:val="none" w:sz="0" w:space="0" w:color="auto"/>
        <w:left w:val="none" w:sz="0" w:space="0" w:color="auto"/>
        <w:bottom w:val="none" w:sz="0" w:space="0" w:color="auto"/>
        <w:right w:val="none" w:sz="0" w:space="0" w:color="auto"/>
      </w:divBdr>
    </w:div>
    <w:div w:id="657226803">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60885615">
      <w:bodyDiv w:val="1"/>
      <w:marLeft w:val="0"/>
      <w:marRight w:val="0"/>
      <w:marTop w:val="0"/>
      <w:marBottom w:val="0"/>
      <w:divBdr>
        <w:top w:val="none" w:sz="0" w:space="0" w:color="auto"/>
        <w:left w:val="none" w:sz="0" w:space="0" w:color="auto"/>
        <w:bottom w:val="none" w:sz="0" w:space="0" w:color="auto"/>
        <w:right w:val="none" w:sz="0" w:space="0" w:color="auto"/>
      </w:divBdr>
    </w:div>
    <w:div w:id="661667357">
      <w:bodyDiv w:val="1"/>
      <w:marLeft w:val="0"/>
      <w:marRight w:val="0"/>
      <w:marTop w:val="0"/>
      <w:marBottom w:val="0"/>
      <w:divBdr>
        <w:top w:val="none" w:sz="0" w:space="0" w:color="auto"/>
        <w:left w:val="none" w:sz="0" w:space="0" w:color="auto"/>
        <w:bottom w:val="none" w:sz="0" w:space="0" w:color="auto"/>
        <w:right w:val="none" w:sz="0" w:space="0" w:color="auto"/>
      </w:divBdr>
    </w:div>
    <w:div w:id="662663018">
      <w:bodyDiv w:val="1"/>
      <w:marLeft w:val="0"/>
      <w:marRight w:val="0"/>
      <w:marTop w:val="0"/>
      <w:marBottom w:val="0"/>
      <w:divBdr>
        <w:top w:val="none" w:sz="0" w:space="0" w:color="auto"/>
        <w:left w:val="none" w:sz="0" w:space="0" w:color="auto"/>
        <w:bottom w:val="none" w:sz="0" w:space="0" w:color="auto"/>
        <w:right w:val="none" w:sz="0" w:space="0" w:color="auto"/>
      </w:divBdr>
    </w:div>
    <w:div w:id="664482297">
      <w:bodyDiv w:val="1"/>
      <w:marLeft w:val="0"/>
      <w:marRight w:val="0"/>
      <w:marTop w:val="0"/>
      <w:marBottom w:val="0"/>
      <w:divBdr>
        <w:top w:val="none" w:sz="0" w:space="0" w:color="auto"/>
        <w:left w:val="none" w:sz="0" w:space="0" w:color="auto"/>
        <w:bottom w:val="none" w:sz="0" w:space="0" w:color="auto"/>
        <w:right w:val="none" w:sz="0" w:space="0" w:color="auto"/>
      </w:divBdr>
    </w:div>
    <w:div w:id="667054803">
      <w:bodyDiv w:val="1"/>
      <w:marLeft w:val="0"/>
      <w:marRight w:val="0"/>
      <w:marTop w:val="0"/>
      <w:marBottom w:val="0"/>
      <w:divBdr>
        <w:top w:val="none" w:sz="0" w:space="0" w:color="auto"/>
        <w:left w:val="none" w:sz="0" w:space="0" w:color="auto"/>
        <w:bottom w:val="none" w:sz="0" w:space="0" w:color="auto"/>
        <w:right w:val="none" w:sz="0" w:space="0" w:color="auto"/>
      </w:divBdr>
    </w:div>
    <w:div w:id="672728703">
      <w:bodyDiv w:val="1"/>
      <w:marLeft w:val="0"/>
      <w:marRight w:val="0"/>
      <w:marTop w:val="0"/>
      <w:marBottom w:val="0"/>
      <w:divBdr>
        <w:top w:val="none" w:sz="0" w:space="0" w:color="auto"/>
        <w:left w:val="none" w:sz="0" w:space="0" w:color="auto"/>
        <w:bottom w:val="none" w:sz="0" w:space="0" w:color="auto"/>
        <w:right w:val="none" w:sz="0" w:space="0" w:color="auto"/>
      </w:divBdr>
    </w:div>
    <w:div w:id="673847861">
      <w:bodyDiv w:val="1"/>
      <w:marLeft w:val="0"/>
      <w:marRight w:val="0"/>
      <w:marTop w:val="0"/>
      <w:marBottom w:val="0"/>
      <w:divBdr>
        <w:top w:val="none" w:sz="0" w:space="0" w:color="auto"/>
        <w:left w:val="none" w:sz="0" w:space="0" w:color="auto"/>
        <w:bottom w:val="none" w:sz="0" w:space="0" w:color="auto"/>
        <w:right w:val="none" w:sz="0" w:space="0" w:color="auto"/>
      </w:divBdr>
    </w:div>
    <w:div w:id="673918806">
      <w:bodyDiv w:val="1"/>
      <w:marLeft w:val="0"/>
      <w:marRight w:val="0"/>
      <w:marTop w:val="0"/>
      <w:marBottom w:val="0"/>
      <w:divBdr>
        <w:top w:val="none" w:sz="0" w:space="0" w:color="auto"/>
        <w:left w:val="none" w:sz="0" w:space="0" w:color="auto"/>
        <w:bottom w:val="none" w:sz="0" w:space="0" w:color="auto"/>
        <w:right w:val="none" w:sz="0" w:space="0" w:color="auto"/>
      </w:divBdr>
    </w:div>
    <w:div w:id="676081107">
      <w:bodyDiv w:val="1"/>
      <w:marLeft w:val="0"/>
      <w:marRight w:val="0"/>
      <w:marTop w:val="0"/>
      <w:marBottom w:val="0"/>
      <w:divBdr>
        <w:top w:val="none" w:sz="0" w:space="0" w:color="auto"/>
        <w:left w:val="none" w:sz="0" w:space="0" w:color="auto"/>
        <w:bottom w:val="none" w:sz="0" w:space="0" w:color="auto"/>
        <w:right w:val="none" w:sz="0" w:space="0" w:color="auto"/>
      </w:divBdr>
    </w:div>
    <w:div w:id="677003462">
      <w:bodyDiv w:val="1"/>
      <w:marLeft w:val="0"/>
      <w:marRight w:val="0"/>
      <w:marTop w:val="0"/>
      <w:marBottom w:val="0"/>
      <w:divBdr>
        <w:top w:val="none" w:sz="0" w:space="0" w:color="auto"/>
        <w:left w:val="none" w:sz="0" w:space="0" w:color="auto"/>
        <w:bottom w:val="none" w:sz="0" w:space="0" w:color="auto"/>
        <w:right w:val="none" w:sz="0" w:space="0" w:color="auto"/>
      </w:divBdr>
    </w:div>
    <w:div w:id="677847845">
      <w:bodyDiv w:val="1"/>
      <w:marLeft w:val="0"/>
      <w:marRight w:val="0"/>
      <w:marTop w:val="0"/>
      <w:marBottom w:val="0"/>
      <w:divBdr>
        <w:top w:val="none" w:sz="0" w:space="0" w:color="auto"/>
        <w:left w:val="none" w:sz="0" w:space="0" w:color="auto"/>
        <w:bottom w:val="none" w:sz="0" w:space="0" w:color="auto"/>
        <w:right w:val="none" w:sz="0" w:space="0" w:color="auto"/>
      </w:divBdr>
    </w:div>
    <w:div w:id="678192380">
      <w:bodyDiv w:val="1"/>
      <w:marLeft w:val="0"/>
      <w:marRight w:val="0"/>
      <w:marTop w:val="0"/>
      <w:marBottom w:val="0"/>
      <w:divBdr>
        <w:top w:val="none" w:sz="0" w:space="0" w:color="auto"/>
        <w:left w:val="none" w:sz="0" w:space="0" w:color="auto"/>
        <w:bottom w:val="none" w:sz="0" w:space="0" w:color="auto"/>
        <w:right w:val="none" w:sz="0" w:space="0" w:color="auto"/>
      </w:divBdr>
    </w:div>
    <w:div w:id="680279377">
      <w:bodyDiv w:val="1"/>
      <w:marLeft w:val="0"/>
      <w:marRight w:val="0"/>
      <w:marTop w:val="0"/>
      <w:marBottom w:val="0"/>
      <w:divBdr>
        <w:top w:val="none" w:sz="0" w:space="0" w:color="auto"/>
        <w:left w:val="none" w:sz="0" w:space="0" w:color="auto"/>
        <w:bottom w:val="none" w:sz="0" w:space="0" w:color="auto"/>
        <w:right w:val="none" w:sz="0" w:space="0" w:color="auto"/>
      </w:divBdr>
    </w:div>
    <w:div w:id="680397174">
      <w:bodyDiv w:val="1"/>
      <w:marLeft w:val="0"/>
      <w:marRight w:val="0"/>
      <w:marTop w:val="0"/>
      <w:marBottom w:val="0"/>
      <w:divBdr>
        <w:top w:val="none" w:sz="0" w:space="0" w:color="auto"/>
        <w:left w:val="none" w:sz="0" w:space="0" w:color="auto"/>
        <w:bottom w:val="none" w:sz="0" w:space="0" w:color="auto"/>
        <w:right w:val="none" w:sz="0" w:space="0" w:color="auto"/>
      </w:divBdr>
    </w:div>
    <w:div w:id="681082316">
      <w:bodyDiv w:val="1"/>
      <w:marLeft w:val="0"/>
      <w:marRight w:val="0"/>
      <w:marTop w:val="0"/>
      <w:marBottom w:val="0"/>
      <w:divBdr>
        <w:top w:val="none" w:sz="0" w:space="0" w:color="auto"/>
        <w:left w:val="none" w:sz="0" w:space="0" w:color="auto"/>
        <w:bottom w:val="none" w:sz="0" w:space="0" w:color="auto"/>
        <w:right w:val="none" w:sz="0" w:space="0" w:color="auto"/>
      </w:divBdr>
    </w:div>
    <w:div w:id="683676034">
      <w:bodyDiv w:val="1"/>
      <w:marLeft w:val="0"/>
      <w:marRight w:val="0"/>
      <w:marTop w:val="0"/>
      <w:marBottom w:val="0"/>
      <w:divBdr>
        <w:top w:val="none" w:sz="0" w:space="0" w:color="auto"/>
        <w:left w:val="none" w:sz="0" w:space="0" w:color="auto"/>
        <w:bottom w:val="none" w:sz="0" w:space="0" w:color="auto"/>
        <w:right w:val="none" w:sz="0" w:space="0" w:color="auto"/>
      </w:divBdr>
    </w:div>
    <w:div w:id="687221155">
      <w:bodyDiv w:val="1"/>
      <w:marLeft w:val="0"/>
      <w:marRight w:val="0"/>
      <w:marTop w:val="0"/>
      <w:marBottom w:val="0"/>
      <w:divBdr>
        <w:top w:val="none" w:sz="0" w:space="0" w:color="auto"/>
        <w:left w:val="none" w:sz="0" w:space="0" w:color="auto"/>
        <w:bottom w:val="none" w:sz="0" w:space="0" w:color="auto"/>
        <w:right w:val="none" w:sz="0" w:space="0" w:color="auto"/>
      </w:divBdr>
    </w:div>
    <w:div w:id="687412152">
      <w:bodyDiv w:val="1"/>
      <w:marLeft w:val="0"/>
      <w:marRight w:val="0"/>
      <w:marTop w:val="0"/>
      <w:marBottom w:val="0"/>
      <w:divBdr>
        <w:top w:val="none" w:sz="0" w:space="0" w:color="auto"/>
        <w:left w:val="none" w:sz="0" w:space="0" w:color="auto"/>
        <w:bottom w:val="none" w:sz="0" w:space="0" w:color="auto"/>
        <w:right w:val="none" w:sz="0" w:space="0" w:color="auto"/>
      </w:divBdr>
    </w:div>
    <w:div w:id="695616688">
      <w:bodyDiv w:val="1"/>
      <w:marLeft w:val="0"/>
      <w:marRight w:val="0"/>
      <w:marTop w:val="0"/>
      <w:marBottom w:val="0"/>
      <w:divBdr>
        <w:top w:val="none" w:sz="0" w:space="0" w:color="auto"/>
        <w:left w:val="none" w:sz="0" w:space="0" w:color="auto"/>
        <w:bottom w:val="none" w:sz="0" w:space="0" w:color="auto"/>
        <w:right w:val="none" w:sz="0" w:space="0" w:color="auto"/>
      </w:divBdr>
    </w:div>
    <w:div w:id="696320525">
      <w:bodyDiv w:val="1"/>
      <w:marLeft w:val="0"/>
      <w:marRight w:val="0"/>
      <w:marTop w:val="0"/>
      <w:marBottom w:val="0"/>
      <w:divBdr>
        <w:top w:val="none" w:sz="0" w:space="0" w:color="auto"/>
        <w:left w:val="none" w:sz="0" w:space="0" w:color="auto"/>
        <w:bottom w:val="none" w:sz="0" w:space="0" w:color="auto"/>
        <w:right w:val="none" w:sz="0" w:space="0" w:color="auto"/>
      </w:divBdr>
    </w:div>
    <w:div w:id="697854227">
      <w:bodyDiv w:val="1"/>
      <w:marLeft w:val="0"/>
      <w:marRight w:val="0"/>
      <w:marTop w:val="0"/>
      <w:marBottom w:val="0"/>
      <w:divBdr>
        <w:top w:val="none" w:sz="0" w:space="0" w:color="auto"/>
        <w:left w:val="none" w:sz="0" w:space="0" w:color="auto"/>
        <w:bottom w:val="none" w:sz="0" w:space="0" w:color="auto"/>
        <w:right w:val="none" w:sz="0" w:space="0" w:color="auto"/>
      </w:divBdr>
    </w:div>
    <w:div w:id="698706941">
      <w:bodyDiv w:val="1"/>
      <w:marLeft w:val="0"/>
      <w:marRight w:val="0"/>
      <w:marTop w:val="0"/>
      <w:marBottom w:val="0"/>
      <w:divBdr>
        <w:top w:val="none" w:sz="0" w:space="0" w:color="auto"/>
        <w:left w:val="none" w:sz="0" w:space="0" w:color="auto"/>
        <w:bottom w:val="none" w:sz="0" w:space="0" w:color="auto"/>
        <w:right w:val="none" w:sz="0" w:space="0" w:color="auto"/>
      </w:divBdr>
    </w:div>
    <w:div w:id="700864353">
      <w:bodyDiv w:val="1"/>
      <w:marLeft w:val="0"/>
      <w:marRight w:val="0"/>
      <w:marTop w:val="0"/>
      <w:marBottom w:val="0"/>
      <w:divBdr>
        <w:top w:val="none" w:sz="0" w:space="0" w:color="auto"/>
        <w:left w:val="none" w:sz="0" w:space="0" w:color="auto"/>
        <w:bottom w:val="none" w:sz="0" w:space="0" w:color="auto"/>
        <w:right w:val="none" w:sz="0" w:space="0" w:color="auto"/>
      </w:divBdr>
    </w:div>
    <w:div w:id="701319975">
      <w:bodyDiv w:val="1"/>
      <w:marLeft w:val="0"/>
      <w:marRight w:val="0"/>
      <w:marTop w:val="0"/>
      <w:marBottom w:val="0"/>
      <w:divBdr>
        <w:top w:val="none" w:sz="0" w:space="0" w:color="auto"/>
        <w:left w:val="none" w:sz="0" w:space="0" w:color="auto"/>
        <w:bottom w:val="none" w:sz="0" w:space="0" w:color="auto"/>
        <w:right w:val="none" w:sz="0" w:space="0" w:color="auto"/>
      </w:divBdr>
    </w:div>
    <w:div w:id="703023485">
      <w:bodyDiv w:val="1"/>
      <w:marLeft w:val="0"/>
      <w:marRight w:val="0"/>
      <w:marTop w:val="0"/>
      <w:marBottom w:val="0"/>
      <w:divBdr>
        <w:top w:val="none" w:sz="0" w:space="0" w:color="auto"/>
        <w:left w:val="none" w:sz="0" w:space="0" w:color="auto"/>
        <w:bottom w:val="none" w:sz="0" w:space="0" w:color="auto"/>
        <w:right w:val="none" w:sz="0" w:space="0" w:color="auto"/>
      </w:divBdr>
    </w:div>
    <w:div w:id="705833941">
      <w:bodyDiv w:val="1"/>
      <w:marLeft w:val="0"/>
      <w:marRight w:val="0"/>
      <w:marTop w:val="0"/>
      <w:marBottom w:val="0"/>
      <w:divBdr>
        <w:top w:val="none" w:sz="0" w:space="0" w:color="auto"/>
        <w:left w:val="none" w:sz="0" w:space="0" w:color="auto"/>
        <w:bottom w:val="none" w:sz="0" w:space="0" w:color="auto"/>
        <w:right w:val="none" w:sz="0" w:space="0" w:color="auto"/>
      </w:divBdr>
    </w:div>
    <w:div w:id="707418054">
      <w:bodyDiv w:val="1"/>
      <w:marLeft w:val="0"/>
      <w:marRight w:val="0"/>
      <w:marTop w:val="0"/>
      <w:marBottom w:val="0"/>
      <w:divBdr>
        <w:top w:val="none" w:sz="0" w:space="0" w:color="auto"/>
        <w:left w:val="none" w:sz="0" w:space="0" w:color="auto"/>
        <w:bottom w:val="none" w:sz="0" w:space="0" w:color="auto"/>
        <w:right w:val="none" w:sz="0" w:space="0" w:color="auto"/>
      </w:divBdr>
    </w:div>
    <w:div w:id="707726177">
      <w:bodyDiv w:val="1"/>
      <w:marLeft w:val="0"/>
      <w:marRight w:val="0"/>
      <w:marTop w:val="0"/>
      <w:marBottom w:val="0"/>
      <w:divBdr>
        <w:top w:val="none" w:sz="0" w:space="0" w:color="auto"/>
        <w:left w:val="none" w:sz="0" w:space="0" w:color="auto"/>
        <w:bottom w:val="none" w:sz="0" w:space="0" w:color="auto"/>
        <w:right w:val="none" w:sz="0" w:space="0" w:color="auto"/>
      </w:divBdr>
    </w:div>
    <w:div w:id="707873788">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571289">
      <w:bodyDiv w:val="1"/>
      <w:marLeft w:val="0"/>
      <w:marRight w:val="0"/>
      <w:marTop w:val="0"/>
      <w:marBottom w:val="0"/>
      <w:divBdr>
        <w:top w:val="none" w:sz="0" w:space="0" w:color="auto"/>
        <w:left w:val="none" w:sz="0" w:space="0" w:color="auto"/>
        <w:bottom w:val="none" w:sz="0" w:space="0" w:color="auto"/>
        <w:right w:val="none" w:sz="0" w:space="0" w:color="auto"/>
      </w:divBdr>
    </w:div>
    <w:div w:id="712926882">
      <w:bodyDiv w:val="1"/>
      <w:marLeft w:val="0"/>
      <w:marRight w:val="0"/>
      <w:marTop w:val="0"/>
      <w:marBottom w:val="0"/>
      <w:divBdr>
        <w:top w:val="none" w:sz="0" w:space="0" w:color="auto"/>
        <w:left w:val="none" w:sz="0" w:space="0" w:color="auto"/>
        <w:bottom w:val="none" w:sz="0" w:space="0" w:color="auto"/>
        <w:right w:val="none" w:sz="0" w:space="0" w:color="auto"/>
      </w:divBdr>
    </w:div>
    <w:div w:id="713122359">
      <w:bodyDiv w:val="1"/>
      <w:marLeft w:val="0"/>
      <w:marRight w:val="0"/>
      <w:marTop w:val="0"/>
      <w:marBottom w:val="0"/>
      <w:divBdr>
        <w:top w:val="none" w:sz="0" w:space="0" w:color="auto"/>
        <w:left w:val="none" w:sz="0" w:space="0" w:color="auto"/>
        <w:bottom w:val="none" w:sz="0" w:space="0" w:color="auto"/>
        <w:right w:val="none" w:sz="0" w:space="0" w:color="auto"/>
      </w:divBdr>
    </w:div>
    <w:div w:id="714350669">
      <w:bodyDiv w:val="1"/>
      <w:marLeft w:val="0"/>
      <w:marRight w:val="0"/>
      <w:marTop w:val="0"/>
      <w:marBottom w:val="0"/>
      <w:divBdr>
        <w:top w:val="none" w:sz="0" w:space="0" w:color="auto"/>
        <w:left w:val="none" w:sz="0" w:space="0" w:color="auto"/>
        <w:bottom w:val="none" w:sz="0" w:space="0" w:color="auto"/>
        <w:right w:val="none" w:sz="0" w:space="0" w:color="auto"/>
      </w:divBdr>
    </w:div>
    <w:div w:id="714891650">
      <w:bodyDiv w:val="1"/>
      <w:marLeft w:val="0"/>
      <w:marRight w:val="0"/>
      <w:marTop w:val="0"/>
      <w:marBottom w:val="0"/>
      <w:divBdr>
        <w:top w:val="none" w:sz="0" w:space="0" w:color="auto"/>
        <w:left w:val="none" w:sz="0" w:space="0" w:color="auto"/>
        <w:bottom w:val="none" w:sz="0" w:space="0" w:color="auto"/>
        <w:right w:val="none" w:sz="0" w:space="0" w:color="auto"/>
      </w:divBdr>
    </w:div>
    <w:div w:id="716198921">
      <w:bodyDiv w:val="1"/>
      <w:marLeft w:val="0"/>
      <w:marRight w:val="0"/>
      <w:marTop w:val="0"/>
      <w:marBottom w:val="0"/>
      <w:divBdr>
        <w:top w:val="none" w:sz="0" w:space="0" w:color="auto"/>
        <w:left w:val="none" w:sz="0" w:space="0" w:color="auto"/>
        <w:bottom w:val="none" w:sz="0" w:space="0" w:color="auto"/>
        <w:right w:val="none" w:sz="0" w:space="0" w:color="auto"/>
      </w:divBdr>
    </w:div>
    <w:div w:id="717780054">
      <w:bodyDiv w:val="1"/>
      <w:marLeft w:val="0"/>
      <w:marRight w:val="0"/>
      <w:marTop w:val="0"/>
      <w:marBottom w:val="0"/>
      <w:divBdr>
        <w:top w:val="none" w:sz="0" w:space="0" w:color="auto"/>
        <w:left w:val="none" w:sz="0" w:space="0" w:color="auto"/>
        <w:bottom w:val="none" w:sz="0" w:space="0" w:color="auto"/>
        <w:right w:val="none" w:sz="0" w:space="0" w:color="auto"/>
      </w:divBdr>
    </w:div>
    <w:div w:id="719595389">
      <w:bodyDiv w:val="1"/>
      <w:marLeft w:val="0"/>
      <w:marRight w:val="0"/>
      <w:marTop w:val="0"/>
      <w:marBottom w:val="0"/>
      <w:divBdr>
        <w:top w:val="none" w:sz="0" w:space="0" w:color="auto"/>
        <w:left w:val="none" w:sz="0" w:space="0" w:color="auto"/>
        <w:bottom w:val="none" w:sz="0" w:space="0" w:color="auto"/>
        <w:right w:val="none" w:sz="0" w:space="0" w:color="auto"/>
      </w:divBdr>
    </w:div>
    <w:div w:id="72059329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300550">
      <w:bodyDiv w:val="1"/>
      <w:marLeft w:val="0"/>
      <w:marRight w:val="0"/>
      <w:marTop w:val="0"/>
      <w:marBottom w:val="0"/>
      <w:divBdr>
        <w:top w:val="none" w:sz="0" w:space="0" w:color="auto"/>
        <w:left w:val="none" w:sz="0" w:space="0" w:color="auto"/>
        <w:bottom w:val="none" w:sz="0" w:space="0" w:color="auto"/>
        <w:right w:val="none" w:sz="0" w:space="0" w:color="auto"/>
      </w:divBdr>
    </w:div>
    <w:div w:id="727146566">
      <w:bodyDiv w:val="1"/>
      <w:marLeft w:val="0"/>
      <w:marRight w:val="0"/>
      <w:marTop w:val="0"/>
      <w:marBottom w:val="0"/>
      <w:divBdr>
        <w:top w:val="none" w:sz="0" w:space="0" w:color="auto"/>
        <w:left w:val="none" w:sz="0" w:space="0" w:color="auto"/>
        <w:bottom w:val="none" w:sz="0" w:space="0" w:color="auto"/>
        <w:right w:val="none" w:sz="0" w:space="0" w:color="auto"/>
      </w:divBdr>
    </w:div>
    <w:div w:id="727343157">
      <w:bodyDiv w:val="1"/>
      <w:marLeft w:val="0"/>
      <w:marRight w:val="0"/>
      <w:marTop w:val="0"/>
      <w:marBottom w:val="0"/>
      <w:divBdr>
        <w:top w:val="none" w:sz="0" w:space="0" w:color="auto"/>
        <w:left w:val="none" w:sz="0" w:space="0" w:color="auto"/>
        <w:bottom w:val="none" w:sz="0" w:space="0" w:color="auto"/>
        <w:right w:val="none" w:sz="0" w:space="0" w:color="auto"/>
      </w:divBdr>
    </w:div>
    <w:div w:id="729234622">
      <w:bodyDiv w:val="1"/>
      <w:marLeft w:val="0"/>
      <w:marRight w:val="0"/>
      <w:marTop w:val="0"/>
      <w:marBottom w:val="0"/>
      <w:divBdr>
        <w:top w:val="none" w:sz="0" w:space="0" w:color="auto"/>
        <w:left w:val="none" w:sz="0" w:space="0" w:color="auto"/>
        <w:bottom w:val="none" w:sz="0" w:space="0" w:color="auto"/>
        <w:right w:val="none" w:sz="0" w:space="0" w:color="auto"/>
      </w:divBdr>
    </w:div>
    <w:div w:id="732044570">
      <w:bodyDiv w:val="1"/>
      <w:marLeft w:val="0"/>
      <w:marRight w:val="0"/>
      <w:marTop w:val="0"/>
      <w:marBottom w:val="0"/>
      <w:divBdr>
        <w:top w:val="none" w:sz="0" w:space="0" w:color="auto"/>
        <w:left w:val="none" w:sz="0" w:space="0" w:color="auto"/>
        <w:bottom w:val="none" w:sz="0" w:space="0" w:color="auto"/>
        <w:right w:val="none" w:sz="0" w:space="0" w:color="auto"/>
      </w:divBdr>
    </w:div>
    <w:div w:id="732697009">
      <w:bodyDiv w:val="1"/>
      <w:marLeft w:val="0"/>
      <w:marRight w:val="0"/>
      <w:marTop w:val="0"/>
      <w:marBottom w:val="0"/>
      <w:divBdr>
        <w:top w:val="none" w:sz="0" w:space="0" w:color="auto"/>
        <w:left w:val="none" w:sz="0" w:space="0" w:color="auto"/>
        <w:bottom w:val="none" w:sz="0" w:space="0" w:color="auto"/>
        <w:right w:val="none" w:sz="0" w:space="0" w:color="auto"/>
      </w:divBdr>
    </w:div>
    <w:div w:id="732897455">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5932129">
      <w:bodyDiv w:val="1"/>
      <w:marLeft w:val="0"/>
      <w:marRight w:val="0"/>
      <w:marTop w:val="0"/>
      <w:marBottom w:val="0"/>
      <w:divBdr>
        <w:top w:val="none" w:sz="0" w:space="0" w:color="auto"/>
        <w:left w:val="none" w:sz="0" w:space="0" w:color="auto"/>
        <w:bottom w:val="none" w:sz="0" w:space="0" w:color="auto"/>
        <w:right w:val="none" w:sz="0" w:space="0" w:color="auto"/>
      </w:divBdr>
    </w:div>
    <w:div w:id="736823015">
      <w:bodyDiv w:val="1"/>
      <w:marLeft w:val="0"/>
      <w:marRight w:val="0"/>
      <w:marTop w:val="0"/>
      <w:marBottom w:val="0"/>
      <w:divBdr>
        <w:top w:val="none" w:sz="0" w:space="0" w:color="auto"/>
        <w:left w:val="none" w:sz="0" w:space="0" w:color="auto"/>
        <w:bottom w:val="none" w:sz="0" w:space="0" w:color="auto"/>
        <w:right w:val="none" w:sz="0" w:space="0" w:color="auto"/>
      </w:divBdr>
    </w:div>
    <w:div w:id="737438394">
      <w:bodyDiv w:val="1"/>
      <w:marLeft w:val="0"/>
      <w:marRight w:val="0"/>
      <w:marTop w:val="0"/>
      <w:marBottom w:val="0"/>
      <w:divBdr>
        <w:top w:val="none" w:sz="0" w:space="0" w:color="auto"/>
        <w:left w:val="none" w:sz="0" w:space="0" w:color="auto"/>
        <w:bottom w:val="none" w:sz="0" w:space="0" w:color="auto"/>
        <w:right w:val="none" w:sz="0" w:space="0" w:color="auto"/>
      </w:divBdr>
    </w:div>
    <w:div w:id="739014828">
      <w:bodyDiv w:val="1"/>
      <w:marLeft w:val="0"/>
      <w:marRight w:val="0"/>
      <w:marTop w:val="0"/>
      <w:marBottom w:val="0"/>
      <w:divBdr>
        <w:top w:val="none" w:sz="0" w:space="0" w:color="auto"/>
        <w:left w:val="none" w:sz="0" w:space="0" w:color="auto"/>
        <w:bottom w:val="none" w:sz="0" w:space="0" w:color="auto"/>
        <w:right w:val="none" w:sz="0" w:space="0" w:color="auto"/>
      </w:divBdr>
    </w:div>
    <w:div w:id="739710840">
      <w:bodyDiv w:val="1"/>
      <w:marLeft w:val="0"/>
      <w:marRight w:val="0"/>
      <w:marTop w:val="0"/>
      <w:marBottom w:val="0"/>
      <w:divBdr>
        <w:top w:val="none" w:sz="0" w:space="0" w:color="auto"/>
        <w:left w:val="none" w:sz="0" w:space="0" w:color="auto"/>
        <w:bottom w:val="none" w:sz="0" w:space="0" w:color="auto"/>
        <w:right w:val="none" w:sz="0" w:space="0" w:color="auto"/>
      </w:divBdr>
    </w:div>
    <w:div w:id="740099841">
      <w:bodyDiv w:val="1"/>
      <w:marLeft w:val="0"/>
      <w:marRight w:val="0"/>
      <w:marTop w:val="0"/>
      <w:marBottom w:val="0"/>
      <w:divBdr>
        <w:top w:val="none" w:sz="0" w:space="0" w:color="auto"/>
        <w:left w:val="none" w:sz="0" w:space="0" w:color="auto"/>
        <w:bottom w:val="none" w:sz="0" w:space="0" w:color="auto"/>
        <w:right w:val="none" w:sz="0" w:space="0" w:color="auto"/>
      </w:divBdr>
    </w:div>
    <w:div w:id="747338263">
      <w:bodyDiv w:val="1"/>
      <w:marLeft w:val="0"/>
      <w:marRight w:val="0"/>
      <w:marTop w:val="0"/>
      <w:marBottom w:val="0"/>
      <w:divBdr>
        <w:top w:val="none" w:sz="0" w:space="0" w:color="auto"/>
        <w:left w:val="none" w:sz="0" w:space="0" w:color="auto"/>
        <w:bottom w:val="none" w:sz="0" w:space="0" w:color="auto"/>
        <w:right w:val="none" w:sz="0" w:space="0" w:color="auto"/>
      </w:divBdr>
    </w:div>
    <w:div w:id="752899666">
      <w:bodyDiv w:val="1"/>
      <w:marLeft w:val="0"/>
      <w:marRight w:val="0"/>
      <w:marTop w:val="0"/>
      <w:marBottom w:val="0"/>
      <w:divBdr>
        <w:top w:val="none" w:sz="0" w:space="0" w:color="auto"/>
        <w:left w:val="none" w:sz="0" w:space="0" w:color="auto"/>
        <w:bottom w:val="none" w:sz="0" w:space="0" w:color="auto"/>
        <w:right w:val="none" w:sz="0" w:space="0" w:color="auto"/>
      </w:divBdr>
    </w:div>
    <w:div w:id="762339440">
      <w:bodyDiv w:val="1"/>
      <w:marLeft w:val="0"/>
      <w:marRight w:val="0"/>
      <w:marTop w:val="0"/>
      <w:marBottom w:val="0"/>
      <w:divBdr>
        <w:top w:val="none" w:sz="0" w:space="0" w:color="auto"/>
        <w:left w:val="none" w:sz="0" w:space="0" w:color="auto"/>
        <w:bottom w:val="none" w:sz="0" w:space="0" w:color="auto"/>
        <w:right w:val="none" w:sz="0" w:space="0" w:color="auto"/>
      </w:divBdr>
    </w:div>
    <w:div w:id="762799938">
      <w:bodyDiv w:val="1"/>
      <w:marLeft w:val="0"/>
      <w:marRight w:val="0"/>
      <w:marTop w:val="0"/>
      <w:marBottom w:val="0"/>
      <w:divBdr>
        <w:top w:val="none" w:sz="0" w:space="0" w:color="auto"/>
        <w:left w:val="none" w:sz="0" w:space="0" w:color="auto"/>
        <w:bottom w:val="none" w:sz="0" w:space="0" w:color="auto"/>
        <w:right w:val="none" w:sz="0" w:space="0" w:color="auto"/>
      </w:divBdr>
    </w:div>
    <w:div w:id="763575682">
      <w:bodyDiv w:val="1"/>
      <w:marLeft w:val="0"/>
      <w:marRight w:val="0"/>
      <w:marTop w:val="0"/>
      <w:marBottom w:val="0"/>
      <w:divBdr>
        <w:top w:val="none" w:sz="0" w:space="0" w:color="auto"/>
        <w:left w:val="none" w:sz="0" w:space="0" w:color="auto"/>
        <w:bottom w:val="none" w:sz="0" w:space="0" w:color="auto"/>
        <w:right w:val="none" w:sz="0" w:space="0" w:color="auto"/>
      </w:divBdr>
    </w:div>
    <w:div w:id="765466382">
      <w:bodyDiv w:val="1"/>
      <w:marLeft w:val="0"/>
      <w:marRight w:val="0"/>
      <w:marTop w:val="0"/>
      <w:marBottom w:val="0"/>
      <w:divBdr>
        <w:top w:val="none" w:sz="0" w:space="0" w:color="auto"/>
        <w:left w:val="none" w:sz="0" w:space="0" w:color="auto"/>
        <w:bottom w:val="none" w:sz="0" w:space="0" w:color="auto"/>
        <w:right w:val="none" w:sz="0" w:space="0" w:color="auto"/>
      </w:divBdr>
    </w:div>
    <w:div w:id="766002470">
      <w:bodyDiv w:val="1"/>
      <w:marLeft w:val="0"/>
      <w:marRight w:val="0"/>
      <w:marTop w:val="0"/>
      <w:marBottom w:val="0"/>
      <w:divBdr>
        <w:top w:val="none" w:sz="0" w:space="0" w:color="auto"/>
        <w:left w:val="none" w:sz="0" w:space="0" w:color="auto"/>
        <w:bottom w:val="none" w:sz="0" w:space="0" w:color="auto"/>
        <w:right w:val="none" w:sz="0" w:space="0" w:color="auto"/>
      </w:divBdr>
    </w:div>
    <w:div w:id="766271777">
      <w:bodyDiv w:val="1"/>
      <w:marLeft w:val="0"/>
      <w:marRight w:val="0"/>
      <w:marTop w:val="0"/>
      <w:marBottom w:val="0"/>
      <w:divBdr>
        <w:top w:val="none" w:sz="0" w:space="0" w:color="auto"/>
        <w:left w:val="none" w:sz="0" w:space="0" w:color="auto"/>
        <w:bottom w:val="none" w:sz="0" w:space="0" w:color="auto"/>
        <w:right w:val="none" w:sz="0" w:space="0" w:color="auto"/>
      </w:divBdr>
    </w:div>
    <w:div w:id="766386350">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8934059">
      <w:bodyDiv w:val="1"/>
      <w:marLeft w:val="0"/>
      <w:marRight w:val="0"/>
      <w:marTop w:val="0"/>
      <w:marBottom w:val="0"/>
      <w:divBdr>
        <w:top w:val="none" w:sz="0" w:space="0" w:color="auto"/>
        <w:left w:val="none" w:sz="0" w:space="0" w:color="auto"/>
        <w:bottom w:val="none" w:sz="0" w:space="0" w:color="auto"/>
        <w:right w:val="none" w:sz="0" w:space="0" w:color="auto"/>
      </w:divBdr>
    </w:div>
    <w:div w:id="774327515">
      <w:bodyDiv w:val="1"/>
      <w:marLeft w:val="0"/>
      <w:marRight w:val="0"/>
      <w:marTop w:val="0"/>
      <w:marBottom w:val="0"/>
      <w:divBdr>
        <w:top w:val="none" w:sz="0" w:space="0" w:color="auto"/>
        <w:left w:val="none" w:sz="0" w:space="0" w:color="auto"/>
        <w:bottom w:val="none" w:sz="0" w:space="0" w:color="auto"/>
        <w:right w:val="none" w:sz="0" w:space="0" w:color="auto"/>
      </w:divBdr>
    </w:div>
    <w:div w:id="775372137">
      <w:bodyDiv w:val="1"/>
      <w:marLeft w:val="0"/>
      <w:marRight w:val="0"/>
      <w:marTop w:val="0"/>
      <w:marBottom w:val="0"/>
      <w:divBdr>
        <w:top w:val="none" w:sz="0" w:space="0" w:color="auto"/>
        <w:left w:val="none" w:sz="0" w:space="0" w:color="auto"/>
        <w:bottom w:val="none" w:sz="0" w:space="0" w:color="auto"/>
        <w:right w:val="none" w:sz="0" w:space="0" w:color="auto"/>
      </w:divBdr>
    </w:div>
    <w:div w:id="77601933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39640">
      <w:bodyDiv w:val="1"/>
      <w:marLeft w:val="0"/>
      <w:marRight w:val="0"/>
      <w:marTop w:val="0"/>
      <w:marBottom w:val="0"/>
      <w:divBdr>
        <w:top w:val="none" w:sz="0" w:space="0" w:color="auto"/>
        <w:left w:val="none" w:sz="0" w:space="0" w:color="auto"/>
        <w:bottom w:val="none" w:sz="0" w:space="0" w:color="auto"/>
        <w:right w:val="none" w:sz="0" w:space="0" w:color="auto"/>
      </w:divBdr>
    </w:div>
    <w:div w:id="779641816">
      <w:bodyDiv w:val="1"/>
      <w:marLeft w:val="0"/>
      <w:marRight w:val="0"/>
      <w:marTop w:val="0"/>
      <w:marBottom w:val="0"/>
      <w:divBdr>
        <w:top w:val="none" w:sz="0" w:space="0" w:color="auto"/>
        <w:left w:val="none" w:sz="0" w:space="0" w:color="auto"/>
        <w:bottom w:val="none" w:sz="0" w:space="0" w:color="auto"/>
        <w:right w:val="none" w:sz="0" w:space="0" w:color="auto"/>
      </w:divBdr>
    </w:div>
    <w:div w:id="781455112">
      <w:bodyDiv w:val="1"/>
      <w:marLeft w:val="0"/>
      <w:marRight w:val="0"/>
      <w:marTop w:val="0"/>
      <w:marBottom w:val="0"/>
      <w:divBdr>
        <w:top w:val="none" w:sz="0" w:space="0" w:color="auto"/>
        <w:left w:val="none" w:sz="0" w:space="0" w:color="auto"/>
        <w:bottom w:val="none" w:sz="0" w:space="0" w:color="auto"/>
        <w:right w:val="none" w:sz="0" w:space="0" w:color="auto"/>
      </w:divBdr>
    </w:div>
    <w:div w:id="782112581">
      <w:bodyDiv w:val="1"/>
      <w:marLeft w:val="0"/>
      <w:marRight w:val="0"/>
      <w:marTop w:val="0"/>
      <w:marBottom w:val="0"/>
      <w:divBdr>
        <w:top w:val="none" w:sz="0" w:space="0" w:color="auto"/>
        <w:left w:val="none" w:sz="0" w:space="0" w:color="auto"/>
        <w:bottom w:val="none" w:sz="0" w:space="0" w:color="auto"/>
        <w:right w:val="none" w:sz="0" w:space="0" w:color="auto"/>
      </w:divBdr>
    </w:div>
    <w:div w:id="782186770">
      <w:bodyDiv w:val="1"/>
      <w:marLeft w:val="0"/>
      <w:marRight w:val="0"/>
      <w:marTop w:val="0"/>
      <w:marBottom w:val="0"/>
      <w:divBdr>
        <w:top w:val="none" w:sz="0" w:space="0" w:color="auto"/>
        <w:left w:val="none" w:sz="0" w:space="0" w:color="auto"/>
        <w:bottom w:val="none" w:sz="0" w:space="0" w:color="auto"/>
        <w:right w:val="none" w:sz="0" w:space="0" w:color="auto"/>
      </w:divBdr>
    </w:div>
    <w:div w:id="784885521">
      <w:bodyDiv w:val="1"/>
      <w:marLeft w:val="0"/>
      <w:marRight w:val="0"/>
      <w:marTop w:val="0"/>
      <w:marBottom w:val="0"/>
      <w:divBdr>
        <w:top w:val="none" w:sz="0" w:space="0" w:color="auto"/>
        <w:left w:val="none" w:sz="0" w:space="0" w:color="auto"/>
        <w:bottom w:val="none" w:sz="0" w:space="0" w:color="auto"/>
        <w:right w:val="none" w:sz="0" w:space="0" w:color="auto"/>
      </w:divBdr>
    </w:div>
    <w:div w:id="784929937">
      <w:bodyDiv w:val="1"/>
      <w:marLeft w:val="0"/>
      <w:marRight w:val="0"/>
      <w:marTop w:val="0"/>
      <w:marBottom w:val="0"/>
      <w:divBdr>
        <w:top w:val="none" w:sz="0" w:space="0" w:color="auto"/>
        <w:left w:val="none" w:sz="0" w:space="0" w:color="auto"/>
        <w:bottom w:val="none" w:sz="0" w:space="0" w:color="auto"/>
        <w:right w:val="none" w:sz="0" w:space="0" w:color="auto"/>
      </w:divBdr>
    </w:div>
    <w:div w:id="785540648">
      <w:bodyDiv w:val="1"/>
      <w:marLeft w:val="0"/>
      <w:marRight w:val="0"/>
      <w:marTop w:val="0"/>
      <w:marBottom w:val="0"/>
      <w:divBdr>
        <w:top w:val="none" w:sz="0" w:space="0" w:color="auto"/>
        <w:left w:val="none" w:sz="0" w:space="0" w:color="auto"/>
        <w:bottom w:val="none" w:sz="0" w:space="0" w:color="auto"/>
        <w:right w:val="none" w:sz="0" w:space="0" w:color="auto"/>
      </w:divBdr>
    </w:div>
    <w:div w:id="787701311">
      <w:bodyDiv w:val="1"/>
      <w:marLeft w:val="0"/>
      <w:marRight w:val="0"/>
      <w:marTop w:val="0"/>
      <w:marBottom w:val="0"/>
      <w:divBdr>
        <w:top w:val="none" w:sz="0" w:space="0" w:color="auto"/>
        <w:left w:val="none" w:sz="0" w:space="0" w:color="auto"/>
        <w:bottom w:val="none" w:sz="0" w:space="0" w:color="auto"/>
        <w:right w:val="none" w:sz="0" w:space="0" w:color="auto"/>
      </w:divBdr>
    </w:div>
    <w:div w:id="792096039">
      <w:bodyDiv w:val="1"/>
      <w:marLeft w:val="0"/>
      <w:marRight w:val="0"/>
      <w:marTop w:val="0"/>
      <w:marBottom w:val="0"/>
      <w:divBdr>
        <w:top w:val="none" w:sz="0" w:space="0" w:color="auto"/>
        <w:left w:val="none" w:sz="0" w:space="0" w:color="auto"/>
        <w:bottom w:val="none" w:sz="0" w:space="0" w:color="auto"/>
        <w:right w:val="none" w:sz="0" w:space="0" w:color="auto"/>
      </w:divBdr>
    </w:div>
    <w:div w:id="792485326">
      <w:bodyDiv w:val="1"/>
      <w:marLeft w:val="0"/>
      <w:marRight w:val="0"/>
      <w:marTop w:val="0"/>
      <w:marBottom w:val="0"/>
      <w:divBdr>
        <w:top w:val="none" w:sz="0" w:space="0" w:color="auto"/>
        <w:left w:val="none" w:sz="0" w:space="0" w:color="auto"/>
        <w:bottom w:val="none" w:sz="0" w:space="0" w:color="auto"/>
        <w:right w:val="none" w:sz="0" w:space="0" w:color="auto"/>
      </w:divBdr>
    </w:div>
    <w:div w:id="793255095">
      <w:bodyDiv w:val="1"/>
      <w:marLeft w:val="0"/>
      <w:marRight w:val="0"/>
      <w:marTop w:val="0"/>
      <w:marBottom w:val="0"/>
      <w:divBdr>
        <w:top w:val="none" w:sz="0" w:space="0" w:color="auto"/>
        <w:left w:val="none" w:sz="0" w:space="0" w:color="auto"/>
        <w:bottom w:val="none" w:sz="0" w:space="0" w:color="auto"/>
        <w:right w:val="none" w:sz="0" w:space="0" w:color="auto"/>
      </w:divBdr>
    </w:div>
    <w:div w:id="793838877">
      <w:bodyDiv w:val="1"/>
      <w:marLeft w:val="0"/>
      <w:marRight w:val="0"/>
      <w:marTop w:val="0"/>
      <w:marBottom w:val="0"/>
      <w:divBdr>
        <w:top w:val="none" w:sz="0" w:space="0" w:color="auto"/>
        <w:left w:val="none" w:sz="0" w:space="0" w:color="auto"/>
        <w:bottom w:val="none" w:sz="0" w:space="0" w:color="auto"/>
        <w:right w:val="none" w:sz="0" w:space="0" w:color="auto"/>
      </w:divBdr>
    </w:div>
    <w:div w:id="794252418">
      <w:bodyDiv w:val="1"/>
      <w:marLeft w:val="0"/>
      <w:marRight w:val="0"/>
      <w:marTop w:val="0"/>
      <w:marBottom w:val="0"/>
      <w:divBdr>
        <w:top w:val="none" w:sz="0" w:space="0" w:color="auto"/>
        <w:left w:val="none" w:sz="0" w:space="0" w:color="auto"/>
        <w:bottom w:val="none" w:sz="0" w:space="0" w:color="auto"/>
        <w:right w:val="none" w:sz="0" w:space="0" w:color="auto"/>
      </w:divBdr>
    </w:div>
    <w:div w:id="801458561">
      <w:bodyDiv w:val="1"/>
      <w:marLeft w:val="0"/>
      <w:marRight w:val="0"/>
      <w:marTop w:val="0"/>
      <w:marBottom w:val="0"/>
      <w:divBdr>
        <w:top w:val="none" w:sz="0" w:space="0" w:color="auto"/>
        <w:left w:val="none" w:sz="0" w:space="0" w:color="auto"/>
        <w:bottom w:val="none" w:sz="0" w:space="0" w:color="auto"/>
        <w:right w:val="none" w:sz="0" w:space="0" w:color="auto"/>
      </w:divBdr>
    </w:div>
    <w:div w:id="801923051">
      <w:bodyDiv w:val="1"/>
      <w:marLeft w:val="0"/>
      <w:marRight w:val="0"/>
      <w:marTop w:val="0"/>
      <w:marBottom w:val="0"/>
      <w:divBdr>
        <w:top w:val="none" w:sz="0" w:space="0" w:color="auto"/>
        <w:left w:val="none" w:sz="0" w:space="0" w:color="auto"/>
        <w:bottom w:val="none" w:sz="0" w:space="0" w:color="auto"/>
        <w:right w:val="none" w:sz="0" w:space="0" w:color="auto"/>
      </w:divBdr>
    </w:div>
    <w:div w:id="802308344">
      <w:bodyDiv w:val="1"/>
      <w:marLeft w:val="0"/>
      <w:marRight w:val="0"/>
      <w:marTop w:val="0"/>
      <w:marBottom w:val="0"/>
      <w:divBdr>
        <w:top w:val="none" w:sz="0" w:space="0" w:color="auto"/>
        <w:left w:val="none" w:sz="0" w:space="0" w:color="auto"/>
        <w:bottom w:val="none" w:sz="0" w:space="0" w:color="auto"/>
        <w:right w:val="none" w:sz="0" w:space="0" w:color="auto"/>
      </w:divBdr>
    </w:div>
    <w:div w:id="802574128">
      <w:bodyDiv w:val="1"/>
      <w:marLeft w:val="0"/>
      <w:marRight w:val="0"/>
      <w:marTop w:val="0"/>
      <w:marBottom w:val="0"/>
      <w:divBdr>
        <w:top w:val="none" w:sz="0" w:space="0" w:color="auto"/>
        <w:left w:val="none" w:sz="0" w:space="0" w:color="auto"/>
        <w:bottom w:val="none" w:sz="0" w:space="0" w:color="auto"/>
        <w:right w:val="none" w:sz="0" w:space="0" w:color="auto"/>
      </w:divBdr>
    </w:div>
    <w:div w:id="802963363">
      <w:bodyDiv w:val="1"/>
      <w:marLeft w:val="0"/>
      <w:marRight w:val="0"/>
      <w:marTop w:val="0"/>
      <w:marBottom w:val="0"/>
      <w:divBdr>
        <w:top w:val="none" w:sz="0" w:space="0" w:color="auto"/>
        <w:left w:val="none" w:sz="0" w:space="0" w:color="auto"/>
        <w:bottom w:val="none" w:sz="0" w:space="0" w:color="auto"/>
        <w:right w:val="none" w:sz="0" w:space="0" w:color="auto"/>
      </w:divBdr>
    </w:div>
    <w:div w:id="803159164">
      <w:bodyDiv w:val="1"/>
      <w:marLeft w:val="0"/>
      <w:marRight w:val="0"/>
      <w:marTop w:val="0"/>
      <w:marBottom w:val="0"/>
      <w:divBdr>
        <w:top w:val="none" w:sz="0" w:space="0" w:color="auto"/>
        <w:left w:val="none" w:sz="0" w:space="0" w:color="auto"/>
        <w:bottom w:val="none" w:sz="0" w:space="0" w:color="auto"/>
        <w:right w:val="none" w:sz="0" w:space="0" w:color="auto"/>
      </w:divBdr>
    </w:div>
    <w:div w:id="803812717">
      <w:bodyDiv w:val="1"/>
      <w:marLeft w:val="0"/>
      <w:marRight w:val="0"/>
      <w:marTop w:val="0"/>
      <w:marBottom w:val="0"/>
      <w:divBdr>
        <w:top w:val="none" w:sz="0" w:space="0" w:color="auto"/>
        <w:left w:val="none" w:sz="0" w:space="0" w:color="auto"/>
        <w:bottom w:val="none" w:sz="0" w:space="0" w:color="auto"/>
        <w:right w:val="none" w:sz="0" w:space="0" w:color="auto"/>
      </w:divBdr>
    </w:div>
    <w:div w:id="804587540">
      <w:bodyDiv w:val="1"/>
      <w:marLeft w:val="0"/>
      <w:marRight w:val="0"/>
      <w:marTop w:val="0"/>
      <w:marBottom w:val="0"/>
      <w:divBdr>
        <w:top w:val="none" w:sz="0" w:space="0" w:color="auto"/>
        <w:left w:val="none" w:sz="0" w:space="0" w:color="auto"/>
        <w:bottom w:val="none" w:sz="0" w:space="0" w:color="auto"/>
        <w:right w:val="none" w:sz="0" w:space="0" w:color="auto"/>
      </w:divBdr>
    </w:div>
    <w:div w:id="805971538">
      <w:bodyDiv w:val="1"/>
      <w:marLeft w:val="0"/>
      <w:marRight w:val="0"/>
      <w:marTop w:val="0"/>
      <w:marBottom w:val="0"/>
      <w:divBdr>
        <w:top w:val="none" w:sz="0" w:space="0" w:color="auto"/>
        <w:left w:val="none" w:sz="0" w:space="0" w:color="auto"/>
        <w:bottom w:val="none" w:sz="0" w:space="0" w:color="auto"/>
        <w:right w:val="none" w:sz="0" w:space="0" w:color="auto"/>
      </w:divBdr>
    </w:div>
    <w:div w:id="806240475">
      <w:bodyDiv w:val="1"/>
      <w:marLeft w:val="0"/>
      <w:marRight w:val="0"/>
      <w:marTop w:val="0"/>
      <w:marBottom w:val="0"/>
      <w:divBdr>
        <w:top w:val="none" w:sz="0" w:space="0" w:color="auto"/>
        <w:left w:val="none" w:sz="0" w:space="0" w:color="auto"/>
        <w:bottom w:val="none" w:sz="0" w:space="0" w:color="auto"/>
        <w:right w:val="none" w:sz="0" w:space="0" w:color="auto"/>
      </w:divBdr>
    </w:div>
    <w:div w:id="809320077">
      <w:bodyDiv w:val="1"/>
      <w:marLeft w:val="0"/>
      <w:marRight w:val="0"/>
      <w:marTop w:val="0"/>
      <w:marBottom w:val="0"/>
      <w:divBdr>
        <w:top w:val="none" w:sz="0" w:space="0" w:color="auto"/>
        <w:left w:val="none" w:sz="0" w:space="0" w:color="auto"/>
        <w:bottom w:val="none" w:sz="0" w:space="0" w:color="auto"/>
        <w:right w:val="none" w:sz="0" w:space="0" w:color="auto"/>
      </w:divBdr>
    </w:div>
    <w:div w:id="809398674">
      <w:bodyDiv w:val="1"/>
      <w:marLeft w:val="0"/>
      <w:marRight w:val="0"/>
      <w:marTop w:val="0"/>
      <w:marBottom w:val="0"/>
      <w:divBdr>
        <w:top w:val="none" w:sz="0" w:space="0" w:color="auto"/>
        <w:left w:val="none" w:sz="0" w:space="0" w:color="auto"/>
        <w:bottom w:val="none" w:sz="0" w:space="0" w:color="auto"/>
        <w:right w:val="none" w:sz="0" w:space="0" w:color="auto"/>
      </w:divBdr>
    </w:div>
    <w:div w:id="811293695">
      <w:bodyDiv w:val="1"/>
      <w:marLeft w:val="0"/>
      <w:marRight w:val="0"/>
      <w:marTop w:val="0"/>
      <w:marBottom w:val="0"/>
      <w:divBdr>
        <w:top w:val="none" w:sz="0" w:space="0" w:color="auto"/>
        <w:left w:val="none" w:sz="0" w:space="0" w:color="auto"/>
        <w:bottom w:val="none" w:sz="0" w:space="0" w:color="auto"/>
        <w:right w:val="none" w:sz="0" w:space="0" w:color="auto"/>
      </w:divBdr>
    </w:div>
    <w:div w:id="811559317">
      <w:bodyDiv w:val="1"/>
      <w:marLeft w:val="0"/>
      <w:marRight w:val="0"/>
      <w:marTop w:val="0"/>
      <w:marBottom w:val="0"/>
      <w:divBdr>
        <w:top w:val="none" w:sz="0" w:space="0" w:color="auto"/>
        <w:left w:val="none" w:sz="0" w:space="0" w:color="auto"/>
        <w:bottom w:val="none" w:sz="0" w:space="0" w:color="auto"/>
        <w:right w:val="none" w:sz="0" w:space="0" w:color="auto"/>
      </w:divBdr>
    </w:div>
    <w:div w:id="811941974">
      <w:bodyDiv w:val="1"/>
      <w:marLeft w:val="0"/>
      <w:marRight w:val="0"/>
      <w:marTop w:val="0"/>
      <w:marBottom w:val="0"/>
      <w:divBdr>
        <w:top w:val="none" w:sz="0" w:space="0" w:color="auto"/>
        <w:left w:val="none" w:sz="0" w:space="0" w:color="auto"/>
        <w:bottom w:val="none" w:sz="0" w:space="0" w:color="auto"/>
        <w:right w:val="none" w:sz="0" w:space="0" w:color="auto"/>
      </w:divBdr>
    </w:div>
    <w:div w:id="814033382">
      <w:bodyDiv w:val="1"/>
      <w:marLeft w:val="0"/>
      <w:marRight w:val="0"/>
      <w:marTop w:val="0"/>
      <w:marBottom w:val="0"/>
      <w:divBdr>
        <w:top w:val="none" w:sz="0" w:space="0" w:color="auto"/>
        <w:left w:val="none" w:sz="0" w:space="0" w:color="auto"/>
        <w:bottom w:val="none" w:sz="0" w:space="0" w:color="auto"/>
        <w:right w:val="none" w:sz="0" w:space="0" w:color="auto"/>
      </w:divBdr>
    </w:div>
    <w:div w:id="815147178">
      <w:bodyDiv w:val="1"/>
      <w:marLeft w:val="0"/>
      <w:marRight w:val="0"/>
      <w:marTop w:val="0"/>
      <w:marBottom w:val="0"/>
      <w:divBdr>
        <w:top w:val="none" w:sz="0" w:space="0" w:color="auto"/>
        <w:left w:val="none" w:sz="0" w:space="0" w:color="auto"/>
        <w:bottom w:val="none" w:sz="0" w:space="0" w:color="auto"/>
        <w:right w:val="none" w:sz="0" w:space="0" w:color="auto"/>
      </w:divBdr>
    </w:div>
    <w:div w:id="817376692">
      <w:bodyDiv w:val="1"/>
      <w:marLeft w:val="0"/>
      <w:marRight w:val="0"/>
      <w:marTop w:val="0"/>
      <w:marBottom w:val="0"/>
      <w:divBdr>
        <w:top w:val="none" w:sz="0" w:space="0" w:color="auto"/>
        <w:left w:val="none" w:sz="0" w:space="0" w:color="auto"/>
        <w:bottom w:val="none" w:sz="0" w:space="0" w:color="auto"/>
        <w:right w:val="none" w:sz="0" w:space="0" w:color="auto"/>
      </w:divBdr>
    </w:div>
    <w:div w:id="817578357">
      <w:bodyDiv w:val="1"/>
      <w:marLeft w:val="0"/>
      <w:marRight w:val="0"/>
      <w:marTop w:val="0"/>
      <w:marBottom w:val="0"/>
      <w:divBdr>
        <w:top w:val="none" w:sz="0" w:space="0" w:color="auto"/>
        <w:left w:val="none" w:sz="0" w:space="0" w:color="auto"/>
        <w:bottom w:val="none" w:sz="0" w:space="0" w:color="auto"/>
        <w:right w:val="none" w:sz="0" w:space="0" w:color="auto"/>
      </w:divBdr>
    </w:div>
    <w:div w:id="818033502">
      <w:bodyDiv w:val="1"/>
      <w:marLeft w:val="0"/>
      <w:marRight w:val="0"/>
      <w:marTop w:val="0"/>
      <w:marBottom w:val="0"/>
      <w:divBdr>
        <w:top w:val="none" w:sz="0" w:space="0" w:color="auto"/>
        <w:left w:val="none" w:sz="0" w:space="0" w:color="auto"/>
        <w:bottom w:val="none" w:sz="0" w:space="0" w:color="auto"/>
        <w:right w:val="none" w:sz="0" w:space="0" w:color="auto"/>
      </w:divBdr>
    </w:div>
    <w:div w:id="821434415">
      <w:bodyDiv w:val="1"/>
      <w:marLeft w:val="0"/>
      <w:marRight w:val="0"/>
      <w:marTop w:val="0"/>
      <w:marBottom w:val="0"/>
      <w:divBdr>
        <w:top w:val="none" w:sz="0" w:space="0" w:color="auto"/>
        <w:left w:val="none" w:sz="0" w:space="0" w:color="auto"/>
        <w:bottom w:val="none" w:sz="0" w:space="0" w:color="auto"/>
        <w:right w:val="none" w:sz="0" w:space="0" w:color="auto"/>
      </w:divBdr>
    </w:div>
    <w:div w:id="822161721">
      <w:bodyDiv w:val="1"/>
      <w:marLeft w:val="0"/>
      <w:marRight w:val="0"/>
      <w:marTop w:val="0"/>
      <w:marBottom w:val="0"/>
      <w:divBdr>
        <w:top w:val="none" w:sz="0" w:space="0" w:color="auto"/>
        <w:left w:val="none" w:sz="0" w:space="0" w:color="auto"/>
        <w:bottom w:val="none" w:sz="0" w:space="0" w:color="auto"/>
        <w:right w:val="none" w:sz="0" w:space="0" w:color="auto"/>
      </w:divBdr>
    </w:div>
    <w:div w:id="822694665">
      <w:bodyDiv w:val="1"/>
      <w:marLeft w:val="0"/>
      <w:marRight w:val="0"/>
      <w:marTop w:val="0"/>
      <w:marBottom w:val="0"/>
      <w:divBdr>
        <w:top w:val="none" w:sz="0" w:space="0" w:color="auto"/>
        <w:left w:val="none" w:sz="0" w:space="0" w:color="auto"/>
        <w:bottom w:val="none" w:sz="0" w:space="0" w:color="auto"/>
        <w:right w:val="none" w:sz="0" w:space="0" w:color="auto"/>
      </w:divBdr>
    </w:div>
    <w:div w:id="822890839">
      <w:bodyDiv w:val="1"/>
      <w:marLeft w:val="0"/>
      <w:marRight w:val="0"/>
      <w:marTop w:val="0"/>
      <w:marBottom w:val="0"/>
      <w:divBdr>
        <w:top w:val="none" w:sz="0" w:space="0" w:color="auto"/>
        <w:left w:val="none" w:sz="0" w:space="0" w:color="auto"/>
        <w:bottom w:val="none" w:sz="0" w:space="0" w:color="auto"/>
        <w:right w:val="none" w:sz="0" w:space="0" w:color="auto"/>
      </w:divBdr>
    </w:div>
    <w:div w:id="823813599">
      <w:bodyDiv w:val="1"/>
      <w:marLeft w:val="0"/>
      <w:marRight w:val="0"/>
      <w:marTop w:val="0"/>
      <w:marBottom w:val="0"/>
      <w:divBdr>
        <w:top w:val="none" w:sz="0" w:space="0" w:color="auto"/>
        <w:left w:val="none" w:sz="0" w:space="0" w:color="auto"/>
        <w:bottom w:val="none" w:sz="0" w:space="0" w:color="auto"/>
        <w:right w:val="none" w:sz="0" w:space="0" w:color="auto"/>
      </w:divBdr>
    </w:div>
    <w:div w:id="827207545">
      <w:bodyDiv w:val="1"/>
      <w:marLeft w:val="0"/>
      <w:marRight w:val="0"/>
      <w:marTop w:val="0"/>
      <w:marBottom w:val="0"/>
      <w:divBdr>
        <w:top w:val="none" w:sz="0" w:space="0" w:color="auto"/>
        <w:left w:val="none" w:sz="0" w:space="0" w:color="auto"/>
        <w:bottom w:val="none" w:sz="0" w:space="0" w:color="auto"/>
        <w:right w:val="none" w:sz="0" w:space="0" w:color="auto"/>
      </w:divBdr>
    </w:div>
    <w:div w:id="827553918">
      <w:bodyDiv w:val="1"/>
      <w:marLeft w:val="0"/>
      <w:marRight w:val="0"/>
      <w:marTop w:val="0"/>
      <w:marBottom w:val="0"/>
      <w:divBdr>
        <w:top w:val="none" w:sz="0" w:space="0" w:color="auto"/>
        <w:left w:val="none" w:sz="0" w:space="0" w:color="auto"/>
        <w:bottom w:val="none" w:sz="0" w:space="0" w:color="auto"/>
        <w:right w:val="none" w:sz="0" w:space="0" w:color="auto"/>
      </w:divBdr>
    </w:div>
    <w:div w:id="828987716">
      <w:bodyDiv w:val="1"/>
      <w:marLeft w:val="0"/>
      <w:marRight w:val="0"/>
      <w:marTop w:val="0"/>
      <w:marBottom w:val="0"/>
      <w:divBdr>
        <w:top w:val="none" w:sz="0" w:space="0" w:color="auto"/>
        <w:left w:val="none" w:sz="0" w:space="0" w:color="auto"/>
        <w:bottom w:val="none" w:sz="0" w:space="0" w:color="auto"/>
        <w:right w:val="none" w:sz="0" w:space="0" w:color="auto"/>
      </w:divBdr>
    </w:div>
    <w:div w:id="829448939">
      <w:bodyDiv w:val="1"/>
      <w:marLeft w:val="0"/>
      <w:marRight w:val="0"/>
      <w:marTop w:val="0"/>
      <w:marBottom w:val="0"/>
      <w:divBdr>
        <w:top w:val="none" w:sz="0" w:space="0" w:color="auto"/>
        <w:left w:val="none" w:sz="0" w:space="0" w:color="auto"/>
        <w:bottom w:val="none" w:sz="0" w:space="0" w:color="auto"/>
        <w:right w:val="none" w:sz="0" w:space="0" w:color="auto"/>
      </w:divBdr>
    </w:div>
    <w:div w:id="831217181">
      <w:bodyDiv w:val="1"/>
      <w:marLeft w:val="0"/>
      <w:marRight w:val="0"/>
      <w:marTop w:val="0"/>
      <w:marBottom w:val="0"/>
      <w:divBdr>
        <w:top w:val="none" w:sz="0" w:space="0" w:color="auto"/>
        <w:left w:val="none" w:sz="0" w:space="0" w:color="auto"/>
        <w:bottom w:val="none" w:sz="0" w:space="0" w:color="auto"/>
        <w:right w:val="none" w:sz="0" w:space="0" w:color="auto"/>
      </w:divBdr>
    </w:div>
    <w:div w:id="839734183">
      <w:bodyDiv w:val="1"/>
      <w:marLeft w:val="0"/>
      <w:marRight w:val="0"/>
      <w:marTop w:val="0"/>
      <w:marBottom w:val="0"/>
      <w:divBdr>
        <w:top w:val="none" w:sz="0" w:space="0" w:color="auto"/>
        <w:left w:val="none" w:sz="0" w:space="0" w:color="auto"/>
        <w:bottom w:val="none" w:sz="0" w:space="0" w:color="auto"/>
        <w:right w:val="none" w:sz="0" w:space="0" w:color="auto"/>
      </w:divBdr>
    </w:div>
    <w:div w:id="841050333">
      <w:bodyDiv w:val="1"/>
      <w:marLeft w:val="0"/>
      <w:marRight w:val="0"/>
      <w:marTop w:val="0"/>
      <w:marBottom w:val="0"/>
      <w:divBdr>
        <w:top w:val="none" w:sz="0" w:space="0" w:color="auto"/>
        <w:left w:val="none" w:sz="0" w:space="0" w:color="auto"/>
        <w:bottom w:val="none" w:sz="0" w:space="0" w:color="auto"/>
        <w:right w:val="none" w:sz="0" w:space="0" w:color="auto"/>
      </w:divBdr>
    </w:div>
    <w:div w:id="841163820">
      <w:bodyDiv w:val="1"/>
      <w:marLeft w:val="0"/>
      <w:marRight w:val="0"/>
      <w:marTop w:val="0"/>
      <w:marBottom w:val="0"/>
      <w:divBdr>
        <w:top w:val="none" w:sz="0" w:space="0" w:color="auto"/>
        <w:left w:val="none" w:sz="0" w:space="0" w:color="auto"/>
        <w:bottom w:val="none" w:sz="0" w:space="0" w:color="auto"/>
        <w:right w:val="none" w:sz="0" w:space="0" w:color="auto"/>
      </w:divBdr>
    </w:div>
    <w:div w:id="844321563">
      <w:bodyDiv w:val="1"/>
      <w:marLeft w:val="0"/>
      <w:marRight w:val="0"/>
      <w:marTop w:val="0"/>
      <w:marBottom w:val="0"/>
      <w:divBdr>
        <w:top w:val="none" w:sz="0" w:space="0" w:color="auto"/>
        <w:left w:val="none" w:sz="0" w:space="0" w:color="auto"/>
        <w:bottom w:val="none" w:sz="0" w:space="0" w:color="auto"/>
        <w:right w:val="none" w:sz="0" w:space="0" w:color="auto"/>
      </w:divBdr>
    </w:div>
    <w:div w:id="844901726">
      <w:bodyDiv w:val="1"/>
      <w:marLeft w:val="0"/>
      <w:marRight w:val="0"/>
      <w:marTop w:val="0"/>
      <w:marBottom w:val="0"/>
      <w:divBdr>
        <w:top w:val="none" w:sz="0" w:space="0" w:color="auto"/>
        <w:left w:val="none" w:sz="0" w:space="0" w:color="auto"/>
        <w:bottom w:val="none" w:sz="0" w:space="0" w:color="auto"/>
        <w:right w:val="none" w:sz="0" w:space="0" w:color="auto"/>
      </w:divBdr>
    </w:div>
    <w:div w:id="847719355">
      <w:bodyDiv w:val="1"/>
      <w:marLeft w:val="0"/>
      <w:marRight w:val="0"/>
      <w:marTop w:val="0"/>
      <w:marBottom w:val="0"/>
      <w:divBdr>
        <w:top w:val="none" w:sz="0" w:space="0" w:color="auto"/>
        <w:left w:val="none" w:sz="0" w:space="0" w:color="auto"/>
        <w:bottom w:val="none" w:sz="0" w:space="0" w:color="auto"/>
        <w:right w:val="none" w:sz="0" w:space="0" w:color="auto"/>
      </w:divBdr>
    </w:div>
    <w:div w:id="849609430">
      <w:bodyDiv w:val="1"/>
      <w:marLeft w:val="0"/>
      <w:marRight w:val="0"/>
      <w:marTop w:val="0"/>
      <w:marBottom w:val="0"/>
      <w:divBdr>
        <w:top w:val="none" w:sz="0" w:space="0" w:color="auto"/>
        <w:left w:val="none" w:sz="0" w:space="0" w:color="auto"/>
        <w:bottom w:val="none" w:sz="0" w:space="0" w:color="auto"/>
        <w:right w:val="none" w:sz="0" w:space="0" w:color="auto"/>
      </w:divBdr>
    </w:div>
    <w:div w:id="853418159">
      <w:bodyDiv w:val="1"/>
      <w:marLeft w:val="0"/>
      <w:marRight w:val="0"/>
      <w:marTop w:val="0"/>
      <w:marBottom w:val="0"/>
      <w:divBdr>
        <w:top w:val="none" w:sz="0" w:space="0" w:color="auto"/>
        <w:left w:val="none" w:sz="0" w:space="0" w:color="auto"/>
        <w:bottom w:val="none" w:sz="0" w:space="0" w:color="auto"/>
        <w:right w:val="none" w:sz="0" w:space="0" w:color="auto"/>
      </w:divBdr>
    </w:div>
    <w:div w:id="855268798">
      <w:bodyDiv w:val="1"/>
      <w:marLeft w:val="0"/>
      <w:marRight w:val="0"/>
      <w:marTop w:val="0"/>
      <w:marBottom w:val="0"/>
      <w:divBdr>
        <w:top w:val="none" w:sz="0" w:space="0" w:color="auto"/>
        <w:left w:val="none" w:sz="0" w:space="0" w:color="auto"/>
        <w:bottom w:val="none" w:sz="0" w:space="0" w:color="auto"/>
        <w:right w:val="none" w:sz="0" w:space="0" w:color="auto"/>
      </w:divBdr>
    </w:div>
    <w:div w:id="85723078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6856">
      <w:bodyDiv w:val="1"/>
      <w:marLeft w:val="0"/>
      <w:marRight w:val="0"/>
      <w:marTop w:val="0"/>
      <w:marBottom w:val="0"/>
      <w:divBdr>
        <w:top w:val="none" w:sz="0" w:space="0" w:color="auto"/>
        <w:left w:val="none" w:sz="0" w:space="0" w:color="auto"/>
        <w:bottom w:val="none" w:sz="0" w:space="0" w:color="auto"/>
        <w:right w:val="none" w:sz="0" w:space="0" w:color="auto"/>
      </w:divBdr>
    </w:div>
    <w:div w:id="863178334">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8671378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032683">
      <w:bodyDiv w:val="1"/>
      <w:marLeft w:val="0"/>
      <w:marRight w:val="0"/>
      <w:marTop w:val="0"/>
      <w:marBottom w:val="0"/>
      <w:divBdr>
        <w:top w:val="none" w:sz="0" w:space="0" w:color="auto"/>
        <w:left w:val="none" w:sz="0" w:space="0" w:color="auto"/>
        <w:bottom w:val="none" w:sz="0" w:space="0" w:color="auto"/>
        <w:right w:val="none" w:sz="0" w:space="0" w:color="auto"/>
      </w:divBdr>
    </w:div>
    <w:div w:id="872041960">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2693963">
      <w:bodyDiv w:val="1"/>
      <w:marLeft w:val="0"/>
      <w:marRight w:val="0"/>
      <w:marTop w:val="0"/>
      <w:marBottom w:val="0"/>
      <w:divBdr>
        <w:top w:val="none" w:sz="0" w:space="0" w:color="auto"/>
        <w:left w:val="none" w:sz="0" w:space="0" w:color="auto"/>
        <w:bottom w:val="none" w:sz="0" w:space="0" w:color="auto"/>
        <w:right w:val="none" w:sz="0" w:space="0" w:color="auto"/>
      </w:divBdr>
    </w:div>
    <w:div w:id="873617177">
      <w:bodyDiv w:val="1"/>
      <w:marLeft w:val="0"/>
      <w:marRight w:val="0"/>
      <w:marTop w:val="0"/>
      <w:marBottom w:val="0"/>
      <w:divBdr>
        <w:top w:val="none" w:sz="0" w:space="0" w:color="auto"/>
        <w:left w:val="none" w:sz="0" w:space="0" w:color="auto"/>
        <w:bottom w:val="none" w:sz="0" w:space="0" w:color="auto"/>
        <w:right w:val="none" w:sz="0" w:space="0" w:color="auto"/>
      </w:divBdr>
    </w:div>
    <w:div w:id="874200735">
      <w:bodyDiv w:val="1"/>
      <w:marLeft w:val="0"/>
      <w:marRight w:val="0"/>
      <w:marTop w:val="0"/>
      <w:marBottom w:val="0"/>
      <w:divBdr>
        <w:top w:val="none" w:sz="0" w:space="0" w:color="auto"/>
        <w:left w:val="none" w:sz="0" w:space="0" w:color="auto"/>
        <w:bottom w:val="none" w:sz="0" w:space="0" w:color="auto"/>
        <w:right w:val="none" w:sz="0" w:space="0" w:color="auto"/>
      </w:divBdr>
    </w:div>
    <w:div w:id="874584226">
      <w:bodyDiv w:val="1"/>
      <w:marLeft w:val="0"/>
      <w:marRight w:val="0"/>
      <w:marTop w:val="0"/>
      <w:marBottom w:val="0"/>
      <w:divBdr>
        <w:top w:val="none" w:sz="0" w:space="0" w:color="auto"/>
        <w:left w:val="none" w:sz="0" w:space="0" w:color="auto"/>
        <w:bottom w:val="none" w:sz="0" w:space="0" w:color="auto"/>
        <w:right w:val="none" w:sz="0" w:space="0" w:color="auto"/>
      </w:divBdr>
    </w:div>
    <w:div w:id="876313631">
      <w:bodyDiv w:val="1"/>
      <w:marLeft w:val="0"/>
      <w:marRight w:val="0"/>
      <w:marTop w:val="0"/>
      <w:marBottom w:val="0"/>
      <w:divBdr>
        <w:top w:val="none" w:sz="0" w:space="0" w:color="auto"/>
        <w:left w:val="none" w:sz="0" w:space="0" w:color="auto"/>
        <w:bottom w:val="none" w:sz="0" w:space="0" w:color="auto"/>
        <w:right w:val="none" w:sz="0" w:space="0" w:color="auto"/>
      </w:divBdr>
    </w:div>
    <w:div w:id="876359096">
      <w:bodyDiv w:val="1"/>
      <w:marLeft w:val="0"/>
      <w:marRight w:val="0"/>
      <w:marTop w:val="0"/>
      <w:marBottom w:val="0"/>
      <w:divBdr>
        <w:top w:val="none" w:sz="0" w:space="0" w:color="auto"/>
        <w:left w:val="none" w:sz="0" w:space="0" w:color="auto"/>
        <w:bottom w:val="none" w:sz="0" w:space="0" w:color="auto"/>
        <w:right w:val="none" w:sz="0" w:space="0" w:color="auto"/>
      </w:divBdr>
    </w:div>
    <w:div w:id="882642220">
      <w:bodyDiv w:val="1"/>
      <w:marLeft w:val="0"/>
      <w:marRight w:val="0"/>
      <w:marTop w:val="0"/>
      <w:marBottom w:val="0"/>
      <w:divBdr>
        <w:top w:val="none" w:sz="0" w:space="0" w:color="auto"/>
        <w:left w:val="none" w:sz="0" w:space="0" w:color="auto"/>
        <w:bottom w:val="none" w:sz="0" w:space="0" w:color="auto"/>
        <w:right w:val="none" w:sz="0" w:space="0" w:color="auto"/>
      </w:divBdr>
    </w:div>
    <w:div w:id="883297603">
      <w:bodyDiv w:val="1"/>
      <w:marLeft w:val="0"/>
      <w:marRight w:val="0"/>
      <w:marTop w:val="0"/>
      <w:marBottom w:val="0"/>
      <w:divBdr>
        <w:top w:val="none" w:sz="0" w:space="0" w:color="auto"/>
        <w:left w:val="none" w:sz="0" w:space="0" w:color="auto"/>
        <w:bottom w:val="none" w:sz="0" w:space="0" w:color="auto"/>
        <w:right w:val="none" w:sz="0" w:space="0" w:color="auto"/>
      </w:divBdr>
    </w:div>
    <w:div w:id="884026811">
      <w:bodyDiv w:val="1"/>
      <w:marLeft w:val="0"/>
      <w:marRight w:val="0"/>
      <w:marTop w:val="0"/>
      <w:marBottom w:val="0"/>
      <w:divBdr>
        <w:top w:val="none" w:sz="0" w:space="0" w:color="auto"/>
        <w:left w:val="none" w:sz="0" w:space="0" w:color="auto"/>
        <w:bottom w:val="none" w:sz="0" w:space="0" w:color="auto"/>
        <w:right w:val="none" w:sz="0" w:space="0" w:color="auto"/>
      </w:divBdr>
    </w:div>
    <w:div w:id="884484317">
      <w:bodyDiv w:val="1"/>
      <w:marLeft w:val="0"/>
      <w:marRight w:val="0"/>
      <w:marTop w:val="0"/>
      <w:marBottom w:val="0"/>
      <w:divBdr>
        <w:top w:val="none" w:sz="0" w:space="0" w:color="auto"/>
        <w:left w:val="none" w:sz="0" w:space="0" w:color="auto"/>
        <w:bottom w:val="none" w:sz="0" w:space="0" w:color="auto"/>
        <w:right w:val="none" w:sz="0" w:space="0" w:color="auto"/>
      </w:divBdr>
    </w:div>
    <w:div w:id="885067352">
      <w:bodyDiv w:val="1"/>
      <w:marLeft w:val="0"/>
      <w:marRight w:val="0"/>
      <w:marTop w:val="0"/>
      <w:marBottom w:val="0"/>
      <w:divBdr>
        <w:top w:val="none" w:sz="0" w:space="0" w:color="auto"/>
        <w:left w:val="none" w:sz="0" w:space="0" w:color="auto"/>
        <w:bottom w:val="none" w:sz="0" w:space="0" w:color="auto"/>
        <w:right w:val="none" w:sz="0" w:space="0" w:color="auto"/>
      </w:divBdr>
    </w:div>
    <w:div w:id="887188240">
      <w:bodyDiv w:val="1"/>
      <w:marLeft w:val="0"/>
      <w:marRight w:val="0"/>
      <w:marTop w:val="0"/>
      <w:marBottom w:val="0"/>
      <w:divBdr>
        <w:top w:val="none" w:sz="0" w:space="0" w:color="auto"/>
        <w:left w:val="none" w:sz="0" w:space="0" w:color="auto"/>
        <w:bottom w:val="none" w:sz="0" w:space="0" w:color="auto"/>
        <w:right w:val="none" w:sz="0" w:space="0" w:color="auto"/>
      </w:divBdr>
    </w:div>
    <w:div w:id="887226888">
      <w:bodyDiv w:val="1"/>
      <w:marLeft w:val="0"/>
      <w:marRight w:val="0"/>
      <w:marTop w:val="0"/>
      <w:marBottom w:val="0"/>
      <w:divBdr>
        <w:top w:val="none" w:sz="0" w:space="0" w:color="auto"/>
        <w:left w:val="none" w:sz="0" w:space="0" w:color="auto"/>
        <w:bottom w:val="none" w:sz="0" w:space="0" w:color="auto"/>
        <w:right w:val="none" w:sz="0" w:space="0" w:color="auto"/>
      </w:divBdr>
    </w:div>
    <w:div w:id="892934138">
      <w:bodyDiv w:val="1"/>
      <w:marLeft w:val="0"/>
      <w:marRight w:val="0"/>
      <w:marTop w:val="0"/>
      <w:marBottom w:val="0"/>
      <w:divBdr>
        <w:top w:val="none" w:sz="0" w:space="0" w:color="auto"/>
        <w:left w:val="none" w:sz="0" w:space="0" w:color="auto"/>
        <w:bottom w:val="none" w:sz="0" w:space="0" w:color="auto"/>
        <w:right w:val="none" w:sz="0" w:space="0" w:color="auto"/>
      </w:divBdr>
    </w:div>
    <w:div w:id="892960191">
      <w:bodyDiv w:val="1"/>
      <w:marLeft w:val="0"/>
      <w:marRight w:val="0"/>
      <w:marTop w:val="0"/>
      <w:marBottom w:val="0"/>
      <w:divBdr>
        <w:top w:val="none" w:sz="0" w:space="0" w:color="auto"/>
        <w:left w:val="none" w:sz="0" w:space="0" w:color="auto"/>
        <w:bottom w:val="none" w:sz="0" w:space="0" w:color="auto"/>
        <w:right w:val="none" w:sz="0" w:space="0" w:color="auto"/>
      </w:divBdr>
    </w:div>
    <w:div w:id="898785513">
      <w:bodyDiv w:val="1"/>
      <w:marLeft w:val="0"/>
      <w:marRight w:val="0"/>
      <w:marTop w:val="0"/>
      <w:marBottom w:val="0"/>
      <w:divBdr>
        <w:top w:val="none" w:sz="0" w:space="0" w:color="auto"/>
        <w:left w:val="none" w:sz="0" w:space="0" w:color="auto"/>
        <w:bottom w:val="none" w:sz="0" w:space="0" w:color="auto"/>
        <w:right w:val="none" w:sz="0" w:space="0" w:color="auto"/>
      </w:divBdr>
    </w:div>
    <w:div w:id="899435865">
      <w:bodyDiv w:val="1"/>
      <w:marLeft w:val="0"/>
      <w:marRight w:val="0"/>
      <w:marTop w:val="0"/>
      <w:marBottom w:val="0"/>
      <w:divBdr>
        <w:top w:val="none" w:sz="0" w:space="0" w:color="auto"/>
        <w:left w:val="none" w:sz="0" w:space="0" w:color="auto"/>
        <w:bottom w:val="none" w:sz="0" w:space="0" w:color="auto"/>
        <w:right w:val="none" w:sz="0" w:space="0" w:color="auto"/>
      </w:divBdr>
    </w:div>
    <w:div w:id="901715803">
      <w:bodyDiv w:val="1"/>
      <w:marLeft w:val="0"/>
      <w:marRight w:val="0"/>
      <w:marTop w:val="0"/>
      <w:marBottom w:val="0"/>
      <w:divBdr>
        <w:top w:val="none" w:sz="0" w:space="0" w:color="auto"/>
        <w:left w:val="none" w:sz="0" w:space="0" w:color="auto"/>
        <w:bottom w:val="none" w:sz="0" w:space="0" w:color="auto"/>
        <w:right w:val="none" w:sz="0" w:space="0" w:color="auto"/>
      </w:divBdr>
    </w:div>
    <w:div w:id="901983145">
      <w:bodyDiv w:val="1"/>
      <w:marLeft w:val="0"/>
      <w:marRight w:val="0"/>
      <w:marTop w:val="0"/>
      <w:marBottom w:val="0"/>
      <w:divBdr>
        <w:top w:val="none" w:sz="0" w:space="0" w:color="auto"/>
        <w:left w:val="none" w:sz="0" w:space="0" w:color="auto"/>
        <w:bottom w:val="none" w:sz="0" w:space="0" w:color="auto"/>
        <w:right w:val="none" w:sz="0" w:space="0" w:color="auto"/>
      </w:divBdr>
    </w:div>
    <w:div w:id="902713055">
      <w:bodyDiv w:val="1"/>
      <w:marLeft w:val="0"/>
      <w:marRight w:val="0"/>
      <w:marTop w:val="0"/>
      <w:marBottom w:val="0"/>
      <w:divBdr>
        <w:top w:val="none" w:sz="0" w:space="0" w:color="auto"/>
        <w:left w:val="none" w:sz="0" w:space="0" w:color="auto"/>
        <w:bottom w:val="none" w:sz="0" w:space="0" w:color="auto"/>
        <w:right w:val="none" w:sz="0" w:space="0" w:color="auto"/>
      </w:divBdr>
    </w:div>
    <w:div w:id="903486201">
      <w:bodyDiv w:val="1"/>
      <w:marLeft w:val="0"/>
      <w:marRight w:val="0"/>
      <w:marTop w:val="0"/>
      <w:marBottom w:val="0"/>
      <w:divBdr>
        <w:top w:val="none" w:sz="0" w:space="0" w:color="auto"/>
        <w:left w:val="none" w:sz="0" w:space="0" w:color="auto"/>
        <w:bottom w:val="none" w:sz="0" w:space="0" w:color="auto"/>
        <w:right w:val="none" w:sz="0" w:space="0" w:color="auto"/>
      </w:divBdr>
    </w:div>
    <w:div w:id="904728188">
      <w:bodyDiv w:val="1"/>
      <w:marLeft w:val="0"/>
      <w:marRight w:val="0"/>
      <w:marTop w:val="0"/>
      <w:marBottom w:val="0"/>
      <w:divBdr>
        <w:top w:val="none" w:sz="0" w:space="0" w:color="auto"/>
        <w:left w:val="none" w:sz="0" w:space="0" w:color="auto"/>
        <w:bottom w:val="none" w:sz="0" w:space="0" w:color="auto"/>
        <w:right w:val="none" w:sz="0" w:space="0" w:color="auto"/>
      </w:divBdr>
    </w:div>
    <w:div w:id="906232296">
      <w:bodyDiv w:val="1"/>
      <w:marLeft w:val="0"/>
      <w:marRight w:val="0"/>
      <w:marTop w:val="0"/>
      <w:marBottom w:val="0"/>
      <w:divBdr>
        <w:top w:val="none" w:sz="0" w:space="0" w:color="auto"/>
        <w:left w:val="none" w:sz="0" w:space="0" w:color="auto"/>
        <w:bottom w:val="none" w:sz="0" w:space="0" w:color="auto"/>
        <w:right w:val="none" w:sz="0" w:space="0" w:color="auto"/>
      </w:divBdr>
    </w:div>
    <w:div w:id="907156841">
      <w:bodyDiv w:val="1"/>
      <w:marLeft w:val="0"/>
      <w:marRight w:val="0"/>
      <w:marTop w:val="0"/>
      <w:marBottom w:val="0"/>
      <w:divBdr>
        <w:top w:val="none" w:sz="0" w:space="0" w:color="auto"/>
        <w:left w:val="none" w:sz="0" w:space="0" w:color="auto"/>
        <w:bottom w:val="none" w:sz="0" w:space="0" w:color="auto"/>
        <w:right w:val="none" w:sz="0" w:space="0" w:color="auto"/>
      </w:divBdr>
    </w:div>
    <w:div w:id="908425962">
      <w:bodyDiv w:val="1"/>
      <w:marLeft w:val="0"/>
      <w:marRight w:val="0"/>
      <w:marTop w:val="0"/>
      <w:marBottom w:val="0"/>
      <w:divBdr>
        <w:top w:val="none" w:sz="0" w:space="0" w:color="auto"/>
        <w:left w:val="none" w:sz="0" w:space="0" w:color="auto"/>
        <w:bottom w:val="none" w:sz="0" w:space="0" w:color="auto"/>
        <w:right w:val="none" w:sz="0" w:space="0" w:color="auto"/>
      </w:divBdr>
    </w:div>
    <w:div w:id="908729326">
      <w:bodyDiv w:val="1"/>
      <w:marLeft w:val="0"/>
      <w:marRight w:val="0"/>
      <w:marTop w:val="0"/>
      <w:marBottom w:val="0"/>
      <w:divBdr>
        <w:top w:val="none" w:sz="0" w:space="0" w:color="auto"/>
        <w:left w:val="none" w:sz="0" w:space="0" w:color="auto"/>
        <w:bottom w:val="none" w:sz="0" w:space="0" w:color="auto"/>
        <w:right w:val="none" w:sz="0" w:space="0" w:color="auto"/>
      </w:divBdr>
    </w:div>
    <w:div w:id="911431350">
      <w:bodyDiv w:val="1"/>
      <w:marLeft w:val="0"/>
      <w:marRight w:val="0"/>
      <w:marTop w:val="0"/>
      <w:marBottom w:val="0"/>
      <w:divBdr>
        <w:top w:val="none" w:sz="0" w:space="0" w:color="auto"/>
        <w:left w:val="none" w:sz="0" w:space="0" w:color="auto"/>
        <w:bottom w:val="none" w:sz="0" w:space="0" w:color="auto"/>
        <w:right w:val="none" w:sz="0" w:space="0" w:color="auto"/>
      </w:divBdr>
    </w:div>
    <w:div w:id="911547300">
      <w:bodyDiv w:val="1"/>
      <w:marLeft w:val="0"/>
      <w:marRight w:val="0"/>
      <w:marTop w:val="0"/>
      <w:marBottom w:val="0"/>
      <w:divBdr>
        <w:top w:val="none" w:sz="0" w:space="0" w:color="auto"/>
        <w:left w:val="none" w:sz="0" w:space="0" w:color="auto"/>
        <w:bottom w:val="none" w:sz="0" w:space="0" w:color="auto"/>
        <w:right w:val="none" w:sz="0" w:space="0" w:color="auto"/>
      </w:divBdr>
    </w:div>
    <w:div w:id="914362619">
      <w:bodyDiv w:val="1"/>
      <w:marLeft w:val="0"/>
      <w:marRight w:val="0"/>
      <w:marTop w:val="0"/>
      <w:marBottom w:val="0"/>
      <w:divBdr>
        <w:top w:val="none" w:sz="0" w:space="0" w:color="auto"/>
        <w:left w:val="none" w:sz="0" w:space="0" w:color="auto"/>
        <w:bottom w:val="none" w:sz="0" w:space="0" w:color="auto"/>
        <w:right w:val="none" w:sz="0" w:space="0" w:color="auto"/>
      </w:divBdr>
    </w:div>
    <w:div w:id="914583031">
      <w:bodyDiv w:val="1"/>
      <w:marLeft w:val="0"/>
      <w:marRight w:val="0"/>
      <w:marTop w:val="0"/>
      <w:marBottom w:val="0"/>
      <w:divBdr>
        <w:top w:val="none" w:sz="0" w:space="0" w:color="auto"/>
        <w:left w:val="none" w:sz="0" w:space="0" w:color="auto"/>
        <w:bottom w:val="none" w:sz="0" w:space="0" w:color="auto"/>
        <w:right w:val="none" w:sz="0" w:space="0" w:color="auto"/>
      </w:divBdr>
    </w:div>
    <w:div w:id="915437414">
      <w:bodyDiv w:val="1"/>
      <w:marLeft w:val="0"/>
      <w:marRight w:val="0"/>
      <w:marTop w:val="0"/>
      <w:marBottom w:val="0"/>
      <w:divBdr>
        <w:top w:val="none" w:sz="0" w:space="0" w:color="auto"/>
        <w:left w:val="none" w:sz="0" w:space="0" w:color="auto"/>
        <w:bottom w:val="none" w:sz="0" w:space="0" w:color="auto"/>
        <w:right w:val="none" w:sz="0" w:space="0" w:color="auto"/>
      </w:divBdr>
    </w:div>
    <w:div w:id="920145140">
      <w:bodyDiv w:val="1"/>
      <w:marLeft w:val="0"/>
      <w:marRight w:val="0"/>
      <w:marTop w:val="0"/>
      <w:marBottom w:val="0"/>
      <w:divBdr>
        <w:top w:val="none" w:sz="0" w:space="0" w:color="auto"/>
        <w:left w:val="none" w:sz="0" w:space="0" w:color="auto"/>
        <w:bottom w:val="none" w:sz="0" w:space="0" w:color="auto"/>
        <w:right w:val="none" w:sz="0" w:space="0" w:color="auto"/>
      </w:divBdr>
    </w:div>
    <w:div w:id="92045331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0917761">
      <w:bodyDiv w:val="1"/>
      <w:marLeft w:val="0"/>
      <w:marRight w:val="0"/>
      <w:marTop w:val="0"/>
      <w:marBottom w:val="0"/>
      <w:divBdr>
        <w:top w:val="none" w:sz="0" w:space="0" w:color="auto"/>
        <w:left w:val="none" w:sz="0" w:space="0" w:color="auto"/>
        <w:bottom w:val="none" w:sz="0" w:space="0" w:color="auto"/>
        <w:right w:val="none" w:sz="0" w:space="0" w:color="auto"/>
      </w:divBdr>
    </w:div>
    <w:div w:id="921453759">
      <w:bodyDiv w:val="1"/>
      <w:marLeft w:val="0"/>
      <w:marRight w:val="0"/>
      <w:marTop w:val="0"/>
      <w:marBottom w:val="0"/>
      <w:divBdr>
        <w:top w:val="none" w:sz="0" w:space="0" w:color="auto"/>
        <w:left w:val="none" w:sz="0" w:space="0" w:color="auto"/>
        <w:bottom w:val="none" w:sz="0" w:space="0" w:color="auto"/>
        <w:right w:val="none" w:sz="0" w:space="0" w:color="auto"/>
      </w:divBdr>
    </w:div>
    <w:div w:id="929118848">
      <w:bodyDiv w:val="1"/>
      <w:marLeft w:val="0"/>
      <w:marRight w:val="0"/>
      <w:marTop w:val="0"/>
      <w:marBottom w:val="0"/>
      <w:divBdr>
        <w:top w:val="none" w:sz="0" w:space="0" w:color="auto"/>
        <w:left w:val="none" w:sz="0" w:space="0" w:color="auto"/>
        <w:bottom w:val="none" w:sz="0" w:space="0" w:color="auto"/>
        <w:right w:val="none" w:sz="0" w:space="0" w:color="auto"/>
      </w:divBdr>
    </w:div>
    <w:div w:id="9308182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362398">
      <w:bodyDiv w:val="1"/>
      <w:marLeft w:val="0"/>
      <w:marRight w:val="0"/>
      <w:marTop w:val="0"/>
      <w:marBottom w:val="0"/>
      <w:divBdr>
        <w:top w:val="none" w:sz="0" w:space="0" w:color="auto"/>
        <w:left w:val="none" w:sz="0" w:space="0" w:color="auto"/>
        <w:bottom w:val="none" w:sz="0" w:space="0" w:color="auto"/>
        <w:right w:val="none" w:sz="0" w:space="0" w:color="auto"/>
      </w:divBdr>
    </w:div>
    <w:div w:id="934941832">
      <w:bodyDiv w:val="1"/>
      <w:marLeft w:val="0"/>
      <w:marRight w:val="0"/>
      <w:marTop w:val="0"/>
      <w:marBottom w:val="0"/>
      <w:divBdr>
        <w:top w:val="none" w:sz="0" w:space="0" w:color="auto"/>
        <w:left w:val="none" w:sz="0" w:space="0" w:color="auto"/>
        <w:bottom w:val="none" w:sz="0" w:space="0" w:color="auto"/>
        <w:right w:val="none" w:sz="0" w:space="0" w:color="auto"/>
      </w:divBdr>
    </w:div>
    <w:div w:id="935986985">
      <w:bodyDiv w:val="1"/>
      <w:marLeft w:val="0"/>
      <w:marRight w:val="0"/>
      <w:marTop w:val="0"/>
      <w:marBottom w:val="0"/>
      <w:divBdr>
        <w:top w:val="none" w:sz="0" w:space="0" w:color="auto"/>
        <w:left w:val="none" w:sz="0" w:space="0" w:color="auto"/>
        <w:bottom w:val="none" w:sz="0" w:space="0" w:color="auto"/>
        <w:right w:val="none" w:sz="0" w:space="0" w:color="auto"/>
      </w:divBdr>
    </w:div>
    <w:div w:id="938636408">
      <w:bodyDiv w:val="1"/>
      <w:marLeft w:val="0"/>
      <w:marRight w:val="0"/>
      <w:marTop w:val="0"/>
      <w:marBottom w:val="0"/>
      <w:divBdr>
        <w:top w:val="none" w:sz="0" w:space="0" w:color="auto"/>
        <w:left w:val="none" w:sz="0" w:space="0" w:color="auto"/>
        <w:bottom w:val="none" w:sz="0" w:space="0" w:color="auto"/>
        <w:right w:val="none" w:sz="0" w:space="0" w:color="auto"/>
      </w:divBdr>
    </w:div>
    <w:div w:id="940575984">
      <w:bodyDiv w:val="1"/>
      <w:marLeft w:val="0"/>
      <w:marRight w:val="0"/>
      <w:marTop w:val="0"/>
      <w:marBottom w:val="0"/>
      <w:divBdr>
        <w:top w:val="none" w:sz="0" w:space="0" w:color="auto"/>
        <w:left w:val="none" w:sz="0" w:space="0" w:color="auto"/>
        <w:bottom w:val="none" w:sz="0" w:space="0" w:color="auto"/>
        <w:right w:val="none" w:sz="0" w:space="0" w:color="auto"/>
      </w:divBdr>
    </w:div>
    <w:div w:id="942809870">
      <w:bodyDiv w:val="1"/>
      <w:marLeft w:val="0"/>
      <w:marRight w:val="0"/>
      <w:marTop w:val="0"/>
      <w:marBottom w:val="0"/>
      <w:divBdr>
        <w:top w:val="none" w:sz="0" w:space="0" w:color="auto"/>
        <w:left w:val="none" w:sz="0" w:space="0" w:color="auto"/>
        <w:bottom w:val="none" w:sz="0" w:space="0" w:color="auto"/>
        <w:right w:val="none" w:sz="0" w:space="0" w:color="auto"/>
      </w:divBdr>
    </w:div>
    <w:div w:id="943224855">
      <w:bodyDiv w:val="1"/>
      <w:marLeft w:val="0"/>
      <w:marRight w:val="0"/>
      <w:marTop w:val="0"/>
      <w:marBottom w:val="0"/>
      <w:divBdr>
        <w:top w:val="none" w:sz="0" w:space="0" w:color="auto"/>
        <w:left w:val="none" w:sz="0" w:space="0" w:color="auto"/>
        <w:bottom w:val="none" w:sz="0" w:space="0" w:color="auto"/>
        <w:right w:val="none" w:sz="0" w:space="0" w:color="auto"/>
      </w:divBdr>
    </w:div>
    <w:div w:id="943810278">
      <w:bodyDiv w:val="1"/>
      <w:marLeft w:val="0"/>
      <w:marRight w:val="0"/>
      <w:marTop w:val="0"/>
      <w:marBottom w:val="0"/>
      <w:divBdr>
        <w:top w:val="none" w:sz="0" w:space="0" w:color="auto"/>
        <w:left w:val="none" w:sz="0" w:space="0" w:color="auto"/>
        <w:bottom w:val="none" w:sz="0" w:space="0" w:color="auto"/>
        <w:right w:val="none" w:sz="0" w:space="0" w:color="auto"/>
      </w:divBdr>
    </w:div>
    <w:div w:id="945237883">
      <w:bodyDiv w:val="1"/>
      <w:marLeft w:val="0"/>
      <w:marRight w:val="0"/>
      <w:marTop w:val="0"/>
      <w:marBottom w:val="0"/>
      <w:divBdr>
        <w:top w:val="none" w:sz="0" w:space="0" w:color="auto"/>
        <w:left w:val="none" w:sz="0" w:space="0" w:color="auto"/>
        <w:bottom w:val="none" w:sz="0" w:space="0" w:color="auto"/>
        <w:right w:val="none" w:sz="0" w:space="0" w:color="auto"/>
      </w:divBdr>
    </w:div>
    <w:div w:id="947544428">
      <w:bodyDiv w:val="1"/>
      <w:marLeft w:val="0"/>
      <w:marRight w:val="0"/>
      <w:marTop w:val="0"/>
      <w:marBottom w:val="0"/>
      <w:divBdr>
        <w:top w:val="none" w:sz="0" w:space="0" w:color="auto"/>
        <w:left w:val="none" w:sz="0" w:space="0" w:color="auto"/>
        <w:bottom w:val="none" w:sz="0" w:space="0" w:color="auto"/>
        <w:right w:val="none" w:sz="0" w:space="0" w:color="auto"/>
      </w:divBdr>
    </w:div>
    <w:div w:id="948699315">
      <w:bodyDiv w:val="1"/>
      <w:marLeft w:val="0"/>
      <w:marRight w:val="0"/>
      <w:marTop w:val="0"/>
      <w:marBottom w:val="0"/>
      <w:divBdr>
        <w:top w:val="none" w:sz="0" w:space="0" w:color="auto"/>
        <w:left w:val="none" w:sz="0" w:space="0" w:color="auto"/>
        <w:bottom w:val="none" w:sz="0" w:space="0" w:color="auto"/>
        <w:right w:val="none" w:sz="0" w:space="0" w:color="auto"/>
      </w:divBdr>
    </w:div>
    <w:div w:id="949506302">
      <w:bodyDiv w:val="1"/>
      <w:marLeft w:val="0"/>
      <w:marRight w:val="0"/>
      <w:marTop w:val="0"/>
      <w:marBottom w:val="0"/>
      <w:divBdr>
        <w:top w:val="none" w:sz="0" w:space="0" w:color="auto"/>
        <w:left w:val="none" w:sz="0" w:space="0" w:color="auto"/>
        <w:bottom w:val="none" w:sz="0" w:space="0" w:color="auto"/>
        <w:right w:val="none" w:sz="0" w:space="0" w:color="auto"/>
      </w:divBdr>
    </w:div>
    <w:div w:id="951085325">
      <w:bodyDiv w:val="1"/>
      <w:marLeft w:val="0"/>
      <w:marRight w:val="0"/>
      <w:marTop w:val="0"/>
      <w:marBottom w:val="0"/>
      <w:divBdr>
        <w:top w:val="none" w:sz="0" w:space="0" w:color="auto"/>
        <w:left w:val="none" w:sz="0" w:space="0" w:color="auto"/>
        <w:bottom w:val="none" w:sz="0" w:space="0" w:color="auto"/>
        <w:right w:val="none" w:sz="0" w:space="0" w:color="auto"/>
      </w:divBdr>
    </w:div>
    <w:div w:id="952782345">
      <w:bodyDiv w:val="1"/>
      <w:marLeft w:val="0"/>
      <w:marRight w:val="0"/>
      <w:marTop w:val="0"/>
      <w:marBottom w:val="0"/>
      <w:divBdr>
        <w:top w:val="none" w:sz="0" w:space="0" w:color="auto"/>
        <w:left w:val="none" w:sz="0" w:space="0" w:color="auto"/>
        <w:bottom w:val="none" w:sz="0" w:space="0" w:color="auto"/>
        <w:right w:val="none" w:sz="0" w:space="0" w:color="auto"/>
      </w:divBdr>
    </w:div>
    <w:div w:id="953438006">
      <w:bodyDiv w:val="1"/>
      <w:marLeft w:val="0"/>
      <w:marRight w:val="0"/>
      <w:marTop w:val="0"/>
      <w:marBottom w:val="0"/>
      <w:divBdr>
        <w:top w:val="none" w:sz="0" w:space="0" w:color="auto"/>
        <w:left w:val="none" w:sz="0" w:space="0" w:color="auto"/>
        <w:bottom w:val="none" w:sz="0" w:space="0" w:color="auto"/>
        <w:right w:val="none" w:sz="0" w:space="0" w:color="auto"/>
      </w:divBdr>
    </w:div>
    <w:div w:id="957177952">
      <w:bodyDiv w:val="1"/>
      <w:marLeft w:val="0"/>
      <w:marRight w:val="0"/>
      <w:marTop w:val="0"/>
      <w:marBottom w:val="0"/>
      <w:divBdr>
        <w:top w:val="none" w:sz="0" w:space="0" w:color="auto"/>
        <w:left w:val="none" w:sz="0" w:space="0" w:color="auto"/>
        <w:bottom w:val="none" w:sz="0" w:space="0" w:color="auto"/>
        <w:right w:val="none" w:sz="0" w:space="0" w:color="auto"/>
      </w:divBdr>
    </w:div>
    <w:div w:id="957222882">
      <w:bodyDiv w:val="1"/>
      <w:marLeft w:val="0"/>
      <w:marRight w:val="0"/>
      <w:marTop w:val="0"/>
      <w:marBottom w:val="0"/>
      <w:divBdr>
        <w:top w:val="none" w:sz="0" w:space="0" w:color="auto"/>
        <w:left w:val="none" w:sz="0" w:space="0" w:color="auto"/>
        <w:bottom w:val="none" w:sz="0" w:space="0" w:color="auto"/>
        <w:right w:val="none" w:sz="0" w:space="0" w:color="auto"/>
      </w:divBdr>
    </w:div>
    <w:div w:id="959216624">
      <w:bodyDiv w:val="1"/>
      <w:marLeft w:val="0"/>
      <w:marRight w:val="0"/>
      <w:marTop w:val="0"/>
      <w:marBottom w:val="0"/>
      <w:divBdr>
        <w:top w:val="none" w:sz="0" w:space="0" w:color="auto"/>
        <w:left w:val="none" w:sz="0" w:space="0" w:color="auto"/>
        <w:bottom w:val="none" w:sz="0" w:space="0" w:color="auto"/>
        <w:right w:val="none" w:sz="0" w:space="0" w:color="auto"/>
      </w:divBdr>
    </w:div>
    <w:div w:id="960769543">
      <w:bodyDiv w:val="1"/>
      <w:marLeft w:val="0"/>
      <w:marRight w:val="0"/>
      <w:marTop w:val="0"/>
      <w:marBottom w:val="0"/>
      <w:divBdr>
        <w:top w:val="none" w:sz="0" w:space="0" w:color="auto"/>
        <w:left w:val="none" w:sz="0" w:space="0" w:color="auto"/>
        <w:bottom w:val="none" w:sz="0" w:space="0" w:color="auto"/>
        <w:right w:val="none" w:sz="0" w:space="0" w:color="auto"/>
      </w:divBdr>
    </w:div>
    <w:div w:id="962925673">
      <w:bodyDiv w:val="1"/>
      <w:marLeft w:val="0"/>
      <w:marRight w:val="0"/>
      <w:marTop w:val="0"/>
      <w:marBottom w:val="0"/>
      <w:divBdr>
        <w:top w:val="none" w:sz="0" w:space="0" w:color="auto"/>
        <w:left w:val="none" w:sz="0" w:space="0" w:color="auto"/>
        <w:bottom w:val="none" w:sz="0" w:space="0" w:color="auto"/>
        <w:right w:val="none" w:sz="0" w:space="0" w:color="auto"/>
      </w:divBdr>
    </w:div>
    <w:div w:id="966424768">
      <w:bodyDiv w:val="1"/>
      <w:marLeft w:val="0"/>
      <w:marRight w:val="0"/>
      <w:marTop w:val="0"/>
      <w:marBottom w:val="0"/>
      <w:divBdr>
        <w:top w:val="none" w:sz="0" w:space="0" w:color="auto"/>
        <w:left w:val="none" w:sz="0" w:space="0" w:color="auto"/>
        <w:bottom w:val="none" w:sz="0" w:space="0" w:color="auto"/>
        <w:right w:val="none" w:sz="0" w:space="0" w:color="auto"/>
      </w:divBdr>
    </w:div>
    <w:div w:id="970599353">
      <w:bodyDiv w:val="1"/>
      <w:marLeft w:val="0"/>
      <w:marRight w:val="0"/>
      <w:marTop w:val="0"/>
      <w:marBottom w:val="0"/>
      <w:divBdr>
        <w:top w:val="none" w:sz="0" w:space="0" w:color="auto"/>
        <w:left w:val="none" w:sz="0" w:space="0" w:color="auto"/>
        <w:bottom w:val="none" w:sz="0" w:space="0" w:color="auto"/>
        <w:right w:val="none" w:sz="0" w:space="0" w:color="auto"/>
      </w:divBdr>
    </w:div>
    <w:div w:id="973558858">
      <w:bodyDiv w:val="1"/>
      <w:marLeft w:val="0"/>
      <w:marRight w:val="0"/>
      <w:marTop w:val="0"/>
      <w:marBottom w:val="0"/>
      <w:divBdr>
        <w:top w:val="none" w:sz="0" w:space="0" w:color="auto"/>
        <w:left w:val="none" w:sz="0" w:space="0" w:color="auto"/>
        <w:bottom w:val="none" w:sz="0" w:space="0" w:color="auto"/>
        <w:right w:val="none" w:sz="0" w:space="0" w:color="auto"/>
      </w:divBdr>
    </w:div>
    <w:div w:id="973757129">
      <w:bodyDiv w:val="1"/>
      <w:marLeft w:val="0"/>
      <w:marRight w:val="0"/>
      <w:marTop w:val="0"/>
      <w:marBottom w:val="0"/>
      <w:divBdr>
        <w:top w:val="none" w:sz="0" w:space="0" w:color="auto"/>
        <w:left w:val="none" w:sz="0" w:space="0" w:color="auto"/>
        <w:bottom w:val="none" w:sz="0" w:space="0" w:color="auto"/>
        <w:right w:val="none" w:sz="0" w:space="0" w:color="auto"/>
      </w:divBdr>
    </w:div>
    <w:div w:id="974219522">
      <w:bodyDiv w:val="1"/>
      <w:marLeft w:val="0"/>
      <w:marRight w:val="0"/>
      <w:marTop w:val="0"/>
      <w:marBottom w:val="0"/>
      <w:divBdr>
        <w:top w:val="none" w:sz="0" w:space="0" w:color="auto"/>
        <w:left w:val="none" w:sz="0" w:space="0" w:color="auto"/>
        <w:bottom w:val="none" w:sz="0" w:space="0" w:color="auto"/>
        <w:right w:val="none" w:sz="0" w:space="0" w:color="auto"/>
      </w:divBdr>
    </w:div>
    <w:div w:id="974261574">
      <w:bodyDiv w:val="1"/>
      <w:marLeft w:val="0"/>
      <w:marRight w:val="0"/>
      <w:marTop w:val="0"/>
      <w:marBottom w:val="0"/>
      <w:divBdr>
        <w:top w:val="none" w:sz="0" w:space="0" w:color="auto"/>
        <w:left w:val="none" w:sz="0" w:space="0" w:color="auto"/>
        <w:bottom w:val="none" w:sz="0" w:space="0" w:color="auto"/>
        <w:right w:val="none" w:sz="0" w:space="0" w:color="auto"/>
      </w:divBdr>
    </w:div>
    <w:div w:id="975337412">
      <w:bodyDiv w:val="1"/>
      <w:marLeft w:val="0"/>
      <w:marRight w:val="0"/>
      <w:marTop w:val="0"/>
      <w:marBottom w:val="0"/>
      <w:divBdr>
        <w:top w:val="none" w:sz="0" w:space="0" w:color="auto"/>
        <w:left w:val="none" w:sz="0" w:space="0" w:color="auto"/>
        <w:bottom w:val="none" w:sz="0" w:space="0" w:color="auto"/>
        <w:right w:val="none" w:sz="0" w:space="0" w:color="auto"/>
      </w:divBdr>
    </w:div>
    <w:div w:id="976226156">
      <w:bodyDiv w:val="1"/>
      <w:marLeft w:val="0"/>
      <w:marRight w:val="0"/>
      <w:marTop w:val="0"/>
      <w:marBottom w:val="0"/>
      <w:divBdr>
        <w:top w:val="none" w:sz="0" w:space="0" w:color="auto"/>
        <w:left w:val="none" w:sz="0" w:space="0" w:color="auto"/>
        <w:bottom w:val="none" w:sz="0" w:space="0" w:color="auto"/>
        <w:right w:val="none" w:sz="0" w:space="0" w:color="auto"/>
      </w:divBdr>
    </w:div>
    <w:div w:id="978071557">
      <w:bodyDiv w:val="1"/>
      <w:marLeft w:val="0"/>
      <w:marRight w:val="0"/>
      <w:marTop w:val="0"/>
      <w:marBottom w:val="0"/>
      <w:divBdr>
        <w:top w:val="none" w:sz="0" w:space="0" w:color="auto"/>
        <w:left w:val="none" w:sz="0" w:space="0" w:color="auto"/>
        <w:bottom w:val="none" w:sz="0" w:space="0" w:color="auto"/>
        <w:right w:val="none" w:sz="0" w:space="0" w:color="auto"/>
      </w:divBdr>
    </w:div>
    <w:div w:id="980503182">
      <w:bodyDiv w:val="1"/>
      <w:marLeft w:val="0"/>
      <w:marRight w:val="0"/>
      <w:marTop w:val="0"/>
      <w:marBottom w:val="0"/>
      <w:divBdr>
        <w:top w:val="none" w:sz="0" w:space="0" w:color="auto"/>
        <w:left w:val="none" w:sz="0" w:space="0" w:color="auto"/>
        <w:bottom w:val="none" w:sz="0" w:space="0" w:color="auto"/>
        <w:right w:val="none" w:sz="0" w:space="0" w:color="auto"/>
      </w:divBdr>
    </w:div>
    <w:div w:id="980691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690409">
      <w:bodyDiv w:val="1"/>
      <w:marLeft w:val="0"/>
      <w:marRight w:val="0"/>
      <w:marTop w:val="0"/>
      <w:marBottom w:val="0"/>
      <w:divBdr>
        <w:top w:val="none" w:sz="0" w:space="0" w:color="auto"/>
        <w:left w:val="none" w:sz="0" w:space="0" w:color="auto"/>
        <w:bottom w:val="none" w:sz="0" w:space="0" w:color="auto"/>
        <w:right w:val="none" w:sz="0" w:space="0" w:color="auto"/>
      </w:divBdr>
    </w:div>
    <w:div w:id="982122945">
      <w:bodyDiv w:val="1"/>
      <w:marLeft w:val="0"/>
      <w:marRight w:val="0"/>
      <w:marTop w:val="0"/>
      <w:marBottom w:val="0"/>
      <w:divBdr>
        <w:top w:val="none" w:sz="0" w:space="0" w:color="auto"/>
        <w:left w:val="none" w:sz="0" w:space="0" w:color="auto"/>
        <w:bottom w:val="none" w:sz="0" w:space="0" w:color="auto"/>
        <w:right w:val="none" w:sz="0" w:space="0" w:color="auto"/>
      </w:divBdr>
    </w:div>
    <w:div w:id="985279437">
      <w:bodyDiv w:val="1"/>
      <w:marLeft w:val="0"/>
      <w:marRight w:val="0"/>
      <w:marTop w:val="0"/>
      <w:marBottom w:val="0"/>
      <w:divBdr>
        <w:top w:val="none" w:sz="0" w:space="0" w:color="auto"/>
        <w:left w:val="none" w:sz="0" w:space="0" w:color="auto"/>
        <w:bottom w:val="none" w:sz="0" w:space="0" w:color="auto"/>
        <w:right w:val="none" w:sz="0" w:space="0" w:color="auto"/>
      </w:divBdr>
    </w:div>
    <w:div w:id="985890478">
      <w:bodyDiv w:val="1"/>
      <w:marLeft w:val="0"/>
      <w:marRight w:val="0"/>
      <w:marTop w:val="0"/>
      <w:marBottom w:val="0"/>
      <w:divBdr>
        <w:top w:val="none" w:sz="0" w:space="0" w:color="auto"/>
        <w:left w:val="none" w:sz="0" w:space="0" w:color="auto"/>
        <w:bottom w:val="none" w:sz="0" w:space="0" w:color="auto"/>
        <w:right w:val="none" w:sz="0" w:space="0" w:color="auto"/>
      </w:divBdr>
    </w:div>
    <w:div w:id="985932477">
      <w:bodyDiv w:val="1"/>
      <w:marLeft w:val="0"/>
      <w:marRight w:val="0"/>
      <w:marTop w:val="0"/>
      <w:marBottom w:val="0"/>
      <w:divBdr>
        <w:top w:val="none" w:sz="0" w:space="0" w:color="auto"/>
        <w:left w:val="none" w:sz="0" w:space="0" w:color="auto"/>
        <w:bottom w:val="none" w:sz="0" w:space="0" w:color="auto"/>
        <w:right w:val="none" w:sz="0" w:space="0" w:color="auto"/>
      </w:divBdr>
    </w:div>
    <w:div w:id="986975285">
      <w:bodyDiv w:val="1"/>
      <w:marLeft w:val="0"/>
      <w:marRight w:val="0"/>
      <w:marTop w:val="0"/>
      <w:marBottom w:val="0"/>
      <w:divBdr>
        <w:top w:val="none" w:sz="0" w:space="0" w:color="auto"/>
        <w:left w:val="none" w:sz="0" w:space="0" w:color="auto"/>
        <w:bottom w:val="none" w:sz="0" w:space="0" w:color="auto"/>
        <w:right w:val="none" w:sz="0" w:space="0" w:color="auto"/>
      </w:divBdr>
    </w:div>
    <w:div w:id="993870396">
      <w:bodyDiv w:val="1"/>
      <w:marLeft w:val="0"/>
      <w:marRight w:val="0"/>
      <w:marTop w:val="0"/>
      <w:marBottom w:val="0"/>
      <w:divBdr>
        <w:top w:val="none" w:sz="0" w:space="0" w:color="auto"/>
        <w:left w:val="none" w:sz="0" w:space="0" w:color="auto"/>
        <w:bottom w:val="none" w:sz="0" w:space="0" w:color="auto"/>
        <w:right w:val="none" w:sz="0" w:space="0" w:color="auto"/>
      </w:divBdr>
    </w:div>
    <w:div w:id="998386484">
      <w:bodyDiv w:val="1"/>
      <w:marLeft w:val="0"/>
      <w:marRight w:val="0"/>
      <w:marTop w:val="0"/>
      <w:marBottom w:val="0"/>
      <w:divBdr>
        <w:top w:val="none" w:sz="0" w:space="0" w:color="auto"/>
        <w:left w:val="none" w:sz="0" w:space="0" w:color="auto"/>
        <w:bottom w:val="none" w:sz="0" w:space="0" w:color="auto"/>
        <w:right w:val="none" w:sz="0" w:space="0" w:color="auto"/>
      </w:divBdr>
    </w:div>
    <w:div w:id="1000501988">
      <w:bodyDiv w:val="1"/>
      <w:marLeft w:val="0"/>
      <w:marRight w:val="0"/>
      <w:marTop w:val="0"/>
      <w:marBottom w:val="0"/>
      <w:divBdr>
        <w:top w:val="none" w:sz="0" w:space="0" w:color="auto"/>
        <w:left w:val="none" w:sz="0" w:space="0" w:color="auto"/>
        <w:bottom w:val="none" w:sz="0" w:space="0" w:color="auto"/>
        <w:right w:val="none" w:sz="0" w:space="0" w:color="auto"/>
      </w:divBdr>
    </w:div>
    <w:div w:id="1001735314">
      <w:bodyDiv w:val="1"/>
      <w:marLeft w:val="0"/>
      <w:marRight w:val="0"/>
      <w:marTop w:val="0"/>
      <w:marBottom w:val="0"/>
      <w:divBdr>
        <w:top w:val="none" w:sz="0" w:space="0" w:color="auto"/>
        <w:left w:val="none" w:sz="0" w:space="0" w:color="auto"/>
        <w:bottom w:val="none" w:sz="0" w:space="0" w:color="auto"/>
        <w:right w:val="none" w:sz="0" w:space="0" w:color="auto"/>
      </w:divBdr>
    </w:div>
    <w:div w:id="1004012697">
      <w:bodyDiv w:val="1"/>
      <w:marLeft w:val="0"/>
      <w:marRight w:val="0"/>
      <w:marTop w:val="0"/>
      <w:marBottom w:val="0"/>
      <w:divBdr>
        <w:top w:val="none" w:sz="0" w:space="0" w:color="auto"/>
        <w:left w:val="none" w:sz="0" w:space="0" w:color="auto"/>
        <w:bottom w:val="none" w:sz="0" w:space="0" w:color="auto"/>
        <w:right w:val="none" w:sz="0" w:space="0" w:color="auto"/>
      </w:divBdr>
    </w:div>
    <w:div w:id="1010181982">
      <w:bodyDiv w:val="1"/>
      <w:marLeft w:val="0"/>
      <w:marRight w:val="0"/>
      <w:marTop w:val="0"/>
      <w:marBottom w:val="0"/>
      <w:divBdr>
        <w:top w:val="none" w:sz="0" w:space="0" w:color="auto"/>
        <w:left w:val="none" w:sz="0" w:space="0" w:color="auto"/>
        <w:bottom w:val="none" w:sz="0" w:space="0" w:color="auto"/>
        <w:right w:val="none" w:sz="0" w:space="0" w:color="auto"/>
      </w:divBdr>
    </w:div>
    <w:div w:id="1010252858">
      <w:bodyDiv w:val="1"/>
      <w:marLeft w:val="0"/>
      <w:marRight w:val="0"/>
      <w:marTop w:val="0"/>
      <w:marBottom w:val="0"/>
      <w:divBdr>
        <w:top w:val="none" w:sz="0" w:space="0" w:color="auto"/>
        <w:left w:val="none" w:sz="0" w:space="0" w:color="auto"/>
        <w:bottom w:val="none" w:sz="0" w:space="0" w:color="auto"/>
        <w:right w:val="none" w:sz="0" w:space="0" w:color="auto"/>
      </w:divBdr>
    </w:div>
    <w:div w:id="1011563834">
      <w:bodyDiv w:val="1"/>
      <w:marLeft w:val="0"/>
      <w:marRight w:val="0"/>
      <w:marTop w:val="0"/>
      <w:marBottom w:val="0"/>
      <w:divBdr>
        <w:top w:val="none" w:sz="0" w:space="0" w:color="auto"/>
        <w:left w:val="none" w:sz="0" w:space="0" w:color="auto"/>
        <w:bottom w:val="none" w:sz="0" w:space="0" w:color="auto"/>
        <w:right w:val="none" w:sz="0" w:space="0" w:color="auto"/>
      </w:divBdr>
    </w:div>
    <w:div w:id="1012805291">
      <w:bodyDiv w:val="1"/>
      <w:marLeft w:val="0"/>
      <w:marRight w:val="0"/>
      <w:marTop w:val="0"/>
      <w:marBottom w:val="0"/>
      <w:divBdr>
        <w:top w:val="none" w:sz="0" w:space="0" w:color="auto"/>
        <w:left w:val="none" w:sz="0" w:space="0" w:color="auto"/>
        <w:bottom w:val="none" w:sz="0" w:space="0" w:color="auto"/>
        <w:right w:val="none" w:sz="0" w:space="0" w:color="auto"/>
      </w:divBdr>
    </w:div>
    <w:div w:id="1013455383">
      <w:bodyDiv w:val="1"/>
      <w:marLeft w:val="0"/>
      <w:marRight w:val="0"/>
      <w:marTop w:val="0"/>
      <w:marBottom w:val="0"/>
      <w:divBdr>
        <w:top w:val="none" w:sz="0" w:space="0" w:color="auto"/>
        <w:left w:val="none" w:sz="0" w:space="0" w:color="auto"/>
        <w:bottom w:val="none" w:sz="0" w:space="0" w:color="auto"/>
        <w:right w:val="none" w:sz="0" w:space="0" w:color="auto"/>
      </w:divBdr>
    </w:div>
    <w:div w:id="1015032585">
      <w:bodyDiv w:val="1"/>
      <w:marLeft w:val="0"/>
      <w:marRight w:val="0"/>
      <w:marTop w:val="0"/>
      <w:marBottom w:val="0"/>
      <w:divBdr>
        <w:top w:val="none" w:sz="0" w:space="0" w:color="auto"/>
        <w:left w:val="none" w:sz="0" w:space="0" w:color="auto"/>
        <w:bottom w:val="none" w:sz="0" w:space="0" w:color="auto"/>
        <w:right w:val="none" w:sz="0" w:space="0" w:color="auto"/>
      </w:divBdr>
    </w:div>
    <w:div w:id="1015351629">
      <w:bodyDiv w:val="1"/>
      <w:marLeft w:val="0"/>
      <w:marRight w:val="0"/>
      <w:marTop w:val="0"/>
      <w:marBottom w:val="0"/>
      <w:divBdr>
        <w:top w:val="none" w:sz="0" w:space="0" w:color="auto"/>
        <w:left w:val="none" w:sz="0" w:space="0" w:color="auto"/>
        <w:bottom w:val="none" w:sz="0" w:space="0" w:color="auto"/>
        <w:right w:val="none" w:sz="0" w:space="0" w:color="auto"/>
      </w:divBdr>
    </w:div>
    <w:div w:id="1016346942">
      <w:bodyDiv w:val="1"/>
      <w:marLeft w:val="0"/>
      <w:marRight w:val="0"/>
      <w:marTop w:val="0"/>
      <w:marBottom w:val="0"/>
      <w:divBdr>
        <w:top w:val="none" w:sz="0" w:space="0" w:color="auto"/>
        <w:left w:val="none" w:sz="0" w:space="0" w:color="auto"/>
        <w:bottom w:val="none" w:sz="0" w:space="0" w:color="auto"/>
        <w:right w:val="none" w:sz="0" w:space="0" w:color="auto"/>
      </w:divBdr>
    </w:div>
    <w:div w:id="1016612720">
      <w:bodyDiv w:val="1"/>
      <w:marLeft w:val="0"/>
      <w:marRight w:val="0"/>
      <w:marTop w:val="0"/>
      <w:marBottom w:val="0"/>
      <w:divBdr>
        <w:top w:val="none" w:sz="0" w:space="0" w:color="auto"/>
        <w:left w:val="none" w:sz="0" w:space="0" w:color="auto"/>
        <w:bottom w:val="none" w:sz="0" w:space="0" w:color="auto"/>
        <w:right w:val="none" w:sz="0" w:space="0" w:color="auto"/>
      </w:divBdr>
    </w:div>
    <w:div w:id="1018391732">
      <w:bodyDiv w:val="1"/>
      <w:marLeft w:val="0"/>
      <w:marRight w:val="0"/>
      <w:marTop w:val="0"/>
      <w:marBottom w:val="0"/>
      <w:divBdr>
        <w:top w:val="none" w:sz="0" w:space="0" w:color="auto"/>
        <w:left w:val="none" w:sz="0" w:space="0" w:color="auto"/>
        <w:bottom w:val="none" w:sz="0" w:space="0" w:color="auto"/>
        <w:right w:val="none" w:sz="0" w:space="0" w:color="auto"/>
      </w:divBdr>
    </w:div>
    <w:div w:id="1018855007">
      <w:bodyDiv w:val="1"/>
      <w:marLeft w:val="0"/>
      <w:marRight w:val="0"/>
      <w:marTop w:val="0"/>
      <w:marBottom w:val="0"/>
      <w:divBdr>
        <w:top w:val="none" w:sz="0" w:space="0" w:color="auto"/>
        <w:left w:val="none" w:sz="0" w:space="0" w:color="auto"/>
        <w:bottom w:val="none" w:sz="0" w:space="0" w:color="auto"/>
        <w:right w:val="none" w:sz="0" w:space="0" w:color="auto"/>
      </w:divBdr>
    </w:div>
    <w:div w:id="1020547811">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76159">
      <w:bodyDiv w:val="1"/>
      <w:marLeft w:val="0"/>
      <w:marRight w:val="0"/>
      <w:marTop w:val="0"/>
      <w:marBottom w:val="0"/>
      <w:divBdr>
        <w:top w:val="none" w:sz="0" w:space="0" w:color="auto"/>
        <w:left w:val="none" w:sz="0" w:space="0" w:color="auto"/>
        <w:bottom w:val="none" w:sz="0" w:space="0" w:color="auto"/>
        <w:right w:val="none" w:sz="0" w:space="0" w:color="auto"/>
      </w:divBdr>
    </w:div>
    <w:div w:id="1023243347">
      <w:bodyDiv w:val="1"/>
      <w:marLeft w:val="0"/>
      <w:marRight w:val="0"/>
      <w:marTop w:val="0"/>
      <w:marBottom w:val="0"/>
      <w:divBdr>
        <w:top w:val="none" w:sz="0" w:space="0" w:color="auto"/>
        <w:left w:val="none" w:sz="0" w:space="0" w:color="auto"/>
        <w:bottom w:val="none" w:sz="0" w:space="0" w:color="auto"/>
        <w:right w:val="none" w:sz="0" w:space="0" w:color="auto"/>
      </w:divBdr>
    </w:div>
    <w:div w:id="1023628775">
      <w:bodyDiv w:val="1"/>
      <w:marLeft w:val="0"/>
      <w:marRight w:val="0"/>
      <w:marTop w:val="0"/>
      <w:marBottom w:val="0"/>
      <w:divBdr>
        <w:top w:val="none" w:sz="0" w:space="0" w:color="auto"/>
        <w:left w:val="none" w:sz="0" w:space="0" w:color="auto"/>
        <w:bottom w:val="none" w:sz="0" w:space="0" w:color="auto"/>
        <w:right w:val="none" w:sz="0" w:space="0" w:color="auto"/>
      </w:divBdr>
    </w:div>
    <w:div w:id="1024945104">
      <w:bodyDiv w:val="1"/>
      <w:marLeft w:val="0"/>
      <w:marRight w:val="0"/>
      <w:marTop w:val="0"/>
      <w:marBottom w:val="0"/>
      <w:divBdr>
        <w:top w:val="none" w:sz="0" w:space="0" w:color="auto"/>
        <w:left w:val="none" w:sz="0" w:space="0" w:color="auto"/>
        <w:bottom w:val="none" w:sz="0" w:space="0" w:color="auto"/>
        <w:right w:val="none" w:sz="0" w:space="0" w:color="auto"/>
      </w:divBdr>
    </w:div>
    <w:div w:id="1025207711">
      <w:bodyDiv w:val="1"/>
      <w:marLeft w:val="0"/>
      <w:marRight w:val="0"/>
      <w:marTop w:val="0"/>
      <w:marBottom w:val="0"/>
      <w:divBdr>
        <w:top w:val="none" w:sz="0" w:space="0" w:color="auto"/>
        <w:left w:val="none" w:sz="0" w:space="0" w:color="auto"/>
        <w:bottom w:val="none" w:sz="0" w:space="0" w:color="auto"/>
        <w:right w:val="none" w:sz="0" w:space="0" w:color="auto"/>
      </w:divBdr>
    </w:div>
    <w:div w:id="1027220142">
      <w:bodyDiv w:val="1"/>
      <w:marLeft w:val="0"/>
      <w:marRight w:val="0"/>
      <w:marTop w:val="0"/>
      <w:marBottom w:val="0"/>
      <w:divBdr>
        <w:top w:val="none" w:sz="0" w:space="0" w:color="auto"/>
        <w:left w:val="none" w:sz="0" w:space="0" w:color="auto"/>
        <w:bottom w:val="none" w:sz="0" w:space="0" w:color="auto"/>
        <w:right w:val="none" w:sz="0" w:space="0" w:color="auto"/>
      </w:divBdr>
    </w:div>
    <w:div w:id="1028726406">
      <w:bodyDiv w:val="1"/>
      <w:marLeft w:val="0"/>
      <w:marRight w:val="0"/>
      <w:marTop w:val="0"/>
      <w:marBottom w:val="0"/>
      <w:divBdr>
        <w:top w:val="none" w:sz="0" w:space="0" w:color="auto"/>
        <w:left w:val="none" w:sz="0" w:space="0" w:color="auto"/>
        <w:bottom w:val="none" w:sz="0" w:space="0" w:color="auto"/>
        <w:right w:val="none" w:sz="0" w:space="0" w:color="auto"/>
      </w:divBdr>
    </w:div>
    <w:div w:id="1031035430">
      <w:bodyDiv w:val="1"/>
      <w:marLeft w:val="0"/>
      <w:marRight w:val="0"/>
      <w:marTop w:val="0"/>
      <w:marBottom w:val="0"/>
      <w:divBdr>
        <w:top w:val="none" w:sz="0" w:space="0" w:color="auto"/>
        <w:left w:val="none" w:sz="0" w:space="0" w:color="auto"/>
        <w:bottom w:val="none" w:sz="0" w:space="0" w:color="auto"/>
        <w:right w:val="none" w:sz="0" w:space="0" w:color="auto"/>
      </w:divBdr>
    </w:div>
    <w:div w:id="1031688025">
      <w:bodyDiv w:val="1"/>
      <w:marLeft w:val="0"/>
      <w:marRight w:val="0"/>
      <w:marTop w:val="0"/>
      <w:marBottom w:val="0"/>
      <w:divBdr>
        <w:top w:val="none" w:sz="0" w:space="0" w:color="auto"/>
        <w:left w:val="none" w:sz="0" w:space="0" w:color="auto"/>
        <w:bottom w:val="none" w:sz="0" w:space="0" w:color="auto"/>
        <w:right w:val="none" w:sz="0" w:space="0" w:color="auto"/>
      </w:divBdr>
    </w:div>
    <w:div w:id="1035352450">
      <w:bodyDiv w:val="1"/>
      <w:marLeft w:val="0"/>
      <w:marRight w:val="0"/>
      <w:marTop w:val="0"/>
      <w:marBottom w:val="0"/>
      <w:divBdr>
        <w:top w:val="none" w:sz="0" w:space="0" w:color="auto"/>
        <w:left w:val="none" w:sz="0" w:space="0" w:color="auto"/>
        <w:bottom w:val="none" w:sz="0" w:space="0" w:color="auto"/>
        <w:right w:val="none" w:sz="0" w:space="0" w:color="auto"/>
      </w:divBdr>
    </w:div>
    <w:div w:id="1036740320">
      <w:bodyDiv w:val="1"/>
      <w:marLeft w:val="0"/>
      <w:marRight w:val="0"/>
      <w:marTop w:val="0"/>
      <w:marBottom w:val="0"/>
      <w:divBdr>
        <w:top w:val="none" w:sz="0" w:space="0" w:color="auto"/>
        <w:left w:val="none" w:sz="0" w:space="0" w:color="auto"/>
        <w:bottom w:val="none" w:sz="0" w:space="0" w:color="auto"/>
        <w:right w:val="none" w:sz="0" w:space="0" w:color="auto"/>
      </w:divBdr>
    </w:div>
    <w:div w:id="1036929061">
      <w:bodyDiv w:val="1"/>
      <w:marLeft w:val="0"/>
      <w:marRight w:val="0"/>
      <w:marTop w:val="0"/>
      <w:marBottom w:val="0"/>
      <w:divBdr>
        <w:top w:val="none" w:sz="0" w:space="0" w:color="auto"/>
        <w:left w:val="none" w:sz="0" w:space="0" w:color="auto"/>
        <w:bottom w:val="none" w:sz="0" w:space="0" w:color="auto"/>
        <w:right w:val="none" w:sz="0" w:space="0" w:color="auto"/>
      </w:divBdr>
    </w:div>
    <w:div w:id="1037050522">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7702619">
      <w:bodyDiv w:val="1"/>
      <w:marLeft w:val="0"/>
      <w:marRight w:val="0"/>
      <w:marTop w:val="0"/>
      <w:marBottom w:val="0"/>
      <w:divBdr>
        <w:top w:val="none" w:sz="0" w:space="0" w:color="auto"/>
        <w:left w:val="none" w:sz="0" w:space="0" w:color="auto"/>
        <w:bottom w:val="none" w:sz="0" w:space="0" w:color="auto"/>
        <w:right w:val="none" w:sz="0" w:space="0" w:color="auto"/>
      </w:divBdr>
    </w:div>
    <w:div w:id="1038117097">
      <w:bodyDiv w:val="1"/>
      <w:marLeft w:val="0"/>
      <w:marRight w:val="0"/>
      <w:marTop w:val="0"/>
      <w:marBottom w:val="0"/>
      <w:divBdr>
        <w:top w:val="none" w:sz="0" w:space="0" w:color="auto"/>
        <w:left w:val="none" w:sz="0" w:space="0" w:color="auto"/>
        <w:bottom w:val="none" w:sz="0" w:space="0" w:color="auto"/>
        <w:right w:val="none" w:sz="0" w:space="0" w:color="auto"/>
      </w:divBdr>
    </w:div>
    <w:div w:id="1038702334">
      <w:bodyDiv w:val="1"/>
      <w:marLeft w:val="0"/>
      <w:marRight w:val="0"/>
      <w:marTop w:val="0"/>
      <w:marBottom w:val="0"/>
      <w:divBdr>
        <w:top w:val="none" w:sz="0" w:space="0" w:color="auto"/>
        <w:left w:val="none" w:sz="0" w:space="0" w:color="auto"/>
        <w:bottom w:val="none" w:sz="0" w:space="0" w:color="auto"/>
        <w:right w:val="none" w:sz="0" w:space="0" w:color="auto"/>
      </w:divBdr>
    </w:div>
    <w:div w:id="1040282773">
      <w:bodyDiv w:val="1"/>
      <w:marLeft w:val="0"/>
      <w:marRight w:val="0"/>
      <w:marTop w:val="0"/>
      <w:marBottom w:val="0"/>
      <w:divBdr>
        <w:top w:val="none" w:sz="0" w:space="0" w:color="auto"/>
        <w:left w:val="none" w:sz="0" w:space="0" w:color="auto"/>
        <w:bottom w:val="none" w:sz="0" w:space="0" w:color="auto"/>
        <w:right w:val="none" w:sz="0" w:space="0" w:color="auto"/>
      </w:divBdr>
    </w:div>
    <w:div w:id="1042753754">
      <w:bodyDiv w:val="1"/>
      <w:marLeft w:val="0"/>
      <w:marRight w:val="0"/>
      <w:marTop w:val="0"/>
      <w:marBottom w:val="0"/>
      <w:divBdr>
        <w:top w:val="none" w:sz="0" w:space="0" w:color="auto"/>
        <w:left w:val="none" w:sz="0" w:space="0" w:color="auto"/>
        <w:bottom w:val="none" w:sz="0" w:space="0" w:color="auto"/>
        <w:right w:val="none" w:sz="0" w:space="0" w:color="auto"/>
      </w:divBdr>
    </w:div>
    <w:div w:id="1049887141">
      <w:bodyDiv w:val="1"/>
      <w:marLeft w:val="0"/>
      <w:marRight w:val="0"/>
      <w:marTop w:val="0"/>
      <w:marBottom w:val="0"/>
      <w:divBdr>
        <w:top w:val="none" w:sz="0" w:space="0" w:color="auto"/>
        <w:left w:val="none" w:sz="0" w:space="0" w:color="auto"/>
        <w:bottom w:val="none" w:sz="0" w:space="0" w:color="auto"/>
        <w:right w:val="none" w:sz="0" w:space="0" w:color="auto"/>
      </w:divBdr>
    </w:div>
    <w:div w:id="1050301428">
      <w:bodyDiv w:val="1"/>
      <w:marLeft w:val="0"/>
      <w:marRight w:val="0"/>
      <w:marTop w:val="0"/>
      <w:marBottom w:val="0"/>
      <w:divBdr>
        <w:top w:val="none" w:sz="0" w:space="0" w:color="auto"/>
        <w:left w:val="none" w:sz="0" w:space="0" w:color="auto"/>
        <w:bottom w:val="none" w:sz="0" w:space="0" w:color="auto"/>
        <w:right w:val="none" w:sz="0" w:space="0" w:color="auto"/>
      </w:divBdr>
    </w:div>
    <w:div w:id="1052539154">
      <w:bodyDiv w:val="1"/>
      <w:marLeft w:val="0"/>
      <w:marRight w:val="0"/>
      <w:marTop w:val="0"/>
      <w:marBottom w:val="0"/>
      <w:divBdr>
        <w:top w:val="none" w:sz="0" w:space="0" w:color="auto"/>
        <w:left w:val="none" w:sz="0" w:space="0" w:color="auto"/>
        <w:bottom w:val="none" w:sz="0" w:space="0" w:color="auto"/>
        <w:right w:val="none" w:sz="0" w:space="0" w:color="auto"/>
      </w:divBdr>
    </w:div>
    <w:div w:id="1055154842">
      <w:bodyDiv w:val="1"/>
      <w:marLeft w:val="0"/>
      <w:marRight w:val="0"/>
      <w:marTop w:val="0"/>
      <w:marBottom w:val="0"/>
      <w:divBdr>
        <w:top w:val="none" w:sz="0" w:space="0" w:color="auto"/>
        <w:left w:val="none" w:sz="0" w:space="0" w:color="auto"/>
        <w:bottom w:val="none" w:sz="0" w:space="0" w:color="auto"/>
        <w:right w:val="none" w:sz="0" w:space="0" w:color="auto"/>
      </w:divBdr>
    </w:div>
    <w:div w:id="1055275778">
      <w:bodyDiv w:val="1"/>
      <w:marLeft w:val="0"/>
      <w:marRight w:val="0"/>
      <w:marTop w:val="0"/>
      <w:marBottom w:val="0"/>
      <w:divBdr>
        <w:top w:val="none" w:sz="0" w:space="0" w:color="auto"/>
        <w:left w:val="none" w:sz="0" w:space="0" w:color="auto"/>
        <w:bottom w:val="none" w:sz="0" w:space="0" w:color="auto"/>
        <w:right w:val="none" w:sz="0" w:space="0" w:color="auto"/>
      </w:divBdr>
    </w:div>
    <w:div w:id="1056122985">
      <w:bodyDiv w:val="1"/>
      <w:marLeft w:val="0"/>
      <w:marRight w:val="0"/>
      <w:marTop w:val="0"/>
      <w:marBottom w:val="0"/>
      <w:divBdr>
        <w:top w:val="none" w:sz="0" w:space="0" w:color="auto"/>
        <w:left w:val="none" w:sz="0" w:space="0" w:color="auto"/>
        <w:bottom w:val="none" w:sz="0" w:space="0" w:color="auto"/>
        <w:right w:val="none" w:sz="0" w:space="0" w:color="auto"/>
      </w:divBdr>
    </w:div>
    <w:div w:id="1058479694">
      <w:bodyDiv w:val="1"/>
      <w:marLeft w:val="0"/>
      <w:marRight w:val="0"/>
      <w:marTop w:val="0"/>
      <w:marBottom w:val="0"/>
      <w:divBdr>
        <w:top w:val="none" w:sz="0" w:space="0" w:color="auto"/>
        <w:left w:val="none" w:sz="0" w:space="0" w:color="auto"/>
        <w:bottom w:val="none" w:sz="0" w:space="0" w:color="auto"/>
        <w:right w:val="none" w:sz="0" w:space="0" w:color="auto"/>
      </w:divBdr>
    </w:div>
    <w:div w:id="1064067935">
      <w:bodyDiv w:val="1"/>
      <w:marLeft w:val="0"/>
      <w:marRight w:val="0"/>
      <w:marTop w:val="0"/>
      <w:marBottom w:val="0"/>
      <w:divBdr>
        <w:top w:val="none" w:sz="0" w:space="0" w:color="auto"/>
        <w:left w:val="none" w:sz="0" w:space="0" w:color="auto"/>
        <w:bottom w:val="none" w:sz="0" w:space="0" w:color="auto"/>
        <w:right w:val="none" w:sz="0" w:space="0" w:color="auto"/>
      </w:divBdr>
    </w:div>
    <w:div w:id="1064568457">
      <w:bodyDiv w:val="1"/>
      <w:marLeft w:val="0"/>
      <w:marRight w:val="0"/>
      <w:marTop w:val="0"/>
      <w:marBottom w:val="0"/>
      <w:divBdr>
        <w:top w:val="none" w:sz="0" w:space="0" w:color="auto"/>
        <w:left w:val="none" w:sz="0" w:space="0" w:color="auto"/>
        <w:bottom w:val="none" w:sz="0" w:space="0" w:color="auto"/>
        <w:right w:val="none" w:sz="0" w:space="0" w:color="auto"/>
      </w:divBdr>
    </w:div>
    <w:div w:id="1064915026">
      <w:bodyDiv w:val="1"/>
      <w:marLeft w:val="0"/>
      <w:marRight w:val="0"/>
      <w:marTop w:val="0"/>
      <w:marBottom w:val="0"/>
      <w:divBdr>
        <w:top w:val="none" w:sz="0" w:space="0" w:color="auto"/>
        <w:left w:val="none" w:sz="0" w:space="0" w:color="auto"/>
        <w:bottom w:val="none" w:sz="0" w:space="0" w:color="auto"/>
        <w:right w:val="none" w:sz="0" w:space="0" w:color="auto"/>
      </w:divBdr>
    </w:div>
    <w:div w:id="1065107624">
      <w:bodyDiv w:val="1"/>
      <w:marLeft w:val="0"/>
      <w:marRight w:val="0"/>
      <w:marTop w:val="0"/>
      <w:marBottom w:val="0"/>
      <w:divBdr>
        <w:top w:val="none" w:sz="0" w:space="0" w:color="auto"/>
        <w:left w:val="none" w:sz="0" w:space="0" w:color="auto"/>
        <w:bottom w:val="none" w:sz="0" w:space="0" w:color="auto"/>
        <w:right w:val="none" w:sz="0" w:space="0" w:color="auto"/>
      </w:divBdr>
    </w:div>
    <w:div w:id="1066880113">
      <w:bodyDiv w:val="1"/>
      <w:marLeft w:val="0"/>
      <w:marRight w:val="0"/>
      <w:marTop w:val="0"/>
      <w:marBottom w:val="0"/>
      <w:divBdr>
        <w:top w:val="none" w:sz="0" w:space="0" w:color="auto"/>
        <w:left w:val="none" w:sz="0" w:space="0" w:color="auto"/>
        <w:bottom w:val="none" w:sz="0" w:space="0" w:color="auto"/>
        <w:right w:val="none" w:sz="0" w:space="0" w:color="auto"/>
      </w:divBdr>
    </w:div>
    <w:div w:id="1067075610">
      <w:bodyDiv w:val="1"/>
      <w:marLeft w:val="0"/>
      <w:marRight w:val="0"/>
      <w:marTop w:val="0"/>
      <w:marBottom w:val="0"/>
      <w:divBdr>
        <w:top w:val="none" w:sz="0" w:space="0" w:color="auto"/>
        <w:left w:val="none" w:sz="0" w:space="0" w:color="auto"/>
        <w:bottom w:val="none" w:sz="0" w:space="0" w:color="auto"/>
        <w:right w:val="none" w:sz="0" w:space="0" w:color="auto"/>
      </w:divBdr>
    </w:div>
    <w:div w:id="1067998018">
      <w:bodyDiv w:val="1"/>
      <w:marLeft w:val="0"/>
      <w:marRight w:val="0"/>
      <w:marTop w:val="0"/>
      <w:marBottom w:val="0"/>
      <w:divBdr>
        <w:top w:val="none" w:sz="0" w:space="0" w:color="auto"/>
        <w:left w:val="none" w:sz="0" w:space="0" w:color="auto"/>
        <w:bottom w:val="none" w:sz="0" w:space="0" w:color="auto"/>
        <w:right w:val="none" w:sz="0" w:space="0" w:color="auto"/>
      </w:divBdr>
    </w:div>
    <w:div w:id="1068311126">
      <w:bodyDiv w:val="1"/>
      <w:marLeft w:val="0"/>
      <w:marRight w:val="0"/>
      <w:marTop w:val="0"/>
      <w:marBottom w:val="0"/>
      <w:divBdr>
        <w:top w:val="none" w:sz="0" w:space="0" w:color="auto"/>
        <w:left w:val="none" w:sz="0" w:space="0" w:color="auto"/>
        <w:bottom w:val="none" w:sz="0" w:space="0" w:color="auto"/>
        <w:right w:val="none" w:sz="0" w:space="0" w:color="auto"/>
      </w:divBdr>
    </w:div>
    <w:div w:id="1068382878">
      <w:bodyDiv w:val="1"/>
      <w:marLeft w:val="0"/>
      <w:marRight w:val="0"/>
      <w:marTop w:val="0"/>
      <w:marBottom w:val="0"/>
      <w:divBdr>
        <w:top w:val="none" w:sz="0" w:space="0" w:color="auto"/>
        <w:left w:val="none" w:sz="0" w:space="0" w:color="auto"/>
        <w:bottom w:val="none" w:sz="0" w:space="0" w:color="auto"/>
        <w:right w:val="none" w:sz="0" w:space="0" w:color="auto"/>
      </w:divBdr>
    </w:div>
    <w:div w:id="1068572621">
      <w:bodyDiv w:val="1"/>
      <w:marLeft w:val="0"/>
      <w:marRight w:val="0"/>
      <w:marTop w:val="0"/>
      <w:marBottom w:val="0"/>
      <w:divBdr>
        <w:top w:val="none" w:sz="0" w:space="0" w:color="auto"/>
        <w:left w:val="none" w:sz="0" w:space="0" w:color="auto"/>
        <w:bottom w:val="none" w:sz="0" w:space="0" w:color="auto"/>
        <w:right w:val="none" w:sz="0" w:space="0" w:color="auto"/>
      </w:divBdr>
    </w:div>
    <w:div w:id="1070541021">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60436">
      <w:bodyDiv w:val="1"/>
      <w:marLeft w:val="0"/>
      <w:marRight w:val="0"/>
      <w:marTop w:val="0"/>
      <w:marBottom w:val="0"/>
      <w:divBdr>
        <w:top w:val="none" w:sz="0" w:space="0" w:color="auto"/>
        <w:left w:val="none" w:sz="0" w:space="0" w:color="auto"/>
        <w:bottom w:val="none" w:sz="0" w:space="0" w:color="auto"/>
        <w:right w:val="none" w:sz="0" w:space="0" w:color="auto"/>
      </w:divBdr>
    </w:div>
    <w:div w:id="1074201038">
      <w:bodyDiv w:val="1"/>
      <w:marLeft w:val="0"/>
      <w:marRight w:val="0"/>
      <w:marTop w:val="0"/>
      <w:marBottom w:val="0"/>
      <w:divBdr>
        <w:top w:val="none" w:sz="0" w:space="0" w:color="auto"/>
        <w:left w:val="none" w:sz="0" w:space="0" w:color="auto"/>
        <w:bottom w:val="none" w:sz="0" w:space="0" w:color="auto"/>
        <w:right w:val="none" w:sz="0" w:space="0" w:color="auto"/>
      </w:divBdr>
    </w:div>
    <w:div w:id="1074359389">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76980711">
      <w:bodyDiv w:val="1"/>
      <w:marLeft w:val="0"/>
      <w:marRight w:val="0"/>
      <w:marTop w:val="0"/>
      <w:marBottom w:val="0"/>
      <w:divBdr>
        <w:top w:val="none" w:sz="0" w:space="0" w:color="auto"/>
        <w:left w:val="none" w:sz="0" w:space="0" w:color="auto"/>
        <w:bottom w:val="none" w:sz="0" w:space="0" w:color="auto"/>
        <w:right w:val="none" w:sz="0" w:space="0" w:color="auto"/>
      </w:divBdr>
    </w:div>
    <w:div w:id="1077751852">
      <w:bodyDiv w:val="1"/>
      <w:marLeft w:val="0"/>
      <w:marRight w:val="0"/>
      <w:marTop w:val="0"/>
      <w:marBottom w:val="0"/>
      <w:divBdr>
        <w:top w:val="none" w:sz="0" w:space="0" w:color="auto"/>
        <w:left w:val="none" w:sz="0" w:space="0" w:color="auto"/>
        <w:bottom w:val="none" w:sz="0" w:space="0" w:color="auto"/>
        <w:right w:val="none" w:sz="0" w:space="0" w:color="auto"/>
      </w:divBdr>
    </w:div>
    <w:div w:id="1078022563">
      <w:bodyDiv w:val="1"/>
      <w:marLeft w:val="0"/>
      <w:marRight w:val="0"/>
      <w:marTop w:val="0"/>
      <w:marBottom w:val="0"/>
      <w:divBdr>
        <w:top w:val="none" w:sz="0" w:space="0" w:color="auto"/>
        <w:left w:val="none" w:sz="0" w:space="0" w:color="auto"/>
        <w:bottom w:val="none" w:sz="0" w:space="0" w:color="auto"/>
        <w:right w:val="none" w:sz="0" w:space="0" w:color="auto"/>
      </w:divBdr>
    </w:div>
    <w:div w:id="107964164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14169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262111">
      <w:bodyDiv w:val="1"/>
      <w:marLeft w:val="0"/>
      <w:marRight w:val="0"/>
      <w:marTop w:val="0"/>
      <w:marBottom w:val="0"/>
      <w:divBdr>
        <w:top w:val="none" w:sz="0" w:space="0" w:color="auto"/>
        <w:left w:val="none" w:sz="0" w:space="0" w:color="auto"/>
        <w:bottom w:val="none" w:sz="0" w:space="0" w:color="auto"/>
        <w:right w:val="none" w:sz="0" w:space="0" w:color="auto"/>
      </w:divBdr>
    </w:div>
    <w:div w:id="1085036548">
      <w:bodyDiv w:val="1"/>
      <w:marLeft w:val="0"/>
      <w:marRight w:val="0"/>
      <w:marTop w:val="0"/>
      <w:marBottom w:val="0"/>
      <w:divBdr>
        <w:top w:val="none" w:sz="0" w:space="0" w:color="auto"/>
        <w:left w:val="none" w:sz="0" w:space="0" w:color="auto"/>
        <w:bottom w:val="none" w:sz="0" w:space="0" w:color="auto"/>
        <w:right w:val="none" w:sz="0" w:space="0" w:color="auto"/>
      </w:divBdr>
    </w:div>
    <w:div w:id="1086728647">
      <w:bodyDiv w:val="1"/>
      <w:marLeft w:val="0"/>
      <w:marRight w:val="0"/>
      <w:marTop w:val="0"/>
      <w:marBottom w:val="0"/>
      <w:divBdr>
        <w:top w:val="none" w:sz="0" w:space="0" w:color="auto"/>
        <w:left w:val="none" w:sz="0" w:space="0" w:color="auto"/>
        <w:bottom w:val="none" w:sz="0" w:space="0" w:color="auto"/>
        <w:right w:val="none" w:sz="0" w:space="0" w:color="auto"/>
      </w:divBdr>
    </w:div>
    <w:div w:id="1087112336">
      <w:bodyDiv w:val="1"/>
      <w:marLeft w:val="0"/>
      <w:marRight w:val="0"/>
      <w:marTop w:val="0"/>
      <w:marBottom w:val="0"/>
      <w:divBdr>
        <w:top w:val="none" w:sz="0" w:space="0" w:color="auto"/>
        <w:left w:val="none" w:sz="0" w:space="0" w:color="auto"/>
        <w:bottom w:val="none" w:sz="0" w:space="0" w:color="auto"/>
        <w:right w:val="none" w:sz="0" w:space="0" w:color="auto"/>
      </w:divBdr>
    </w:div>
    <w:div w:id="1089541781">
      <w:bodyDiv w:val="1"/>
      <w:marLeft w:val="0"/>
      <w:marRight w:val="0"/>
      <w:marTop w:val="0"/>
      <w:marBottom w:val="0"/>
      <w:divBdr>
        <w:top w:val="none" w:sz="0" w:space="0" w:color="auto"/>
        <w:left w:val="none" w:sz="0" w:space="0" w:color="auto"/>
        <w:bottom w:val="none" w:sz="0" w:space="0" w:color="auto"/>
        <w:right w:val="none" w:sz="0" w:space="0" w:color="auto"/>
      </w:divBdr>
    </w:div>
    <w:div w:id="1091468710">
      <w:bodyDiv w:val="1"/>
      <w:marLeft w:val="0"/>
      <w:marRight w:val="0"/>
      <w:marTop w:val="0"/>
      <w:marBottom w:val="0"/>
      <w:divBdr>
        <w:top w:val="none" w:sz="0" w:space="0" w:color="auto"/>
        <w:left w:val="none" w:sz="0" w:space="0" w:color="auto"/>
        <w:bottom w:val="none" w:sz="0" w:space="0" w:color="auto"/>
        <w:right w:val="none" w:sz="0" w:space="0" w:color="auto"/>
      </w:divBdr>
    </w:div>
    <w:div w:id="1097016330">
      <w:bodyDiv w:val="1"/>
      <w:marLeft w:val="0"/>
      <w:marRight w:val="0"/>
      <w:marTop w:val="0"/>
      <w:marBottom w:val="0"/>
      <w:divBdr>
        <w:top w:val="none" w:sz="0" w:space="0" w:color="auto"/>
        <w:left w:val="none" w:sz="0" w:space="0" w:color="auto"/>
        <w:bottom w:val="none" w:sz="0" w:space="0" w:color="auto"/>
        <w:right w:val="none" w:sz="0" w:space="0" w:color="auto"/>
      </w:divBdr>
    </w:div>
    <w:div w:id="1098331609">
      <w:bodyDiv w:val="1"/>
      <w:marLeft w:val="0"/>
      <w:marRight w:val="0"/>
      <w:marTop w:val="0"/>
      <w:marBottom w:val="0"/>
      <w:divBdr>
        <w:top w:val="none" w:sz="0" w:space="0" w:color="auto"/>
        <w:left w:val="none" w:sz="0" w:space="0" w:color="auto"/>
        <w:bottom w:val="none" w:sz="0" w:space="0" w:color="auto"/>
        <w:right w:val="none" w:sz="0" w:space="0" w:color="auto"/>
      </w:divBdr>
    </w:div>
    <w:div w:id="1098717767">
      <w:bodyDiv w:val="1"/>
      <w:marLeft w:val="0"/>
      <w:marRight w:val="0"/>
      <w:marTop w:val="0"/>
      <w:marBottom w:val="0"/>
      <w:divBdr>
        <w:top w:val="none" w:sz="0" w:space="0" w:color="auto"/>
        <w:left w:val="none" w:sz="0" w:space="0" w:color="auto"/>
        <w:bottom w:val="none" w:sz="0" w:space="0" w:color="auto"/>
        <w:right w:val="none" w:sz="0" w:space="0" w:color="auto"/>
      </w:divBdr>
    </w:div>
    <w:div w:id="1100250148">
      <w:bodyDiv w:val="1"/>
      <w:marLeft w:val="0"/>
      <w:marRight w:val="0"/>
      <w:marTop w:val="0"/>
      <w:marBottom w:val="0"/>
      <w:divBdr>
        <w:top w:val="none" w:sz="0" w:space="0" w:color="auto"/>
        <w:left w:val="none" w:sz="0" w:space="0" w:color="auto"/>
        <w:bottom w:val="none" w:sz="0" w:space="0" w:color="auto"/>
        <w:right w:val="none" w:sz="0" w:space="0" w:color="auto"/>
      </w:divBdr>
    </w:div>
    <w:div w:id="1101298337">
      <w:bodyDiv w:val="1"/>
      <w:marLeft w:val="0"/>
      <w:marRight w:val="0"/>
      <w:marTop w:val="0"/>
      <w:marBottom w:val="0"/>
      <w:divBdr>
        <w:top w:val="none" w:sz="0" w:space="0" w:color="auto"/>
        <w:left w:val="none" w:sz="0" w:space="0" w:color="auto"/>
        <w:bottom w:val="none" w:sz="0" w:space="0" w:color="auto"/>
        <w:right w:val="none" w:sz="0" w:space="0" w:color="auto"/>
      </w:divBdr>
    </w:div>
    <w:div w:id="1102530766">
      <w:bodyDiv w:val="1"/>
      <w:marLeft w:val="0"/>
      <w:marRight w:val="0"/>
      <w:marTop w:val="0"/>
      <w:marBottom w:val="0"/>
      <w:divBdr>
        <w:top w:val="none" w:sz="0" w:space="0" w:color="auto"/>
        <w:left w:val="none" w:sz="0" w:space="0" w:color="auto"/>
        <w:bottom w:val="none" w:sz="0" w:space="0" w:color="auto"/>
        <w:right w:val="none" w:sz="0" w:space="0" w:color="auto"/>
      </w:divBdr>
    </w:div>
    <w:div w:id="1102914543">
      <w:bodyDiv w:val="1"/>
      <w:marLeft w:val="0"/>
      <w:marRight w:val="0"/>
      <w:marTop w:val="0"/>
      <w:marBottom w:val="0"/>
      <w:divBdr>
        <w:top w:val="none" w:sz="0" w:space="0" w:color="auto"/>
        <w:left w:val="none" w:sz="0" w:space="0" w:color="auto"/>
        <w:bottom w:val="none" w:sz="0" w:space="0" w:color="auto"/>
        <w:right w:val="none" w:sz="0" w:space="0" w:color="auto"/>
      </w:divBdr>
    </w:div>
    <w:div w:id="1104492362">
      <w:bodyDiv w:val="1"/>
      <w:marLeft w:val="0"/>
      <w:marRight w:val="0"/>
      <w:marTop w:val="0"/>
      <w:marBottom w:val="0"/>
      <w:divBdr>
        <w:top w:val="none" w:sz="0" w:space="0" w:color="auto"/>
        <w:left w:val="none" w:sz="0" w:space="0" w:color="auto"/>
        <w:bottom w:val="none" w:sz="0" w:space="0" w:color="auto"/>
        <w:right w:val="none" w:sz="0" w:space="0" w:color="auto"/>
      </w:divBdr>
    </w:div>
    <w:div w:id="1104543745">
      <w:bodyDiv w:val="1"/>
      <w:marLeft w:val="0"/>
      <w:marRight w:val="0"/>
      <w:marTop w:val="0"/>
      <w:marBottom w:val="0"/>
      <w:divBdr>
        <w:top w:val="none" w:sz="0" w:space="0" w:color="auto"/>
        <w:left w:val="none" w:sz="0" w:space="0" w:color="auto"/>
        <w:bottom w:val="none" w:sz="0" w:space="0" w:color="auto"/>
        <w:right w:val="none" w:sz="0" w:space="0" w:color="auto"/>
      </w:divBdr>
    </w:div>
    <w:div w:id="1105879833">
      <w:bodyDiv w:val="1"/>
      <w:marLeft w:val="0"/>
      <w:marRight w:val="0"/>
      <w:marTop w:val="0"/>
      <w:marBottom w:val="0"/>
      <w:divBdr>
        <w:top w:val="none" w:sz="0" w:space="0" w:color="auto"/>
        <w:left w:val="none" w:sz="0" w:space="0" w:color="auto"/>
        <w:bottom w:val="none" w:sz="0" w:space="0" w:color="auto"/>
        <w:right w:val="none" w:sz="0" w:space="0" w:color="auto"/>
      </w:divBdr>
    </w:div>
    <w:div w:id="1107626095">
      <w:bodyDiv w:val="1"/>
      <w:marLeft w:val="0"/>
      <w:marRight w:val="0"/>
      <w:marTop w:val="0"/>
      <w:marBottom w:val="0"/>
      <w:divBdr>
        <w:top w:val="none" w:sz="0" w:space="0" w:color="auto"/>
        <w:left w:val="none" w:sz="0" w:space="0" w:color="auto"/>
        <w:bottom w:val="none" w:sz="0" w:space="0" w:color="auto"/>
        <w:right w:val="none" w:sz="0" w:space="0" w:color="auto"/>
      </w:divBdr>
    </w:div>
    <w:div w:id="1107652323">
      <w:bodyDiv w:val="1"/>
      <w:marLeft w:val="0"/>
      <w:marRight w:val="0"/>
      <w:marTop w:val="0"/>
      <w:marBottom w:val="0"/>
      <w:divBdr>
        <w:top w:val="none" w:sz="0" w:space="0" w:color="auto"/>
        <w:left w:val="none" w:sz="0" w:space="0" w:color="auto"/>
        <w:bottom w:val="none" w:sz="0" w:space="0" w:color="auto"/>
        <w:right w:val="none" w:sz="0" w:space="0" w:color="auto"/>
      </w:divBdr>
    </w:div>
    <w:div w:id="1108695139">
      <w:bodyDiv w:val="1"/>
      <w:marLeft w:val="0"/>
      <w:marRight w:val="0"/>
      <w:marTop w:val="0"/>
      <w:marBottom w:val="0"/>
      <w:divBdr>
        <w:top w:val="none" w:sz="0" w:space="0" w:color="auto"/>
        <w:left w:val="none" w:sz="0" w:space="0" w:color="auto"/>
        <w:bottom w:val="none" w:sz="0" w:space="0" w:color="auto"/>
        <w:right w:val="none" w:sz="0" w:space="0" w:color="auto"/>
      </w:divBdr>
    </w:div>
    <w:div w:id="1109277617">
      <w:bodyDiv w:val="1"/>
      <w:marLeft w:val="0"/>
      <w:marRight w:val="0"/>
      <w:marTop w:val="0"/>
      <w:marBottom w:val="0"/>
      <w:divBdr>
        <w:top w:val="none" w:sz="0" w:space="0" w:color="auto"/>
        <w:left w:val="none" w:sz="0" w:space="0" w:color="auto"/>
        <w:bottom w:val="none" w:sz="0" w:space="0" w:color="auto"/>
        <w:right w:val="none" w:sz="0" w:space="0" w:color="auto"/>
      </w:divBdr>
    </w:div>
    <w:div w:id="1110003287">
      <w:bodyDiv w:val="1"/>
      <w:marLeft w:val="0"/>
      <w:marRight w:val="0"/>
      <w:marTop w:val="0"/>
      <w:marBottom w:val="0"/>
      <w:divBdr>
        <w:top w:val="none" w:sz="0" w:space="0" w:color="auto"/>
        <w:left w:val="none" w:sz="0" w:space="0" w:color="auto"/>
        <w:bottom w:val="none" w:sz="0" w:space="0" w:color="auto"/>
        <w:right w:val="none" w:sz="0" w:space="0" w:color="auto"/>
      </w:divBdr>
    </w:div>
    <w:div w:id="1110970218">
      <w:bodyDiv w:val="1"/>
      <w:marLeft w:val="0"/>
      <w:marRight w:val="0"/>
      <w:marTop w:val="0"/>
      <w:marBottom w:val="0"/>
      <w:divBdr>
        <w:top w:val="none" w:sz="0" w:space="0" w:color="auto"/>
        <w:left w:val="none" w:sz="0" w:space="0" w:color="auto"/>
        <w:bottom w:val="none" w:sz="0" w:space="0" w:color="auto"/>
        <w:right w:val="none" w:sz="0" w:space="0" w:color="auto"/>
      </w:divBdr>
    </w:div>
    <w:div w:id="1113748331">
      <w:bodyDiv w:val="1"/>
      <w:marLeft w:val="0"/>
      <w:marRight w:val="0"/>
      <w:marTop w:val="0"/>
      <w:marBottom w:val="0"/>
      <w:divBdr>
        <w:top w:val="none" w:sz="0" w:space="0" w:color="auto"/>
        <w:left w:val="none" w:sz="0" w:space="0" w:color="auto"/>
        <w:bottom w:val="none" w:sz="0" w:space="0" w:color="auto"/>
        <w:right w:val="none" w:sz="0" w:space="0" w:color="auto"/>
      </w:divBdr>
    </w:div>
    <w:div w:id="1115947877">
      <w:bodyDiv w:val="1"/>
      <w:marLeft w:val="0"/>
      <w:marRight w:val="0"/>
      <w:marTop w:val="0"/>
      <w:marBottom w:val="0"/>
      <w:divBdr>
        <w:top w:val="none" w:sz="0" w:space="0" w:color="auto"/>
        <w:left w:val="none" w:sz="0" w:space="0" w:color="auto"/>
        <w:bottom w:val="none" w:sz="0" w:space="0" w:color="auto"/>
        <w:right w:val="none" w:sz="0" w:space="0" w:color="auto"/>
      </w:divBdr>
    </w:div>
    <w:div w:id="1118328393">
      <w:bodyDiv w:val="1"/>
      <w:marLeft w:val="0"/>
      <w:marRight w:val="0"/>
      <w:marTop w:val="0"/>
      <w:marBottom w:val="0"/>
      <w:divBdr>
        <w:top w:val="none" w:sz="0" w:space="0" w:color="auto"/>
        <w:left w:val="none" w:sz="0" w:space="0" w:color="auto"/>
        <w:bottom w:val="none" w:sz="0" w:space="0" w:color="auto"/>
        <w:right w:val="none" w:sz="0" w:space="0" w:color="auto"/>
      </w:divBdr>
    </w:div>
    <w:div w:id="1122769784">
      <w:bodyDiv w:val="1"/>
      <w:marLeft w:val="0"/>
      <w:marRight w:val="0"/>
      <w:marTop w:val="0"/>
      <w:marBottom w:val="0"/>
      <w:divBdr>
        <w:top w:val="none" w:sz="0" w:space="0" w:color="auto"/>
        <w:left w:val="none" w:sz="0" w:space="0" w:color="auto"/>
        <w:bottom w:val="none" w:sz="0" w:space="0" w:color="auto"/>
        <w:right w:val="none" w:sz="0" w:space="0" w:color="auto"/>
      </w:divBdr>
    </w:div>
    <w:div w:id="1125738038">
      <w:bodyDiv w:val="1"/>
      <w:marLeft w:val="0"/>
      <w:marRight w:val="0"/>
      <w:marTop w:val="0"/>
      <w:marBottom w:val="0"/>
      <w:divBdr>
        <w:top w:val="none" w:sz="0" w:space="0" w:color="auto"/>
        <w:left w:val="none" w:sz="0" w:space="0" w:color="auto"/>
        <w:bottom w:val="none" w:sz="0" w:space="0" w:color="auto"/>
        <w:right w:val="none" w:sz="0" w:space="0" w:color="auto"/>
      </w:divBdr>
    </w:div>
    <w:div w:id="1127433902">
      <w:bodyDiv w:val="1"/>
      <w:marLeft w:val="0"/>
      <w:marRight w:val="0"/>
      <w:marTop w:val="0"/>
      <w:marBottom w:val="0"/>
      <w:divBdr>
        <w:top w:val="none" w:sz="0" w:space="0" w:color="auto"/>
        <w:left w:val="none" w:sz="0" w:space="0" w:color="auto"/>
        <w:bottom w:val="none" w:sz="0" w:space="0" w:color="auto"/>
        <w:right w:val="none" w:sz="0" w:space="0" w:color="auto"/>
      </w:divBdr>
    </w:div>
    <w:div w:id="1127578695">
      <w:bodyDiv w:val="1"/>
      <w:marLeft w:val="0"/>
      <w:marRight w:val="0"/>
      <w:marTop w:val="0"/>
      <w:marBottom w:val="0"/>
      <w:divBdr>
        <w:top w:val="none" w:sz="0" w:space="0" w:color="auto"/>
        <w:left w:val="none" w:sz="0" w:space="0" w:color="auto"/>
        <w:bottom w:val="none" w:sz="0" w:space="0" w:color="auto"/>
        <w:right w:val="none" w:sz="0" w:space="0" w:color="auto"/>
      </w:divBdr>
    </w:div>
    <w:div w:id="1128206997">
      <w:bodyDiv w:val="1"/>
      <w:marLeft w:val="0"/>
      <w:marRight w:val="0"/>
      <w:marTop w:val="0"/>
      <w:marBottom w:val="0"/>
      <w:divBdr>
        <w:top w:val="none" w:sz="0" w:space="0" w:color="auto"/>
        <w:left w:val="none" w:sz="0" w:space="0" w:color="auto"/>
        <w:bottom w:val="none" w:sz="0" w:space="0" w:color="auto"/>
        <w:right w:val="none" w:sz="0" w:space="0" w:color="auto"/>
      </w:divBdr>
    </w:div>
    <w:div w:id="1128889348">
      <w:bodyDiv w:val="1"/>
      <w:marLeft w:val="0"/>
      <w:marRight w:val="0"/>
      <w:marTop w:val="0"/>
      <w:marBottom w:val="0"/>
      <w:divBdr>
        <w:top w:val="none" w:sz="0" w:space="0" w:color="auto"/>
        <w:left w:val="none" w:sz="0" w:space="0" w:color="auto"/>
        <w:bottom w:val="none" w:sz="0" w:space="0" w:color="auto"/>
        <w:right w:val="none" w:sz="0" w:space="0" w:color="auto"/>
      </w:divBdr>
    </w:div>
    <w:div w:id="1129125582">
      <w:bodyDiv w:val="1"/>
      <w:marLeft w:val="0"/>
      <w:marRight w:val="0"/>
      <w:marTop w:val="0"/>
      <w:marBottom w:val="0"/>
      <w:divBdr>
        <w:top w:val="none" w:sz="0" w:space="0" w:color="auto"/>
        <w:left w:val="none" w:sz="0" w:space="0" w:color="auto"/>
        <w:bottom w:val="none" w:sz="0" w:space="0" w:color="auto"/>
        <w:right w:val="none" w:sz="0" w:space="0" w:color="auto"/>
      </w:divBdr>
    </w:div>
    <w:div w:id="1135291456">
      <w:bodyDiv w:val="1"/>
      <w:marLeft w:val="0"/>
      <w:marRight w:val="0"/>
      <w:marTop w:val="0"/>
      <w:marBottom w:val="0"/>
      <w:divBdr>
        <w:top w:val="none" w:sz="0" w:space="0" w:color="auto"/>
        <w:left w:val="none" w:sz="0" w:space="0" w:color="auto"/>
        <w:bottom w:val="none" w:sz="0" w:space="0" w:color="auto"/>
        <w:right w:val="none" w:sz="0" w:space="0" w:color="auto"/>
      </w:divBdr>
    </w:div>
    <w:div w:id="1138495316">
      <w:bodyDiv w:val="1"/>
      <w:marLeft w:val="0"/>
      <w:marRight w:val="0"/>
      <w:marTop w:val="0"/>
      <w:marBottom w:val="0"/>
      <w:divBdr>
        <w:top w:val="none" w:sz="0" w:space="0" w:color="auto"/>
        <w:left w:val="none" w:sz="0" w:space="0" w:color="auto"/>
        <w:bottom w:val="none" w:sz="0" w:space="0" w:color="auto"/>
        <w:right w:val="none" w:sz="0" w:space="0" w:color="auto"/>
      </w:divBdr>
    </w:div>
    <w:div w:id="1138719217">
      <w:bodyDiv w:val="1"/>
      <w:marLeft w:val="0"/>
      <w:marRight w:val="0"/>
      <w:marTop w:val="0"/>
      <w:marBottom w:val="0"/>
      <w:divBdr>
        <w:top w:val="none" w:sz="0" w:space="0" w:color="auto"/>
        <w:left w:val="none" w:sz="0" w:space="0" w:color="auto"/>
        <w:bottom w:val="none" w:sz="0" w:space="0" w:color="auto"/>
        <w:right w:val="none" w:sz="0" w:space="0" w:color="auto"/>
      </w:divBdr>
    </w:div>
    <w:div w:id="1142580018">
      <w:bodyDiv w:val="1"/>
      <w:marLeft w:val="0"/>
      <w:marRight w:val="0"/>
      <w:marTop w:val="0"/>
      <w:marBottom w:val="0"/>
      <w:divBdr>
        <w:top w:val="none" w:sz="0" w:space="0" w:color="auto"/>
        <w:left w:val="none" w:sz="0" w:space="0" w:color="auto"/>
        <w:bottom w:val="none" w:sz="0" w:space="0" w:color="auto"/>
        <w:right w:val="none" w:sz="0" w:space="0" w:color="auto"/>
      </w:divBdr>
    </w:div>
    <w:div w:id="1143038232">
      <w:bodyDiv w:val="1"/>
      <w:marLeft w:val="0"/>
      <w:marRight w:val="0"/>
      <w:marTop w:val="0"/>
      <w:marBottom w:val="0"/>
      <w:divBdr>
        <w:top w:val="none" w:sz="0" w:space="0" w:color="auto"/>
        <w:left w:val="none" w:sz="0" w:space="0" w:color="auto"/>
        <w:bottom w:val="none" w:sz="0" w:space="0" w:color="auto"/>
        <w:right w:val="none" w:sz="0" w:space="0" w:color="auto"/>
      </w:divBdr>
    </w:div>
    <w:div w:id="1145969182">
      <w:bodyDiv w:val="1"/>
      <w:marLeft w:val="0"/>
      <w:marRight w:val="0"/>
      <w:marTop w:val="0"/>
      <w:marBottom w:val="0"/>
      <w:divBdr>
        <w:top w:val="none" w:sz="0" w:space="0" w:color="auto"/>
        <w:left w:val="none" w:sz="0" w:space="0" w:color="auto"/>
        <w:bottom w:val="none" w:sz="0" w:space="0" w:color="auto"/>
        <w:right w:val="none" w:sz="0" w:space="0" w:color="auto"/>
      </w:divBdr>
    </w:div>
    <w:div w:id="1146893796">
      <w:bodyDiv w:val="1"/>
      <w:marLeft w:val="0"/>
      <w:marRight w:val="0"/>
      <w:marTop w:val="0"/>
      <w:marBottom w:val="0"/>
      <w:divBdr>
        <w:top w:val="none" w:sz="0" w:space="0" w:color="auto"/>
        <w:left w:val="none" w:sz="0" w:space="0" w:color="auto"/>
        <w:bottom w:val="none" w:sz="0" w:space="0" w:color="auto"/>
        <w:right w:val="none" w:sz="0" w:space="0" w:color="auto"/>
      </w:divBdr>
    </w:div>
    <w:div w:id="1146966931">
      <w:bodyDiv w:val="1"/>
      <w:marLeft w:val="0"/>
      <w:marRight w:val="0"/>
      <w:marTop w:val="0"/>
      <w:marBottom w:val="0"/>
      <w:divBdr>
        <w:top w:val="none" w:sz="0" w:space="0" w:color="auto"/>
        <w:left w:val="none" w:sz="0" w:space="0" w:color="auto"/>
        <w:bottom w:val="none" w:sz="0" w:space="0" w:color="auto"/>
        <w:right w:val="none" w:sz="0" w:space="0" w:color="auto"/>
      </w:divBdr>
    </w:div>
    <w:div w:id="1148549592">
      <w:bodyDiv w:val="1"/>
      <w:marLeft w:val="0"/>
      <w:marRight w:val="0"/>
      <w:marTop w:val="0"/>
      <w:marBottom w:val="0"/>
      <w:divBdr>
        <w:top w:val="none" w:sz="0" w:space="0" w:color="auto"/>
        <w:left w:val="none" w:sz="0" w:space="0" w:color="auto"/>
        <w:bottom w:val="none" w:sz="0" w:space="0" w:color="auto"/>
        <w:right w:val="none" w:sz="0" w:space="0" w:color="auto"/>
      </w:divBdr>
    </w:div>
    <w:div w:id="1150095057">
      <w:bodyDiv w:val="1"/>
      <w:marLeft w:val="0"/>
      <w:marRight w:val="0"/>
      <w:marTop w:val="0"/>
      <w:marBottom w:val="0"/>
      <w:divBdr>
        <w:top w:val="none" w:sz="0" w:space="0" w:color="auto"/>
        <w:left w:val="none" w:sz="0" w:space="0" w:color="auto"/>
        <w:bottom w:val="none" w:sz="0" w:space="0" w:color="auto"/>
        <w:right w:val="none" w:sz="0" w:space="0" w:color="auto"/>
      </w:divBdr>
    </w:div>
    <w:div w:id="1150634283">
      <w:bodyDiv w:val="1"/>
      <w:marLeft w:val="0"/>
      <w:marRight w:val="0"/>
      <w:marTop w:val="0"/>
      <w:marBottom w:val="0"/>
      <w:divBdr>
        <w:top w:val="none" w:sz="0" w:space="0" w:color="auto"/>
        <w:left w:val="none" w:sz="0" w:space="0" w:color="auto"/>
        <w:bottom w:val="none" w:sz="0" w:space="0" w:color="auto"/>
        <w:right w:val="none" w:sz="0" w:space="0" w:color="auto"/>
      </w:divBdr>
    </w:div>
    <w:div w:id="1155607361">
      <w:bodyDiv w:val="1"/>
      <w:marLeft w:val="0"/>
      <w:marRight w:val="0"/>
      <w:marTop w:val="0"/>
      <w:marBottom w:val="0"/>
      <w:divBdr>
        <w:top w:val="none" w:sz="0" w:space="0" w:color="auto"/>
        <w:left w:val="none" w:sz="0" w:space="0" w:color="auto"/>
        <w:bottom w:val="none" w:sz="0" w:space="0" w:color="auto"/>
        <w:right w:val="none" w:sz="0" w:space="0" w:color="auto"/>
      </w:divBdr>
    </w:div>
    <w:div w:id="1156074707">
      <w:bodyDiv w:val="1"/>
      <w:marLeft w:val="0"/>
      <w:marRight w:val="0"/>
      <w:marTop w:val="0"/>
      <w:marBottom w:val="0"/>
      <w:divBdr>
        <w:top w:val="none" w:sz="0" w:space="0" w:color="auto"/>
        <w:left w:val="none" w:sz="0" w:space="0" w:color="auto"/>
        <w:bottom w:val="none" w:sz="0" w:space="0" w:color="auto"/>
        <w:right w:val="none" w:sz="0" w:space="0" w:color="auto"/>
      </w:divBdr>
    </w:div>
    <w:div w:id="1158768913">
      <w:bodyDiv w:val="1"/>
      <w:marLeft w:val="0"/>
      <w:marRight w:val="0"/>
      <w:marTop w:val="0"/>
      <w:marBottom w:val="0"/>
      <w:divBdr>
        <w:top w:val="none" w:sz="0" w:space="0" w:color="auto"/>
        <w:left w:val="none" w:sz="0" w:space="0" w:color="auto"/>
        <w:bottom w:val="none" w:sz="0" w:space="0" w:color="auto"/>
        <w:right w:val="none" w:sz="0" w:space="0" w:color="auto"/>
      </w:divBdr>
    </w:div>
    <w:div w:id="1159613065">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710364">
      <w:bodyDiv w:val="1"/>
      <w:marLeft w:val="0"/>
      <w:marRight w:val="0"/>
      <w:marTop w:val="0"/>
      <w:marBottom w:val="0"/>
      <w:divBdr>
        <w:top w:val="none" w:sz="0" w:space="0" w:color="auto"/>
        <w:left w:val="none" w:sz="0" w:space="0" w:color="auto"/>
        <w:bottom w:val="none" w:sz="0" w:space="0" w:color="auto"/>
        <w:right w:val="none" w:sz="0" w:space="0" w:color="auto"/>
      </w:divBdr>
    </w:div>
    <w:div w:id="1168596880">
      <w:bodyDiv w:val="1"/>
      <w:marLeft w:val="0"/>
      <w:marRight w:val="0"/>
      <w:marTop w:val="0"/>
      <w:marBottom w:val="0"/>
      <w:divBdr>
        <w:top w:val="none" w:sz="0" w:space="0" w:color="auto"/>
        <w:left w:val="none" w:sz="0" w:space="0" w:color="auto"/>
        <w:bottom w:val="none" w:sz="0" w:space="0" w:color="auto"/>
        <w:right w:val="none" w:sz="0" w:space="0" w:color="auto"/>
      </w:divBdr>
    </w:div>
    <w:div w:id="1170170238">
      <w:bodyDiv w:val="1"/>
      <w:marLeft w:val="0"/>
      <w:marRight w:val="0"/>
      <w:marTop w:val="0"/>
      <w:marBottom w:val="0"/>
      <w:divBdr>
        <w:top w:val="none" w:sz="0" w:space="0" w:color="auto"/>
        <w:left w:val="none" w:sz="0" w:space="0" w:color="auto"/>
        <w:bottom w:val="none" w:sz="0" w:space="0" w:color="auto"/>
        <w:right w:val="none" w:sz="0" w:space="0" w:color="auto"/>
      </w:divBdr>
    </w:div>
    <w:div w:id="117094888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5922974">
      <w:bodyDiv w:val="1"/>
      <w:marLeft w:val="0"/>
      <w:marRight w:val="0"/>
      <w:marTop w:val="0"/>
      <w:marBottom w:val="0"/>
      <w:divBdr>
        <w:top w:val="none" w:sz="0" w:space="0" w:color="auto"/>
        <w:left w:val="none" w:sz="0" w:space="0" w:color="auto"/>
        <w:bottom w:val="none" w:sz="0" w:space="0" w:color="auto"/>
        <w:right w:val="none" w:sz="0" w:space="0" w:color="auto"/>
      </w:divBdr>
    </w:div>
    <w:div w:id="1177039577">
      <w:bodyDiv w:val="1"/>
      <w:marLeft w:val="0"/>
      <w:marRight w:val="0"/>
      <w:marTop w:val="0"/>
      <w:marBottom w:val="0"/>
      <w:divBdr>
        <w:top w:val="none" w:sz="0" w:space="0" w:color="auto"/>
        <w:left w:val="none" w:sz="0" w:space="0" w:color="auto"/>
        <w:bottom w:val="none" w:sz="0" w:space="0" w:color="auto"/>
        <w:right w:val="none" w:sz="0" w:space="0" w:color="auto"/>
      </w:divBdr>
    </w:div>
    <w:div w:id="1177311164">
      <w:bodyDiv w:val="1"/>
      <w:marLeft w:val="0"/>
      <w:marRight w:val="0"/>
      <w:marTop w:val="0"/>
      <w:marBottom w:val="0"/>
      <w:divBdr>
        <w:top w:val="none" w:sz="0" w:space="0" w:color="auto"/>
        <w:left w:val="none" w:sz="0" w:space="0" w:color="auto"/>
        <w:bottom w:val="none" w:sz="0" w:space="0" w:color="auto"/>
        <w:right w:val="none" w:sz="0" w:space="0" w:color="auto"/>
      </w:divBdr>
    </w:div>
    <w:div w:id="1178425050">
      <w:bodyDiv w:val="1"/>
      <w:marLeft w:val="0"/>
      <w:marRight w:val="0"/>
      <w:marTop w:val="0"/>
      <w:marBottom w:val="0"/>
      <w:divBdr>
        <w:top w:val="none" w:sz="0" w:space="0" w:color="auto"/>
        <w:left w:val="none" w:sz="0" w:space="0" w:color="auto"/>
        <w:bottom w:val="none" w:sz="0" w:space="0" w:color="auto"/>
        <w:right w:val="none" w:sz="0" w:space="0" w:color="auto"/>
      </w:divBdr>
    </w:div>
    <w:div w:id="1179271656">
      <w:bodyDiv w:val="1"/>
      <w:marLeft w:val="0"/>
      <w:marRight w:val="0"/>
      <w:marTop w:val="0"/>
      <w:marBottom w:val="0"/>
      <w:divBdr>
        <w:top w:val="none" w:sz="0" w:space="0" w:color="auto"/>
        <w:left w:val="none" w:sz="0" w:space="0" w:color="auto"/>
        <w:bottom w:val="none" w:sz="0" w:space="0" w:color="auto"/>
        <w:right w:val="none" w:sz="0" w:space="0" w:color="auto"/>
      </w:divBdr>
    </w:div>
    <w:div w:id="1179466757">
      <w:bodyDiv w:val="1"/>
      <w:marLeft w:val="0"/>
      <w:marRight w:val="0"/>
      <w:marTop w:val="0"/>
      <w:marBottom w:val="0"/>
      <w:divBdr>
        <w:top w:val="none" w:sz="0" w:space="0" w:color="auto"/>
        <w:left w:val="none" w:sz="0" w:space="0" w:color="auto"/>
        <w:bottom w:val="none" w:sz="0" w:space="0" w:color="auto"/>
        <w:right w:val="none" w:sz="0" w:space="0" w:color="auto"/>
      </w:divBdr>
    </w:div>
    <w:div w:id="1183588979">
      <w:bodyDiv w:val="1"/>
      <w:marLeft w:val="0"/>
      <w:marRight w:val="0"/>
      <w:marTop w:val="0"/>
      <w:marBottom w:val="0"/>
      <w:divBdr>
        <w:top w:val="none" w:sz="0" w:space="0" w:color="auto"/>
        <w:left w:val="none" w:sz="0" w:space="0" w:color="auto"/>
        <w:bottom w:val="none" w:sz="0" w:space="0" w:color="auto"/>
        <w:right w:val="none" w:sz="0" w:space="0" w:color="auto"/>
      </w:divBdr>
    </w:div>
    <w:div w:id="1184439813">
      <w:bodyDiv w:val="1"/>
      <w:marLeft w:val="0"/>
      <w:marRight w:val="0"/>
      <w:marTop w:val="0"/>
      <w:marBottom w:val="0"/>
      <w:divBdr>
        <w:top w:val="none" w:sz="0" w:space="0" w:color="auto"/>
        <w:left w:val="none" w:sz="0" w:space="0" w:color="auto"/>
        <w:bottom w:val="none" w:sz="0" w:space="0" w:color="auto"/>
        <w:right w:val="none" w:sz="0" w:space="0" w:color="auto"/>
      </w:divBdr>
    </w:div>
    <w:div w:id="1188643153">
      <w:bodyDiv w:val="1"/>
      <w:marLeft w:val="0"/>
      <w:marRight w:val="0"/>
      <w:marTop w:val="0"/>
      <w:marBottom w:val="0"/>
      <w:divBdr>
        <w:top w:val="none" w:sz="0" w:space="0" w:color="auto"/>
        <w:left w:val="none" w:sz="0" w:space="0" w:color="auto"/>
        <w:bottom w:val="none" w:sz="0" w:space="0" w:color="auto"/>
        <w:right w:val="none" w:sz="0" w:space="0" w:color="auto"/>
      </w:divBdr>
    </w:div>
    <w:div w:id="119014041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21592">
      <w:bodyDiv w:val="1"/>
      <w:marLeft w:val="0"/>
      <w:marRight w:val="0"/>
      <w:marTop w:val="0"/>
      <w:marBottom w:val="0"/>
      <w:divBdr>
        <w:top w:val="none" w:sz="0" w:space="0" w:color="auto"/>
        <w:left w:val="none" w:sz="0" w:space="0" w:color="auto"/>
        <w:bottom w:val="none" w:sz="0" w:space="0" w:color="auto"/>
        <w:right w:val="none" w:sz="0" w:space="0" w:color="auto"/>
      </w:divBdr>
    </w:div>
    <w:div w:id="1191601352">
      <w:bodyDiv w:val="1"/>
      <w:marLeft w:val="0"/>
      <w:marRight w:val="0"/>
      <w:marTop w:val="0"/>
      <w:marBottom w:val="0"/>
      <w:divBdr>
        <w:top w:val="none" w:sz="0" w:space="0" w:color="auto"/>
        <w:left w:val="none" w:sz="0" w:space="0" w:color="auto"/>
        <w:bottom w:val="none" w:sz="0" w:space="0" w:color="auto"/>
        <w:right w:val="none" w:sz="0" w:space="0" w:color="auto"/>
      </w:divBdr>
    </w:div>
    <w:div w:id="1191608206">
      <w:bodyDiv w:val="1"/>
      <w:marLeft w:val="0"/>
      <w:marRight w:val="0"/>
      <w:marTop w:val="0"/>
      <w:marBottom w:val="0"/>
      <w:divBdr>
        <w:top w:val="none" w:sz="0" w:space="0" w:color="auto"/>
        <w:left w:val="none" w:sz="0" w:space="0" w:color="auto"/>
        <w:bottom w:val="none" w:sz="0" w:space="0" w:color="auto"/>
        <w:right w:val="none" w:sz="0" w:space="0" w:color="auto"/>
      </w:divBdr>
    </w:div>
    <w:div w:id="1193374680">
      <w:bodyDiv w:val="1"/>
      <w:marLeft w:val="0"/>
      <w:marRight w:val="0"/>
      <w:marTop w:val="0"/>
      <w:marBottom w:val="0"/>
      <w:divBdr>
        <w:top w:val="none" w:sz="0" w:space="0" w:color="auto"/>
        <w:left w:val="none" w:sz="0" w:space="0" w:color="auto"/>
        <w:bottom w:val="none" w:sz="0" w:space="0" w:color="auto"/>
        <w:right w:val="none" w:sz="0" w:space="0" w:color="auto"/>
      </w:divBdr>
    </w:div>
    <w:div w:id="1193957359">
      <w:bodyDiv w:val="1"/>
      <w:marLeft w:val="0"/>
      <w:marRight w:val="0"/>
      <w:marTop w:val="0"/>
      <w:marBottom w:val="0"/>
      <w:divBdr>
        <w:top w:val="none" w:sz="0" w:space="0" w:color="auto"/>
        <w:left w:val="none" w:sz="0" w:space="0" w:color="auto"/>
        <w:bottom w:val="none" w:sz="0" w:space="0" w:color="auto"/>
        <w:right w:val="none" w:sz="0" w:space="0" w:color="auto"/>
      </w:divBdr>
    </w:div>
    <w:div w:id="1195116253">
      <w:bodyDiv w:val="1"/>
      <w:marLeft w:val="0"/>
      <w:marRight w:val="0"/>
      <w:marTop w:val="0"/>
      <w:marBottom w:val="0"/>
      <w:divBdr>
        <w:top w:val="none" w:sz="0" w:space="0" w:color="auto"/>
        <w:left w:val="none" w:sz="0" w:space="0" w:color="auto"/>
        <w:bottom w:val="none" w:sz="0" w:space="0" w:color="auto"/>
        <w:right w:val="none" w:sz="0" w:space="0" w:color="auto"/>
      </w:divBdr>
    </w:div>
    <w:div w:id="1196887998">
      <w:bodyDiv w:val="1"/>
      <w:marLeft w:val="0"/>
      <w:marRight w:val="0"/>
      <w:marTop w:val="0"/>
      <w:marBottom w:val="0"/>
      <w:divBdr>
        <w:top w:val="none" w:sz="0" w:space="0" w:color="auto"/>
        <w:left w:val="none" w:sz="0" w:space="0" w:color="auto"/>
        <w:bottom w:val="none" w:sz="0" w:space="0" w:color="auto"/>
        <w:right w:val="none" w:sz="0" w:space="0" w:color="auto"/>
      </w:divBdr>
    </w:div>
    <w:div w:id="1197036210">
      <w:bodyDiv w:val="1"/>
      <w:marLeft w:val="0"/>
      <w:marRight w:val="0"/>
      <w:marTop w:val="0"/>
      <w:marBottom w:val="0"/>
      <w:divBdr>
        <w:top w:val="none" w:sz="0" w:space="0" w:color="auto"/>
        <w:left w:val="none" w:sz="0" w:space="0" w:color="auto"/>
        <w:bottom w:val="none" w:sz="0" w:space="0" w:color="auto"/>
        <w:right w:val="none" w:sz="0" w:space="0" w:color="auto"/>
      </w:divBdr>
    </w:div>
    <w:div w:id="1197696829">
      <w:bodyDiv w:val="1"/>
      <w:marLeft w:val="0"/>
      <w:marRight w:val="0"/>
      <w:marTop w:val="0"/>
      <w:marBottom w:val="0"/>
      <w:divBdr>
        <w:top w:val="none" w:sz="0" w:space="0" w:color="auto"/>
        <w:left w:val="none" w:sz="0" w:space="0" w:color="auto"/>
        <w:bottom w:val="none" w:sz="0" w:space="0" w:color="auto"/>
        <w:right w:val="none" w:sz="0" w:space="0" w:color="auto"/>
      </w:divBdr>
    </w:div>
    <w:div w:id="1199321238">
      <w:bodyDiv w:val="1"/>
      <w:marLeft w:val="0"/>
      <w:marRight w:val="0"/>
      <w:marTop w:val="0"/>
      <w:marBottom w:val="0"/>
      <w:divBdr>
        <w:top w:val="none" w:sz="0" w:space="0" w:color="auto"/>
        <w:left w:val="none" w:sz="0" w:space="0" w:color="auto"/>
        <w:bottom w:val="none" w:sz="0" w:space="0" w:color="auto"/>
        <w:right w:val="none" w:sz="0" w:space="0" w:color="auto"/>
      </w:divBdr>
    </w:div>
    <w:div w:id="1203128473">
      <w:bodyDiv w:val="1"/>
      <w:marLeft w:val="0"/>
      <w:marRight w:val="0"/>
      <w:marTop w:val="0"/>
      <w:marBottom w:val="0"/>
      <w:divBdr>
        <w:top w:val="none" w:sz="0" w:space="0" w:color="auto"/>
        <w:left w:val="none" w:sz="0" w:space="0" w:color="auto"/>
        <w:bottom w:val="none" w:sz="0" w:space="0" w:color="auto"/>
        <w:right w:val="none" w:sz="0" w:space="0" w:color="auto"/>
      </w:divBdr>
    </w:div>
    <w:div w:id="1203324054">
      <w:bodyDiv w:val="1"/>
      <w:marLeft w:val="0"/>
      <w:marRight w:val="0"/>
      <w:marTop w:val="0"/>
      <w:marBottom w:val="0"/>
      <w:divBdr>
        <w:top w:val="none" w:sz="0" w:space="0" w:color="auto"/>
        <w:left w:val="none" w:sz="0" w:space="0" w:color="auto"/>
        <w:bottom w:val="none" w:sz="0" w:space="0" w:color="auto"/>
        <w:right w:val="none" w:sz="0" w:space="0" w:color="auto"/>
      </w:divBdr>
    </w:div>
    <w:div w:id="1203441611">
      <w:bodyDiv w:val="1"/>
      <w:marLeft w:val="0"/>
      <w:marRight w:val="0"/>
      <w:marTop w:val="0"/>
      <w:marBottom w:val="0"/>
      <w:divBdr>
        <w:top w:val="none" w:sz="0" w:space="0" w:color="auto"/>
        <w:left w:val="none" w:sz="0" w:space="0" w:color="auto"/>
        <w:bottom w:val="none" w:sz="0" w:space="0" w:color="auto"/>
        <w:right w:val="none" w:sz="0" w:space="0" w:color="auto"/>
      </w:divBdr>
    </w:div>
    <w:div w:id="1203786169">
      <w:bodyDiv w:val="1"/>
      <w:marLeft w:val="0"/>
      <w:marRight w:val="0"/>
      <w:marTop w:val="0"/>
      <w:marBottom w:val="0"/>
      <w:divBdr>
        <w:top w:val="none" w:sz="0" w:space="0" w:color="auto"/>
        <w:left w:val="none" w:sz="0" w:space="0" w:color="auto"/>
        <w:bottom w:val="none" w:sz="0" w:space="0" w:color="auto"/>
        <w:right w:val="none" w:sz="0" w:space="0" w:color="auto"/>
      </w:divBdr>
    </w:div>
    <w:div w:id="1203981462">
      <w:bodyDiv w:val="1"/>
      <w:marLeft w:val="0"/>
      <w:marRight w:val="0"/>
      <w:marTop w:val="0"/>
      <w:marBottom w:val="0"/>
      <w:divBdr>
        <w:top w:val="none" w:sz="0" w:space="0" w:color="auto"/>
        <w:left w:val="none" w:sz="0" w:space="0" w:color="auto"/>
        <w:bottom w:val="none" w:sz="0" w:space="0" w:color="auto"/>
        <w:right w:val="none" w:sz="0" w:space="0" w:color="auto"/>
      </w:divBdr>
    </w:div>
    <w:div w:id="1208301349">
      <w:bodyDiv w:val="1"/>
      <w:marLeft w:val="0"/>
      <w:marRight w:val="0"/>
      <w:marTop w:val="0"/>
      <w:marBottom w:val="0"/>
      <w:divBdr>
        <w:top w:val="none" w:sz="0" w:space="0" w:color="auto"/>
        <w:left w:val="none" w:sz="0" w:space="0" w:color="auto"/>
        <w:bottom w:val="none" w:sz="0" w:space="0" w:color="auto"/>
        <w:right w:val="none" w:sz="0" w:space="0" w:color="auto"/>
      </w:divBdr>
    </w:div>
    <w:div w:id="1208831975">
      <w:bodyDiv w:val="1"/>
      <w:marLeft w:val="0"/>
      <w:marRight w:val="0"/>
      <w:marTop w:val="0"/>
      <w:marBottom w:val="0"/>
      <w:divBdr>
        <w:top w:val="none" w:sz="0" w:space="0" w:color="auto"/>
        <w:left w:val="none" w:sz="0" w:space="0" w:color="auto"/>
        <w:bottom w:val="none" w:sz="0" w:space="0" w:color="auto"/>
        <w:right w:val="none" w:sz="0" w:space="0" w:color="auto"/>
      </w:divBdr>
    </w:div>
    <w:div w:id="1209075535">
      <w:bodyDiv w:val="1"/>
      <w:marLeft w:val="0"/>
      <w:marRight w:val="0"/>
      <w:marTop w:val="0"/>
      <w:marBottom w:val="0"/>
      <w:divBdr>
        <w:top w:val="none" w:sz="0" w:space="0" w:color="auto"/>
        <w:left w:val="none" w:sz="0" w:space="0" w:color="auto"/>
        <w:bottom w:val="none" w:sz="0" w:space="0" w:color="auto"/>
        <w:right w:val="none" w:sz="0" w:space="0" w:color="auto"/>
      </w:divBdr>
    </w:div>
    <w:div w:id="1210000123">
      <w:bodyDiv w:val="1"/>
      <w:marLeft w:val="0"/>
      <w:marRight w:val="0"/>
      <w:marTop w:val="0"/>
      <w:marBottom w:val="0"/>
      <w:divBdr>
        <w:top w:val="none" w:sz="0" w:space="0" w:color="auto"/>
        <w:left w:val="none" w:sz="0" w:space="0" w:color="auto"/>
        <w:bottom w:val="none" w:sz="0" w:space="0" w:color="auto"/>
        <w:right w:val="none" w:sz="0" w:space="0" w:color="auto"/>
      </w:divBdr>
    </w:div>
    <w:div w:id="1211771385">
      <w:bodyDiv w:val="1"/>
      <w:marLeft w:val="0"/>
      <w:marRight w:val="0"/>
      <w:marTop w:val="0"/>
      <w:marBottom w:val="0"/>
      <w:divBdr>
        <w:top w:val="none" w:sz="0" w:space="0" w:color="auto"/>
        <w:left w:val="none" w:sz="0" w:space="0" w:color="auto"/>
        <w:bottom w:val="none" w:sz="0" w:space="0" w:color="auto"/>
        <w:right w:val="none" w:sz="0" w:space="0" w:color="auto"/>
      </w:divBdr>
    </w:div>
    <w:div w:id="1212351472">
      <w:bodyDiv w:val="1"/>
      <w:marLeft w:val="0"/>
      <w:marRight w:val="0"/>
      <w:marTop w:val="0"/>
      <w:marBottom w:val="0"/>
      <w:divBdr>
        <w:top w:val="none" w:sz="0" w:space="0" w:color="auto"/>
        <w:left w:val="none" w:sz="0" w:space="0" w:color="auto"/>
        <w:bottom w:val="none" w:sz="0" w:space="0" w:color="auto"/>
        <w:right w:val="none" w:sz="0" w:space="0" w:color="auto"/>
      </w:divBdr>
    </w:div>
    <w:div w:id="1213346751">
      <w:bodyDiv w:val="1"/>
      <w:marLeft w:val="0"/>
      <w:marRight w:val="0"/>
      <w:marTop w:val="0"/>
      <w:marBottom w:val="0"/>
      <w:divBdr>
        <w:top w:val="none" w:sz="0" w:space="0" w:color="auto"/>
        <w:left w:val="none" w:sz="0" w:space="0" w:color="auto"/>
        <w:bottom w:val="none" w:sz="0" w:space="0" w:color="auto"/>
        <w:right w:val="none" w:sz="0" w:space="0" w:color="auto"/>
      </w:divBdr>
    </w:div>
    <w:div w:id="1215847055">
      <w:bodyDiv w:val="1"/>
      <w:marLeft w:val="0"/>
      <w:marRight w:val="0"/>
      <w:marTop w:val="0"/>
      <w:marBottom w:val="0"/>
      <w:divBdr>
        <w:top w:val="none" w:sz="0" w:space="0" w:color="auto"/>
        <w:left w:val="none" w:sz="0" w:space="0" w:color="auto"/>
        <w:bottom w:val="none" w:sz="0" w:space="0" w:color="auto"/>
        <w:right w:val="none" w:sz="0" w:space="0" w:color="auto"/>
      </w:divBdr>
    </w:div>
    <w:div w:id="1216938080">
      <w:bodyDiv w:val="1"/>
      <w:marLeft w:val="0"/>
      <w:marRight w:val="0"/>
      <w:marTop w:val="0"/>
      <w:marBottom w:val="0"/>
      <w:divBdr>
        <w:top w:val="none" w:sz="0" w:space="0" w:color="auto"/>
        <w:left w:val="none" w:sz="0" w:space="0" w:color="auto"/>
        <w:bottom w:val="none" w:sz="0" w:space="0" w:color="auto"/>
        <w:right w:val="none" w:sz="0" w:space="0" w:color="auto"/>
      </w:divBdr>
    </w:div>
    <w:div w:id="1218473307">
      <w:bodyDiv w:val="1"/>
      <w:marLeft w:val="0"/>
      <w:marRight w:val="0"/>
      <w:marTop w:val="0"/>
      <w:marBottom w:val="0"/>
      <w:divBdr>
        <w:top w:val="none" w:sz="0" w:space="0" w:color="auto"/>
        <w:left w:val="none" w:sz="0" w:space="0" w:color="auto"/>
        <w:bottom w:val="none" w:sz="0" w:space="0" w:color="auto"/>
        <w:right w:val="none" w:sz="0" w:space="0" w:color="auto"/>
      </w:divBdr>
    </w:div>
    <w:div w:id="1219391063">
      <w:bodyDiv w:val="1"/>
      <w:marLeft w:val="0"/>
      <w:marRight w:val="0"/>
      <w:marTop w:val="0"/>
      <w:marBottom w:val="0"/>
      <w:divBdr>
        <w:top w:val="none" w:sz="0" w:space="0" w:color="auto"/>
        <w:left w:val="none" w:sz="0" w:space="0" w:color="auto"/>
        <w:bottom w:val="none" w:sz="0" w:space="0" w:color="auto"/>
        <w:right w:val="none" w:sz="0" w:space="0" w:color="auto"/>
      </w:divBdr>
    </w:div>
    <w:div w:id="1220824960">
      <w:bodyDiv w:val="1"/>
      <w:marLeft w:val="0"/>
      <w:marRight w:val="0"/>
      <w:marTop w:val="0"/>
      <w:marBottom w:val="0"/>
      <w:divBdr>
        <w:top w:val="none" w:sz="0" w:space="0" w:color="auto"/>
        <w:left w:val="none" w:sz="0" w:space="0" w:color="auto"/>
        <w:bottom w:val="none" w:sz="0" w:space="0" w:color="auto"/>
        <w:right w:val="none" w:sz="0" w:space="0" w:color="auto"/>
      </w:divBdr>
    </w:div>
    <w:div w:id="1222251226">
      <w:bodyDiv w:val="1"/>
      <w:marLeft w:val="0"/>
      <w:marRight w:val="0"/>
      <w:marTop w:val="0"/>
      <w:marBottom w:val="0"/>
      <w:divBdr>
        <w:top w:val="none" w:sz="0" w:space="0" w:color="auto"/>
        <w:left w:val="none" w:sz="0" w:space="0" w:color="auto"/>
        <w:bottom w:val="none" w:sz="0" w:space="0" w:color="auto"/>
        <w:right w:val="none" w:sz="0" w:space="0" w:color="auto"/>
      </w:divBdr>
    </w:div>
    <w:div w:id="1222717747">
      <w:bodyDiv w:val="1"/>
      <w:marLeft w:val="0"/>
      <w:marRight w:val="0"/>
      <w:marTop w:val="0"/>
      <w:marBottom w:val="0"/>
      <w:divBdr>
        <w:top w:val="none" w:sz="0" w:space="0" w:color="auto"/>
        <w:left w:val="none" w:sz="0" w:space="0" w:color="auto"/>
        <w:bottom w:val="none" w:sz="0" w:space="0" w:color="auto"/>
        <w:right w:val="none" w:sz="0" w:space="0" w:color="auto"/>
      </w:divBdr>
    </w:div>
    <w:div w:id="1225023345">
      <w:bodyDiv w:val="1"/>
      <w:marLeft w:val="0"/>
      <w:marRight w:val="0"/>
      <w:marTop w:val="0"/>
      <w:marBottom w:val="0"/>
      <w:divBdr>
        <w:top w:val="none" w:sz="0" w:space="0" w:color="auto"/>
        <w:left w:val="none" w:sz="0" w:space="0" w:color="auto"/>
        <w:bottom w:val="none" w:sz="0" w:space="0" w:color="auto"/>
        <w:right w:val="none" w:sz="0" w:space="0" w:color="auto"/>
      </w:divBdr>
    </w:div>
    <w:div w:id="1225068575">
      <w:bodyDiv w:val="1"/>
      <w:marLeft w:val="0"/>
      <w:marRight w:val="0"/>
      <w:marTop w:val="0"/>
      <w:marBottom w:val="0"/>
      <w:divBdr>
        <w:top w:val="none" w:sz="0" w:space="0" w:color="auto"/>
        <w:left w:val="none" w:sz="0" w:space="0" w:color="auto"/>
        <w:bottom w:val="none" w:sz="0" w:space="0" w:color="auto"/>
        <w:right w:val="none" w:sz="0" w:space="0" w:color="auto"/>
      </w:divBdr>
    </w:div>
    <w:div w:id="1234001027">
      <w:bodyDiv w:val="1"/>
      <w:marLeft w:val="0"/>
      <w:marRight w:val="0"/>
      <w:marTop w:val="0"/>
      <w:marBottom w:val="0"/>
      <w:divBdr>
        <w:top w:val="none" w:sz="0" w:space="0" w:color="auto"/>
        <w:left w:val="none" w:sz="0" w:space="0" w:color="auto"/>
        <w:bottom w:val="none" w:sz="0" w:space="0" w:color="auto"/>
        <w:right w:val="none" w:sz="0" w:space="0" w:color="auto"/>
      </w:divBdr>
    </w:div>
    <w:div w:id="1235164484">
      <w:bodyDiv w:val="1"/>
      <w:marLeft w:val="0"/>
      <w:marRight w:val="0"/>
      <w:marTop w:val="0"/>
      <w:marBottom w:val="0"/>
      <w:divBdr>
        <w:top w:val="none" w:sz="0" w:space="0" w:color="auto"/>
        <w:left w:val="none" w:sz="0" w:space="0" w:color="auto"/>
        <w:bottom w:val="none" w:sz="0" w:space="0" w:color="auto"/>
        <w:right w:val="none" w:sz="0" w:space="0" w:color="auto"/>
      </w:divBdr>
    </w:div>
    <w:div w:id="1235627106">
      <w:bodyDiv w:val="1"/>
      <w:marLeft w:val="0"/>
      <w:marRight w:val="0"/>
      <w:marTop w:val="0"/>
      <w:marBottom w:val="0"/>
      <w:divBdr>
        <w:top w:val="none" w:sz="0" w:space="0" w:color="auto"/>
        <w:left w:val="none" w:sz="0" w:space="0" w:color="auto"/>
        <w:bottom w:val="none" w:sz="0" w:space="0" w:color="auto"/>
        <w:right w:val="none" w:sz="0" w:space="0" w:color="auto"/>
      </w:divBdr>
    </w:div>
    <w:div w:id="1235703787">
      <w:bodyDiv w:val="1"/>
      <w:marLeft w:val="0"/>
      <w:marRight w:val="0"/>
      <w:marTop w:val="0"/>
      <w:marBottom w:val="0"/>
      <w:divBdr>
        <w:top w:val="none" w:sz="0" w:space="0" w:color="auto"/>
        <w:left w:val="none" w:sz="0" w:space="0" w:color="auto"/>
        <w:bottom w:val="none" w:sz="0" w:space="0" w:color="auto"/>
        <w:right w:val="none" w:sz="0" w:space="0" w:color="auto"/>
      </w:divBdr>
    </w:div>
    <w:div w:id="123794032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7589">
      <w:bodyDiv w:val="1"/>
      <w:marLeft w:val="0"/>
      <w:marRight w:val="0"/>
      <w:marTop w:val="0"/>
      <w:marBottom w:val="0"/>
      <w:divBdr>
        <w:top w:val="none" w:sz="0" w:space="0" w:color="auto"/>
        <w:left w:val="none" w:sz="0" w:space="0" w:color="auto"/>
        <w:bottom w:val="none" w:sz="0" w:space="0" w:color="auto"/>
        <w:right w:val="none" w:sz="0" w:space="0" w:color="auto"/>
      </w:divBdr>
    </w:div>
    <w:div w:id="1240167474">
      <w:bodyDiv w:val="1"/>
      <w:marLeft w:val="0"/>
      <w:marRight w:val="0"/>
      <w:marTop w:val="0"/>
      <w:marBottom w:val="0"/>
      <w:divBdr>
        <w:top w:val="none" w:sz="0" w:space="0" w:color="auto"/>
        <w:left w:val="none" w:sz="0" w:space="0" w:color="auto"/>
        <w:bottom w:val="none" w:sz="0" w:space="0" w:color="auto"/>
        <w:right w:val="none" w:sz="0" w:space="0" w:color="auto"/>
      </w:divBdr>
    </w:div>
    <w:div w:id="1240481012">
      <w:bodyDiv w:val="1"/>
      <w:marLeft w:val="0"/>
      <w:marRight w:val="0"/>
      <w:marTop w:val="0"/>
      <w:marBottom w:val="0"/>
      <w:divBdr>
        <w:top w:val="none" w:sz="0" w:space="0" w:color="auto"/>
        <w:left w:val="none" w:sz="0" w:space="0" w:color="auto"/>
        <w:bottom w:val="none" w:sz="0" w:space="0" w:color="auto"/>
        <w:right w:val="none" w:sz="0" w:space="0" w:color="auto"/>
      </w:divBdr>
    </w:div>
    <w:div w:id="1240676574">
      <w:bodyDiv w:val="1"/>
      <w:marLeft w:val="0"/>
      <w:marRight w:val="0"/>
      <w:marTop w:val="0"/>
      <w:marBottom w:val="0"/>
      <w:divBdr>
        <w:top w:val="none" w:sz="0" w:space="0" w:color="auto"/>
        <w:left w:val="none" w:sz="0" w:space="0" w:color="auto"/>
        <w:bottom w:val="none" w:sz="0" w:space="0" w:color="auto"/>
        <w:right w:val="none" w:sz="0" w:space="0" w:color="auto"/>
      </w:divBdr>
    </w:div>
    <w:div w:id="1243375633">
      <w:bodyDiv w:val="1"/>
      <w:marLeft w:val="0"/>
      <w:marRight w:val="0"/>
      <w:marTop w:val="0"/>
      <w:marBottom w:val="0"/>
      <w:divBdr>
        <w:top w:val="none" w:sz="0" w:space="0" w:color="auto"/>
        <w:left w:val="none" w:sz="0" w:space="0" w:color="auto"/>
        <w:bottom w:val="none" w:sz="0" w:space="0" w:color="auto"/>
        <w:right w:val="none" w:sz="0" w:space="0" w:color="auto"/>
      </w:divBdr>
    </w:div>
    <w:div w:id="1244800038">
      <w:bodyDiv w:val="1"/>
      <w:marLeft w:val="0"/>
      <w:marRight w:val="0"/>
      <w:marTop w:val="0"/>
      <w:marBottom w:val="0"/>
      <w:divBdr>
        <w:top w:val="none" w:sz="0" w:space="0" w:color="auto"/>
        <w:left w:val="none" w:sz="0" w:space="0" w:color="auto"/>
        <w:bottom w:val="none" w:sz="0" w:space="0" w:color="auto"/>
        <w:right w:val="none" w:sz="0" w:space="0" w:color="auto"/>
      </w:divBdr>
    </w:div>
    <w:div w:id="1247959867">
      <w:bodyDiv w:val="1"/>
      <w:marLeft w:val="0"/>
      <w:marRight w:val="0"/>
      <w:marTop w:val="0"/>
      <w:marBottom w:val="0"/>
      <w:divBdr>
        <w:top w:val="none" w:sz="0" w:space="0" w:color="auto"/>
        <w:left w:val="none" w:sz="0" w:space="0" w:color="auto"/>
        <w:bottom w:val="none" w:sz="0" w:space="0" w:color="auto"/>
        <w:right w:val="none" w:sz="0" w:space="0" w:color="auto"/>
      </w:divBdr>
    </w:div>
    <w:div w:id="1248660065">
      <w:bodyDiv w:val="1"/>
      <w:marLeft w:val="0"/>
      <w:marRight w:val="0"/>
      <w:marTop w:val="0"/>
      <w:marBottom w:val="0"/>
      <w:divBdr>
        <w:top w:val="none" w:sz="0" w:space="0" w:color="auto"/>
        <w:left w:val="none" w:sz="0" w:space="0" w:color="auto"/>
        <w:bottom w:val="none" w:sz="0" w:space="0" w:color="auto"/>
        <w:right w:val="none" w:sz="0" w:space="0" w:color="auto"/>
      </w:divBdr>
    </w:div>
    <w:div w:id="1249120285">
      <w:bodyDiv w:val="1"/>
      <w:marLeft w:val="0"/>
      <w:marRight w:val="0"/>
      <w:marTop w:val="0"/>
      <w:marBottom w:val="0"/>
      <w:divBdr>
        <w:top w:val="none" w:sz="0" w:space="0" w:color="auto"/>
        <w:left w:val="none" w:sz="0" w:space="0" w:color="auto"/>
        <w:bottom w:val="none" w:sz="0" w:space="0" w:color="auto"/>
        <w:right w:val="none" w:sz="0" w:space="0" w:color="auto"/>
      </w:divBdr>
    </w:div>
    <w:div w:id="1251424533">
      <w:bodyDiv w:val="1"/>
      <w:marLeft w:val="0"/>
      <w:marRight w:val="0"/>
      <w:marTop w:val="0"/>
      <w:marBottom w:val="0"/>
      <w:divBdr>
        <w:top w:val="none" w:sz="0" w:space="0" w:color="auto"/>
        <w:left w:val="none" w:sz="0" w:space="0" w:color="auto"/>
        <w:bottom w:val="none" w:sz="0" w:space="0" w:color="auto"/>
        <w:right w:val="none" w:sz="0" w:space="0" w:color="auto"/>
      </w:divBdr>
    </w:div>
    <w:div w:id="1252162055">
      <w:bodyDiv w:val="1"/>
      <w:marLeft w:val="0"/>
      <w:marRight w:val="0"/>
      <w:marTop w:val="0"/>
      <w:marBottom w:val="0"/>
      <w:divBdr>
        <w:top w:val="none" w:sz="0" w:space="0" w:color="auto"/>
        <w:left w:val="none" w:sz="0" w:space="0" w:color="auto"/>
        <w:bottom w:val="none" w:sz="0" w:space="0" w:color="auto"/>
        <w:right w:val="none" w:sz="0" w:space="0" w:color="auto"/>
      </w:divBdr>
    </w:div>
    <w:div w:id="1253127918">
      <w:bodyDiv w:val="1"/>
      <w:marLeft w:val="0"/>
      <w:marRight w:val="0"/>
      <w:marTop w:val="0"/>
      <w:marBottom w:val="0"/>
      <w:divBdr>
        <w:top w:val="none" w:sz="0" w:space="0" w:color="auto"/>
        <w:left w:val="none" w:sz="0" w:space="0" w:color="auto"/>
        <w:bottom w:val="none" w:sz="0" w:space="0" w:color="auto"/>
        <w:right w:val="none" w:sz="0" w:space="0" w:color="auto"/>
      </w:divBdr>
    </w:div>
    <w:div w:id="1256472490">
      <w:bodyDiv w:val="1"/>
      <w:marLeft w:val="0"/>
      <w:marRight w:val="0"/>
      <w:marTop w:val="0"/>
      <w:marBottom w:val="0"/>
      <w:divBdr>
        <w:top w:val="none" w:sz="0" w:space="0" w:color="auto"/>
        <w:left w:val="none" w:sz="0" w:space="0" w:color="auto"/>
        <w:bottom w:val="none" w:sz="0" w:space="0" w:color="auto"/>
        <w:right w:val="none" w:sz="0" w:space="0" w:color="auto"/>
      </w:divBdr>
    </w:div>
    <w:div w:id="1258367965">
      <w:bodyDiv w:val="1"/>
      <w:marLeft w:val="0"/>
      <w:marRight w:val="0"/>
      <w:marTop w:val="0"/>
      <w:marBottom w:val="0"/>
      <w:divBdr>
        <w:top w:val="none" w:sz="0" w:space="0" w:color="auto"/>
        <w:left w:val="none" w:sz="0" w:space="0" w:color="auto"/>
        <w:bottom w:val="none" w:sz="0" w:space="0" w:color="auto"/>
        <w:right w:val="none" w:sz="0" w:space="0" w:color="auto"/>
      </w:divBdr>
    </w:div>
    <w:div w:id="1259559711">
      <w:bodyDiv w:val="1"/>
      <w:marLeft w:val="0"/>
      <w:marRight w:val="0"/>
      <w:marTop w:val="0"/>
      <w:marBottom w:val="0"/>
      <w:divBdr>
        <w:top w:val="none" w:sz="0" w:space="0" w:color="auto"/>
        <w:left w:val="none" w:sz="0" w:space="0" w:color="auto"/>
        <w:bottom w:val="none" w:sz="0" w:space="0" w:color="auto"/>
        <w:right w:val="none" w:sz="0" w:space="0" w:color="auto"/>
      </w:divBdr>
    </w:div>
    <w:div w:id="1259798849">
      <w:bodyDiv w:val="1"/>
      <w:marLeft w:val="0"/>
      <w:marRight w:val="0"/>
      <w:marTop w:val="0"/>
      <w:marBottom w:val="0"/>
      <w:divBdr>
        <w:top w:val="none" w:sz="0" w:space="0" w:color="auto"/>
        <w:left w:val="none" w:sz="0" w:space="0" w:color="auto"/>
        <w:bottom w:val="none" w:sz="0" w:space="0" w:color="auto"/>
        <w:right w:val="none" w:sz="0" w:space="0" w:color="auto"/>
      </w:divBdr>
    </w:div>
    <w:div w:id="1259866513">
      <w:bodyDiv w:val="1"/>
      <w:marLeft w:val="0"/>
      <w:marRight w:val="0"/>
      <w:marTop w:val="0"/>
      <w:marBottom w:val="0"/>
      <w:divBdr>
        <w:top w:val="none" w:sz="0" w:space="0" w:color="auto"/>
        <w:left w:val="none" w:sz="0" w:space="0" w:color="auto"/>
        <w:bottom w:val="none" w:sz="0" w:space="0" w:color="auto"/>
        <w:right w:val="none" w:sz="0" w:space="0" w:color="auto"/>
      </w:divBdr>
    </w:div>
    <w:div w:id="1261640896">
      <w:bodyDiv w:val="1"/>
      <w:marLeft w:val="0"/>
      <w:marRight w:val="0"/>
      <w:marTop w:val="0"/>
      <w:marBottom w:val="0"/>
      <w:divBdr>
        <w:top w:val="none" w:sz="0" w:space="0" w:color="auto"/>
        <w:left w:val="none" w:sz="0" w:space="0" w:color="auto"/>
        <w:bottom w:val="none" w:sz="0" w:space="0" w:color="auto"/>
        <w:right w:val="none" w:sz="0" w:space="0" w:color="auto"/>
      </w:divBdr>
    </w:div>
    <w:div w:id="1261986686">
      <w:bodyDiv w:val="1"/>
      <w:marLeft w:val="0"/>
      <w:marRight w:val="0"/>
      <w:marTop w:val="0"/>
      <w:marBottom w:val="0"/>
      <w:divBdr>
        <w:top w:val="none" w:sz="0" w:space="0" w:color="auto"/>
        <w:left w:val="none" w:sz="0" w:space="0" w:color="auto"/>
        <w:bottom w:val="none" w:sz="0" w:space="0" w:color="auto"/>
        <w:right w:val="none" w:sz="0" w:space="0" w:color="auto"/>
      </w:divBdr>
    </w:div>
    <w:div w:id="1262296034">
      <w:bodyDiv w:val="1"/>
      <w:marLeft w:val="0"/>
      <w:marRight w:val="0"/>
      <w:marTop w:val="0"/>
      <w:marBottom w:val="0"/>
      <w:divBdr>
        <w:top w:val="none" w:sz="0" w:space="0" w:color="auto"/>
        <w:left w:val="none" w:sz="0" w:space="0" w:color="auto"/>
        <w:bottom w:val="none" w:sz="0" w:space="0" w:color="auto"/>
        <w:right w:val="none" w:sz="0" w:space="0" w:color="auto"/>
      </w:divBdr>
    </w:div>
    <w:div w:id="1263227897">
      <w:bodyDiv w:val="1"/>
      <w:marLeft w:val="0"/>
      <w:marRight w:val="0"/>
      <w:marTop w:val="0"/>
      <w:marBottom w:val="0"/>
      <w:divBdr>
        <w:top w:val="none" w:sz="0" w:space="0" w:color="auto"/>
        <w:left w:val="none" w:sz="0" w:space="0" w:color="auto"/>
        <w:bottom w:val="none" w:sz="0" w:space="0" w:color="auto"/>
        <w:right w:val="none" w:sz="0" w:space="0" w:color="auto"/>
      </w:divBdr>
    </w:div>
    <w:div w:id="1263413155">
      <w:bodyDiv w:val="1"/>
      <w:marLeft w:val="0"/>
      <w:marRight w:val="0"/>
      <w:marTop w:val="0"/>
      <w:marBottom w:val="0"/>
      <w:divBdr>
        <w:top w:val="none" w:sz="0" w:space="0" w:color="auto"/>
        <w:left w:val="none" w:sz="0" w:space="0" w:color="auto"/>
        <w:bottom w:val="none" w:sz="0" w:space="0" w:color="auto"/>
        <w:right w:val="none" w:sz="0" w:space="0" w:color="auto"/>
      </w:divBdr>
    </w:div>
    <w:div w:id="1263681570">
      <w:bodyDiv w:val="1"/>
      <w:marLeft w:val="0"/>
      <w:marRight w:val="0"/>
      <w:marTop w:val="0"/>
      <w:marBottom w:val="0"/>
      <w:divBdr>
        <w:top w:val="none" w:sz="0" w:space="0" w:color="auto"/>
        <w:left w:val="none" w:sz="0" w:space="0" w:color="auto"/>
        <w:bottom w:val="none" w:sz="0" w:space="0" w:color="auto"/>
        <w:right w:val="none" w:sz="0" w:space="0" w:color="auto"/>
      </w:divBdr>
    </w:div>
    <w:div w:id="1265114887">
      <w:bodyDiv w:val="1"/>
      <w:marLeft w:val="0"/>
      <w:marRight w:val="0"/>
      <w:marTop w:val="0"/>
      <w:marBottom w:val="0"/>
      <w:divBdr>
        <w:top w:val="none" w:sz="0" w:space="0" w:color="auto"/>
        <w:left w:val="none" w:sz="0" w:space="0" w:color="auto"/>
        <w:bottom w:val="none" w:sz="0" w:space="0" w:color="auto"/>
        <w:right w:val="none" w:sz="0" w:space="0" w:color="auto"/>
      </w:divBdr>
    </w:div>
    <w:div w:id="1265116503">
      <w:bodyDiv w:val="1"/>
      <w:marLeft w:val="0"/>
      <w:marRight w:val="0"/>
      <w:marTop w:val="0"/>
      <w:marBottom w:val="0"/>
      <w:divBdr>
        <w:top w:val="none" w:sz="0" w:space="0" w:color="auto"/>
        <w:left w:val="none" w:sz="0" w:space="0" w:color="auto"/>
        <w:bottom w:val="none" w:sz="0" w:space="0" w:color="auto"/>
        <w:right w:val="none" w:sz="0" w:space="0" w:color="auto"/>
      </w:divBdr>
    </w:div>
    <w:div w:id="1268006839">
      <w:bodyDiv w:val="1"/>
      <w:marLeft w:val="0"/>
      <w:marRight w:val="0"/>
      <w:marTop w:val="0"/>
      <w:marBottom w:val="0"/>
      <w:divBdr>
        <w:top w:val="none" w:sz="0" w:space="0" w:color="auto"/>
        <w:left w:val="none" w:sz="0" w:space="0" w:color="auto"/>
        <w:bottom w:val="none" w:sz="0" w:space="0" w:color="auto"/>
        <w:right w:val="none" w:sz="0" w:space="0" w:color="auto"/>
      </w:divBdr>
    </w:div>
    <w:div w:id="1273710687">
      <w:bodyDiv w:val="1"/>
      <w:marLeft w:val="0"/>
      <w:marRight w:val="0"/>
      <w:marTop w:val="0"/>
      <w:marBottom w:val="0"/>
      <w:divBdr>
        <w:top w:val="none" w:sz="0" w:space="0" w:color="auto"/>
        <w:left w:val="none" w:sz="0" w:space="0" w:color="auto"/>
        <w:bottom w:val="none" w:sz="0" w:space="0" w:color="auto"/>
        <w:right w:val="none" w:sz="0" w:space="0" w:color="auto"/>
      </w:divBdr>
    </w:div>
    <w:div w:id="1280648401">
      <w:bodyDiv w:val="1"/>
      <w:marLeft w:val="0"/>
      <w:marRight w:val="0"/>
      <w:marTop w:val="0"/>
      <w:marBottom w:val="0"/>
      <w:divBdr>
        <w:top w:val="none" w:sz="0" w:space="0" w:color="auto"/>
        <w:left w:val="none" w:sz="0" w:space="0" w:color="auto"/>
        <w:bottom w:val="none" w:sz="0" w:space="0" w:color="auto"/>
        <w:right w:val="none" w:sz="0" w:space="0" w:color="auto"/>
      </w:divBdr>
    </w:div>
    <w:div w:id="1282759437">
      <w:bodyDiv w:val="1"/>
      <w:marLeft w:val="0"/>
      <w:marRight w:val="0"/>
      <w:marTop w:val="0"/>
      <w:marBottom w:val="0"/>
      <w:divBdr>
        <w:top w:val="none" w:sz="0" w:space="0" w:color="auto"/>
        <w:left w:val="none" w:sz="0" w:space="0" w:color="auto"/>
        <w:bottom w:val="none" w:sz="0" w:space="0" w:color="auto"/>
        <w:right w:val="none" w:sz="0" w:space="0" w:color="auto"/>
      </w:divBdr>
    </w:div>
    <w:div w:id="1286082948">
      <w:bodyDiv w:val="1"/>
      <w:marLeft w:val="0"/>
      <w:marRight w:val="0"/>
      <w:marTop w:val="0"/>
      <w:marBottom w:val="0"/>
      <w:divBdr>
        <w:top w:val="none" w:sz="0" w:space="0" w:color="auto"/>
        <w:left w:val="none" w:sz="0" w:space="0" w:color="auto"/>
        <w:bottom w:val="none" w:sz="0" w:space="0" w:color="auto"/>
        <w:right w:val="none" w:sz="0" w:space="0" w:color="auto"/>
      </w:divBdr>
    </w:div>
    <w:div w:id="1286156551">
      <w:bodyDiv w:val="1"/>
      <w:marLeft w:val="0"/>
      <w:marRight w:val="0"/>
      <w:marTop w:val="0"/>
      <w:marBottom w:val="0"/>
      <w:divBdr>
        <w:top w:val="none" w:sz="0" w:space="0" w:color="auto"/>
        <w:left w:val="none" w:sz="0" w:space="0" w:color="auto"/>
        <w:bottom w:val="none" w:sz="0" w:space="0" w:color="auto"/>
        <w:right w:val="none" w:sz="0" w:space="0" w:color="auto"/>
      </w:divBdr>
    </w:div>
    <w:div w:id="1288126287">
      <w:bodyDiv w:val="1"/>
      <w:marLeft w:val="0"/>
      <w:marRight w:val="0"/>
      <w:marTop w:val="0"/>
      <w:marBottom w:val="0"/>
      <w:divBdr>
        <w:top w:val="none" w:sz="0" w:space="0" w:color="auto"/>
        <w:left w:val="none" w:sz="0" w:space="0" w:color="auto"/>
        <w:bottom w:val="none" w:sz="0" w:space="0" w:color="auto"/>
        <w:right w:val="none" w:sz="0" w:space="0" w:color="auto"/>
      </w:divBdr>
    </w:div>
    <w:div w:id="1293168295">
      <w:bodyDiv w:val="1"/>
      <w:marLeft w:val="0"/>
      <w:marRight w:val="0"/>
      <w:marTop w:val="0"/>
      <w:marBottom w:val="0"/>
      <w:divBdr>
        <w:top w:val="none" w:sz="0" w:space="0" w:color="auto"/>
        <w:left w:val="none" w:sz="0" w:space="0" w:color="auto"/>
        <w:bottom w:val="none" w:sz="0" w:space="0" w:color="auto"/>
        <w:right w:val="none" w:sz="0" w:space="0" w:color="auto"/>
      </w:divBdr>
    </w:div>
    <w:div w:id="1293511323">
      <w:bodyDiv w:val="1"/>
      <w:marLeft w:val="0"/>
      <w:marRight w:val="0"/>
      <w:marTop w:val="0"/>
      <w:marBottom w:val="0"/>
      <w:divBdr>
        <w:top w:val="none" w:sz="0" w:space="0" w:color="auto"/>
        <w:left w:val="none" w:sz="0" w:space="0" w:color="auto"/>
        <w:bottom w:val="none" w:sz="0" w:space="0" w:color="auto"/>
        <w:right w:val="none" w:sz="0" w:space="0" w:color="auto"/>
      </w:divBdr>
    </w:div>
    <w:div w:id="1293556553">
      <w:bodyDiv w:val="1"/>
      <w:marLeft w:val="0"/>
      <w:marRight w:val="0"/>
      <w:marTop w:val="0"/>
      <w:marBottom w:val="0"/>
      <w:divBdr>
        <w:top w:val="none" w:sz="0" w:space="0" w:color="auto"/>
        <w:left w:val="none" w:sz="0" w:space="0" w:color="auto"/>
        <w:bottom w:val="none" w:sz="0" w:space="0" w:color="auto"/>
        <w:right w:val="none" w:sz="0" w:space="0" w:color="auto"/>
      </w:divBdr>
    </w:div>
    <w:div w:id="1294410623">
      <w:bodyDiv w:val="1"/>
      <w:marLeft w:val="0"/>
      <w:marRight w:val="0"/>
      <w:marTop w:val="0"/>
      <w:marBottom w:val="0"/>
      <w:divBdr>
        <w:top w:val="none" w:sz="0" w:space="0" w:color="auto"/>
        <w:left w:val="none" w:sz="0" w:space="0" w:color="auto"/>
        <w:bottom w:val="none" w:sz="0" w:space="0" w:color="auto"/>
        <w:right w:val="none" w:sz="0" w:space="0" w:color="auto"/>
      </w:divBdr>
    </w:div>
    <w:div w:id="1295020876">
      <w:bodyDiv w:val="1"/>
      <w:marLeft w:val="0"/>
      <w:marRight w:val="0"/>
      <w:marTop w:val="0"/>
      <w:marBottom w:val="0"/>
      <w:divBdr>
        <w:top w:val="none" w:sz="0" w:space="0" w:color="auto"/>
        <w:left w:val="none" w:sz="0" w:space="0" w:color="auto"/>
        <w:bottom w:val="none" w:sz="0" w:space="0" w:color="auto"/>
        <w:right w:val="none" w:sz="0" w:space="0" w:color="auto"/>
      </w:divBdr>
    </w:div>
    <w:div w:id="1297419687">
      <w:bodyDiv w:val="1"/>
      <w:marLeft w:val="0"/>
      <w:marRight w:val="0"/>
      <w:marTop w:val="0"/>
      <w:marBottom w:val="0"/>
      <w:divBdr>
        <w:top w:val="none" w:sz="0" w:space="0" w:color="auto"/>
        <w:left w:val="none" w:sz="0" w:space="0" w:color="auto"/>
        <w:bottom w:val="none" w:sz="0" w:space="0" w:color="auto"/>
        <w:right w:val="none" w:sz="0" w:space="0" w:color="auto"/>
      </w:divBdr>
    </w:div>
    <w:div w:id="1298297435">
      <w:bodyDiv w:val="1"/>
      <w:marLeft w:val="0"/>
      <w:marRight w:val="0"/>
      <w:marTop w:val="0"/>
      <w:marBottom w:val="0"/>
      <w:divBdr>
        <w:top w:val="none" w:sz="0" w:space="0" w:color="auto"/>
        <w:left w:val="none" w:sz="0" w:space="0" w:color="auto"/>
        <w:bottom w:val="none" w:sz="0" w:space="0" w:color="auto"/>
        <w:right w:val="none" w:sz="0" w:space="0" w:color="auto"/>
      </w:divBdr>
    </w:div>
    <w:div w:id="1298759643">
      <w:bodyDiv w:val="1"/>
      <w:marLeft w:val="0"/>
      <w:marRight w:val="0"/>
      <w:marTop w:val="0"/>
      <w:marBottom w:val="0"/>
      <w:divBdr>
        <w:top w:val="none" w:sz="0" w:space="0" w:color="auto"/>
        <w:left w:val="none" w:sz="0" w:space="0" w:color="auto"/>
        <w:bottom w:val="none" w:sz="0" w:space="0" w:color="auto"/>
        <w:right w:val="none" w:sz="0" w:space="0" w:color="auto"/>
      </w:divBdr>
    </w:div>
    <w:div w:id="1299460368">
      <w:bodyDiv w:val="1"/>
      <w:marLeft w:val="0"/>
      <w:marRight w:val="0"/>
      <w:marTop w:val="0"/>
      <w:marBottom w:val="0"/>
      <w:divBdr>
        <w:top w:val="none" w:sz="0" w:space="0" w:color="auto"/>
        <w:left w:val="none" w:sz="0" w:space="0" w:color="auto"/>
        <w:bottom w:val="none" w:sz="0" w:space="0" w:color="auto"/>
        <w:right w:val="none" w:sz="0" w:space="0" w:color="auto"/>
      </w:divBdr>
    </w:div>
    <w:div w:id="1300498133">
      <w:bodyDiv w:val="1"/>
      <w:marLeft w:val="0"/>
      <w:marRight w:val="0"/>
      <w:marTop w:val="0"/>
      <w:marBottom w:val="0"/>
      <w:divBdr>
        <w:top w:val="none" w:sz="0" w:space="0" w:color="auto"/>
        <w:left w:val="none" w:sz="0" w:space="0" w:color="auto"/>
        <w:bottom w:val="none" w:sz="0" w:space="0" w:color="auto"/>
        <w:right w:val="none" w:sz="0" w:space="0" w:color="auto"/>
      </w:divBdr>
    </w:div>
    <w:div w:id="1301034933">
      <w:bodyDiv w:val="1"/>
      <w:marLeft w:val="0"/>
      <w:marRight w:val="0"/>
      <w:marTop w:val="0"/>
      <w:marBottom w:val="0"/>
      <w:divBdr>
        <w:top w:val="none" w:sz="0" w:space="0" w:color="auto"/>
        <w:left w:val="none" w:sz="0" w:space="0" w:color="auto"/>
        <w:bottom w:val="none" w:sz="0" w:space="0" w:color="auto"/>
        <w:right w:val="none" w:sz="0" w:space="0" w:color="auto"/>
      </w:divBdr>
    </w:div>
    <w:div w:id="1301810117">
      <w:bodyDiv w:val="1"/>
      <w:marLeft w:val="0"/>
      <w:marRight w:val="0"/>
      <w:marTop w:val="0"/>
      <w:marBottom w:val="0"/>
      <w:divBdr>
        <w:top w:val="none" w:sz="0" w:space="0" w:color="auto"/>
        <w:left w:val="none" w:sz="0" w:space="0" w:color="auto"/>
        <w:bottom w:val="none" w:sz="0" w:space="0" w:color="auto"/>
        <w:right w:val="none" w:sz="0" w:space="0" w:color="auto"/>
      </w:divBdr>
    </w:div>
    <w:div w:id="1303385559">
      <w:bodyDiv w:val="1"/>
      <w:marLeft w:val="0"/>
      <w:marRight w:val="0"/>
      <w:marTop w:val="0"/>
      <w:marBottom w:val="0"/>
      <w:divBdr>
        <w:top w:val="none" w:sz="0" w:space="0" w:color="auto"/>
        <w:left w:val="none" w:sz="0" w:space="0" w:color="auto"/>
        <w:bottom w:val="none" w:sz="0" w:space="0" w:color="auto"/>
        <w:right w:val="none" w:sz="0" w:space="0" w:color="auto"/>
      </w:divBdr>
    </w:div>
    <w:div w:id="1304887328">
      <w:bodyDiv w:val="1"/>
      <w:marLeft w:val="0"/>
      <w:marRight w:val="0"/>
      <w:marTop w:val="0"/>
      <w:marBottom w:val="0"/>
      <w:divBdr>
        <w:top w:val="none" w:sz="0" w:space="0" w:color="auto"/>
        <w:left w:val="none" w:sz="0" w:space="0" w:color="auto"/>
        <w:bottom w:val="none" w:sz="0" w:space="0" w:color="auto"/>
        <w:right w:val="none" w:sz="0" w:space="0" w:color="auto"/>
      </w:divBdr>
    </w:div>
    <w:div w:id="1309632152">
      <w:bodyDiv w:val="1"/>
      <w:marLeft w:val="0"/>
      <w:marRight w:val="0"/>
      <w:marTop w:val="0"/>
      <w:marBottom w:val="0"/>
      <w:divBdr>
        <w:top w:val="none" w:sz="0" w:space="0" w:color="auto"/>
        <w:left w:val="none" w:sz="0" w:space="0" w:color="auto"/>
        <w:bottom w:val="none" w:sz="0" w:space="0" w:color="auto"/>
        <w:right w:val="none" w:sz="0" w:space="0" w:color="auto"/>
      </w:divBdr>
    </w:div>
    <w:div w:id="1310475009">
      <w:bodyDiv w:val="1"/>
      <w:marLeft w:val="0"/>
      <w:marRight w:val="0"/>
      <w:marTop w:val="0"/>
      <w:marBottom w:val="0"/>
      <w:divBdr>
        <w:top w:val="none" w:sz="0" w:space="0" w:color="auto"/>
        <w:left w:val="none" w:sz="0" w:space="0" w:color="auto"/>
        <w:bottom w:val="none" w:sz="0" w:space="0" w:color="auto"/>
        <w:right w:val="none" w:sz="0" w:space="0" w:color="auto"/>
      </w:divBdr>
    </w:div>
    <w:div w:id="1313293899">
      <w:bodyDiv w:val="1"/>
      <w:marLeft w:val="0"/>
      <w:marRight w:val="0"/>
      <w:marTop w:val="0"/>
      <w:marBottom w:val="0"/>
      <w:divBdr>
        <w:top w:val="none" w:sz="0" w:space="0" w:color="auto"/>
        <w:left w:val="none" w:sz="0" w:space="0" w:color="auto"/>
        <w:bottom w:val="none" w:sz="0" w:space="0" w:color="auto"/>
        <w:right w:val="none" w:sz="0" w:space="0" w:color="auto"/>
      </w:divBdr>
    </w:div>
    <w:div w:id="1315185734">
      <w:bodyDiv w:val="1"/>
      <w:marLeft w:val="0"/>
      <w:marRight w:val="0"/>
      <w:marTop w:val="0"/>
      <w:marBottom w:val="0"/>
      <w:divBdr>
        <w:top w:val="none" w:sz="0" w:space="0" w:color="auto"/>
        <w:left w:val="none" w:sz="0" w:space="0" w:color="auto"/>
        <w:bottom w:val="none" w:sz="0" w:space="0" w:color="auto"/>
        <w:right w:val="none" w:sz="0" w:space="0" w:color="auto"/>
      </w:divBdr>
    </w:div>
    <w:div w:id="1315450325">
      <w:bodyDiv w:val="1"/>
      <w:marLeft w:val="0"/>
      <w:marRight w:val="0"/>
      <w:marTop w:val="0"/>
      <w:marBottom w:val="0"/>
      <w:divBdr>
        <w:top w:val="none" w:sz="0" w:space="0" w:color="auto"/>
        <w:left w:val="none" w:sz="0" w:space="0" w:color="auto"/>
        <w:bottom w:val="none" w:sz="0" w:space="0" w:color="auto"/>
        <w:right w:val="none" w:sz="0" w:space="0" w:color="auto"/>
      </w:divBdr>
    </w:div>
    <w:div w:id="1317028674">
      <w:bodyDiv w:val="1"/>
      <w:marLeft w:val="0"/>
      <w:marRight w:val="0"/>
      <w:marTop w:val="0"/>
      <w:marBottom w:val="0"/>
      <w:divBdr>
        <w:top w:val="none" w:sz="0" w:space="0" w:color="auto"/>
        <w:left w:val="none" w:sz="0" w:space="0" w:color="auto"/>
        <w:bottom w:val="none" w:sz="0" w:space="0" w:color="auto"/>
        <w:right w:val="none" w:sz="0" w:space="0" w:color="auto"/>
      </w:divBdr>
    </w:div>
    <w:div w:id="1318221187">
      <w:bodyDiv w:val="1"/>
      <w:marLeft w:val="0"/>
      <w:marRight w:val="0"/>
      <w:marTop w:val="0"/>
      <w:marBottom w:val="0"/>
      <w:divBdr>
        <w:top w:val="none" w:sz="0" w:space="0" w:color="auto"/>
        <w:left w:val="none" w:sz="0" w:space="0" w:color="auto"/>
        <w:bottom w:val="none" w:sz="0" w:space="0" w:color="auto"/>
        <w:right w:val="none" w:sz="0" w:space="0" w:color="auto"/>
      </w:divBdr>
    </w:div>
    <w:div w:id="1321537109">
      <w:bodyDiv w:val="1"/>
      <w:marLeft w:val="0"/>
      <w:marRight w:val="0"/>
      <w:marTop w:val="0"/>
      <w:marBottom w:val="0"/>
      <w:divBdr>
        <w:top w:val="none" w:sz="0" w:space="0" w:color="auto"/>
        <w:left w:val="none" w:sz="0" w:space="0" w:color="auto"/>
        <w:bottom w:val="none" w:sz="0" w:space="0" w:color="auto"/>
        <w:right w:val="none" w:sz="0" w:space="0" w:color="auto"/>
      </w:divBdr>
    </w:div>
    <w:div w:id="1322152381">
      <w:bodyDiv w:val="1"/>
      <w:marLeft w:val="0"/>
      <w:marRight w:val="0"/>
      <w:marTop w:val="0"/>
      <w:marBottom w:val="0"/>
      <w:divBdr>
        <w:top w:val="none" w:sz="0" w:space="0" w:color="auto"/>
        <w:left w:val="none" w:sz="0" w:space="0" w:color="auto"/>
        <w:bottom w:val="none" w:sz="0" w:space="0" w:color="auto"/>
        <w:right w:val="none" w:sz="0" w:space="0" w:color="auto"/>
      </w:divBdr>
    </w:div>
    <w:div w:id="1330981750">
      <w:bodyDiv w:val="1"/>
      <w:marLeft w:val="0"/>
      <w:marRight w:val="0"/>
      <w:marTop w:val="0"/>
      <w:marBottom w:val="0"/>
      <w:divBdr>
        <w:top w:val="none" w:sz="0" w:space="0" w:color="auto"/>
        <w:left w:val="none" w:sz="0" w:space="0" w:color="auto"/>
        <w:bottom w:val="none" w:sz="0" w:space="0" w:color="auto"/>
        <w:right w:val="none" w:sz="0" w:space="0" w:color="auto"/>
      </w:divBdr>
    </w:div>
    <w:div w:id="1331324490">
      <w:bodyDiv w:val="1"/>
      <w:marLeft w:val="0"/>
      <w:marRight w:val="0"/>
      <w:marTop w:val="0"/>
      <w:marBottom w:val="0"/>
      <w:divBdr>
        <w:top w:val="none" w:sz="0" w:space="0" w:color="auto"/>
        <w:left w:val="none" w:sz="0" w:space="0" w:color="auto"/>
        <w:bottom w:val="none" w:sz="0" w:space="0" w:color="auto"/>
        <w:right w:val="none" w:sz="0" w:space="0" w:color="auto"/>
      </w:divBdr>
    </w:div>
    <w:div w:id="1332178065">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034896">
      <w:bodyDiv w:val="1"/>
      <w:marLeft w:val="0"/>
      <w:marRight w:val="0"/>
      <w:marTop w:val="0"/>
      <w:marBottom w:val="0"/>
      <w:divBdr>
        <w:top w:val="none" w:sz="0" w:space="0" w:color="auto"/>
        <w:left w:val="none" w:sz="0" w:space="0" w:color="auto"/>
        <w:bottom w:val="none" w:sz="0" w:space="0" w:color="auto"/>
        <w:right w:val="none" w:sz="0" w:space="0" w:color="auto"/>
      </w:divBdr>
    </w:div>
    <w:div w:id="1336569844">
      <w:bodyDiv w:val="1"/>
      <w:marLeft w:val="0"/>
      <w:marRight w:val="0"/>
      <w:marTop w:val="0"/>
      <w:marBottom w:val="0"/>
      <w:divBdr>
        <w:top w:val="none" w:sz="0" w:space="0" w:color="auto"/>
        <w:left w:val="none" w:sz="0" w:space="0" w:color="auto"/>
        <w:bottom w:val="none" w:sz="0" w:space="0" w:color="auto"/>
        <w:right w:val="none" w:sz="0" w:space="0" w:color="auto"/>
      </w:divBdr>
    </w:div>
    <w:div w:id="1337880753">
      <w:bodyDiv w:val="1"/>
      <w:marLeft w:val="0"/>
      <w:marRight w:val="0"/>
      <w:marTop w:val="0"/>
      <w:marBottom w:val="0"/>
      <w:divBdr>
        <w:top w:val="none" w:sz="0" w:space="0" w:color="auto"/>
        <w:left w:val="none" w:sz="0" w:space="0" w:color="auto"/>
        <w:bottom w:val="none" w:sz="0" w:space="0" w:color="auto"/>
        <w:right w:val="none" w:sz="0" w:space="0" w:color="auto"/>
      </w:divBdr>
    </w:div>
    <w:div w:id="1338072072">
      <w:bodyDiv w:val="1"/>
      <w:marLeft w:val="0"/>
      <w:marRight w:val="0"/>
      <w:marTop w:val="0"/>
      <w:marBottom w:val="0"/>
      <w:divBdr>
        <w:top w:val="none" w:sz="0" w:space="0" w:color="auto"/>
        <w:left w:val="none" w:sz="0" w:space="0" w:color="auto"/>
        <w:bottom w:val="none" w:sz="0" w:space="0" w:color="auto"/>
        <w:right w:val="none" w:sz="0" w:space="0" w:color="auto"/>
      </w:divBdr>
    </w:div>
    <w:div w:id="1338146232">
      <w:bodyDiv w:val="1"/>
      <w:marLeft w:val="0"/>
      <w:marRight w:val="0"/>
      <w:marTop w:val="0"/>
      <w:marBottom w:val="0"/>
      <w:divBdr>
        <w:top w:val="none" w:sz="0" w:space="0" w:color="auto"/>
        <w:left w:val="none" w:sz="0" w:space="0" w:color="auto"/>
        <w:bottom w:val="none" w:sz="0" w:space="0" w:color="auto"/>
        <w:right w:val="none" w:sz="0" w:space="0" w:color="auto"/>
      </w:divBdr>
    </w:div>
    <w:div w:id="1338577492">
      <w:bodyDiv w:val="1"/>
      <w:marLeft w:val="0"/>
      <w:marRight w:val="0"/>
      <w:marTop w:val="0"/>
      <w:marBottom w:val="0"/>
      <w:divBdr>
        <w:top w:val="none" w:sz="0" w:space="0" w:color="auto"/>
        <w:left w:val="none" w:sz="0" w:space="0" w:color="auto"/>
        <w:bottom w:val="none" w:sz="0" w:space="0" w:color="auto"/>
        <w:right w:val="none" w:sz="0" w:space="0" w:color="auto"/>
      </w:divBdr>
    </w:div>
    <w:div w:id="1339235479">
      <w:bodyDiv w:val="1"/>
      <w:marLeft w:val="0"/>
      <w:marRight w:val="0"/>
      <w:marTop w:val="0"/>
      <w:marBottom w:val="0"/>
      <w:divBdr>
        <w:top w:val="none" w:sz="0" w:space="0" w:color="auto"/>
        <w:left w:val="none" w:sz="0" w:space="0" w:color="auto"/>
        <w:bottom w:val="none" w:sz="0" w:space="0" w:color="auto"/>
        <w:right w:val="none" w:sz="0" w:space="0" w:color="auto"/>
      </w:divBdr>
    </w:div>
    <w:div w:id="1340423824">
      <w:bodyDiv w:val="1"/>
      <w:marLeft w:val="0"/>
      <w:marRight w:val="0"/>
      <w:marTop w:val="0"/>
      <w:marBottom w:val="0"/>
      <w:divBdr>
        <w:top w:val="none" w:sz="0" w:space="0" w:color="auto"/>
        <w:left w:val="none" w:sz="0" w:space="0" w:color="auto"/>
        <w:bottom w:val="none" w:sz="0" w:space="0" w:color="auto"/>
        <w:right w:val="none" w:sz="0" w:space="0" w:color="auto"/>
      </w:divBdr>
    </w:div>
    <w:div w:id="1342703334">
      <w:bodyDiv w:val="1"/>
      <w:marLeft w:val="0"/>
      <w:marRight w:val="0"/>
      <w:marTop w:val="0"/>
      <w:marBottom w:val="0"/>
      <w:divBdr>
        <w:top w:val="none" w:sz="0" w:space="0" w:color="auto"/>
        <w:left w:val="none" w:sz="0" w:space="0" w:color="auto"/>
        <w:bottom w:val="none" w:sz="0" w:space="0" w:color="auto"/>
        <w:right w:val="none" w:sz="0" w:space="0" w:color="auto"/>
      </w:divBdr>
    </w:div>
    <w:div w:id="1343047391">
      <w:bodyDiv w:val="1"/>
      <w:marLeft w:val="0"/>
      <w:marRight w:val="0"/>
      <w:marTop w:val="0"/>
      <w:marBottom w:val="0"/>
      <w:divBdr>
        <w:top w:val="none" w:sz="0" w:space="0" w:color="auto"/>
        <w:left w:val="none" w:sz="0" w:space="0" w:color="auto"/>
        <w:bottom w:val="none" w:sz="0" w:space="0" w:color="auto"/>
        <w:right w:val="none" w:sz="0" w:space="0" w:color="auto"/>
      </w:divBdr>
    </w:div>
    <w:div w:id="1352487682">
      <w:bodyDiv w:val="1"/>
      <w:marLeft w:val="0"/>
      <w:marRight w:val="0"/>
      <w:marTop w:val="0"/>
      <w:marBottom w:val="0"/>
      <w:divBdr>
        <w:top w:val="none" w:sz="0" w:space="0" w:color="auto"/>
        <w:left w:val="none" w:sz="0" w:space="0" w:color="auto"/>
        <w:bottom w:val="none" w:sz="0" w:space="0" w:color="auto"/>
        <w:right w:val="none" w:sz="0" w:space="0" w:color="auto"/>
      </w:divBdr>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
    <w:div w:id="1358238677">
      <w:bodyDiv w:val="1"/>
      <w:marLeft w:val="0"/>
      <w:marRight w:val="0"/>
      <w:marTop w:val="0"/>
      <w:marBottom w:val="0"/>
      <w:divBdr>
        <w:top w:val="none" w:sz="0" w:space="0" w:color="auto"/>
        <w:left w:val="none" w:sz="0" w:space="0" w:color="auto"/>
        <w:bottom w:val="none" w:sz="0" w:space="0" w:color="auto"/>
        <w:right w:val="none" w:sz="0" w:space="0" w:color="auto"/>
      </w:divBdr>
    </w:div>
    <w:div w:id="1358848208">
      <w:bodyDiv w:val="1"/>
      <w:marLeft w:val="0"/>
      <w:marRight w:val="0"/>
      <w:marTop w:val="0"/>
      <w:marBottom w:val="0"/>
      <w:divBdr>
        <w:top w:val="none" w:sz="0" w:space="0" w:color="auto"/>
        <w:left w:val="none" w:sz="0" w:space="0" w:color="auto"/>
        <w:bottom w:val="none" w:sz="0" w:space="0" w:color="auto"/>
        <w:right w:val="none" w:sz="0" w:space="0" w:color="auto"/>
      </w:divBdr>
    </w:div>
    <w:div w:id="1358891814">
      <w:bodyDiv w:val="1"/>
      <w:marLeft w:val="0"/>
      <w:marRight w:val="0"/>
      <w:marTop w:val="0"/>
      <w:marBottom w:val="0"/>
      <w:divBdr>
        <w:top w:val="none" w:sz="0" w:space="0" w:color="auto"/>
        <w:left w:val="none" w:sz="0" w:space="0" w:color="auto"/>
        <w:bottom w:val="none" w:sz="0" w:space="0" w:color="auto"/>
        <w:right w:val="none" w:sz="0" w:space="0" w:color="auto"/>
      </w:divBdr>
    </w:div>
    <w:div w:id="1359308482">
      <w:bodyDiv w:val="1"/>
      <w:marLeft w:val="0"/>
      <w:marRight w:val="0"/>
      <w:marTop w:val="0"/>
      <w:marBottom w:val="0"/>
      <w:divBdr>
        <w:top w:val="none" w:sz="0" w:space="0" w:color="auto"/>
        <w:left w:val="none" w:sz="0" w:space="0" w:color="auto"/>
        <w:bottom w:val="none" w:sz="0" w:space="0" w:color="auto"/>
        <w:right w:val="none" w:sz="0" w:space="0" w:color="auto"/>
      </w:divBdr>
    </w:div>
    <w:div w:id="1368290448">
      <w:bodyDiv w:val="1"/>
      <w:marLeft w:val="0"/>
      <w:marRight w:val="0"/>
      <w:marTop w:val="0"/>
      <w:marBottom w:val="0"/>
      <w:divBdr>
        <w:top w:val="none" w:sz="0" w:space="0" w:color="auto"/>
        <w:left w:val="none" w:sz="0" w:space="0" w:color="auto"/>
        <w:bottom w:val="none" w:sz="0" w:space="0" w:color="auto"/>
        <w:right w:val="none" w:sz="0" w:space="0" w:color="auto"/>
      </w:divBdr>
    </w:div>
    <w:div w:id="1369263269">
      <w:bodyDiv w:val="1"/>
      <w:marLeft w:val="0"/>
      <w:marRight w:val="0"/>
      <w:marTop w:val="0"/>
      <w:marBottom w:val="0"/>
      <w:divBdr>
        <w:top w:val="none" w:sz="0" w:space="0" w:color="auto"/>
        <w:left w:val="none" w:sz="0" w:space="0" w:color="auto"/>
        <w:bottom w:val="none" w:sz="0" w:space="0" w:color="auto"/>
        <w:right w:val="none" w:sz="0" w:space="0" w:color="auto"/>
      </w:divBdr>
    </w:div>
    <w:div w:id="1370295656">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4042456">
      <w:bodyDiv w:val="1"/>
      <w:marLeft w:val="0"/>
      <w:marRight w:val="0"/>
      <w:marTop w:val="0"/>
      <w:marBottom w:val="0"/>
      <w:divBdr>
        <w:top w:val="none" w:sz="0" w:space="0" w:color="auto"/>
        <w:left w:val="none" w:sz="0" w:space="0" w:color="auto"/>
        <w:bottom w:val="none" w:sz="0" w:space="0" w:color="auto"/>
        <w:right w:val="none" w:sz="0" w:space="0" w:color="auto"/>
      </w:divBdr>
    </w:div>
    <w:div w:id="1376587083">
      <w:bodyDiv w:val="1"/>
      <w:marLeft w:val="0"/>
      <w:marRight w:val="0"/>
      <w:marTop w:val="0"/>
      <w:marBottom w:val="0"/>
      <w:divBdr>
        <w:top w:val="none" w:sz="0" w:space="0" w:color="auto"/>
        <w:left w:val="none" w:sz="0" w:space="0" w:color="auto"/>
        <w:bottom w:val="none" w:sz="0" w:space="0" w:color="auto"/>
        <w:right w:val="none" w:sz="0" w:space="0" w:color="auto"/>
      </w:divBdr>
    </w:div>
    <w:div w:id="1376930825">
      <w:bodyDiv w:val="1"/>
      <w:marLeft w:val="0"/>
      <w:marRight w:val="0"/>
      <w:marTop w:val="0"/>
      <w:marBottom w:val="0"/>
      <w:divBdr>
        <w:top w:val="none" w:sz="0" w:space="0" w:color="auto"/>
        <w:left w:val="none" w:sz="0" w:space="0" w:color="auto"/>
        <w:bottom w:val="none" w:sz="0" w:space="0" w:color="auto"/>
        <w:right w:val="none" w:sz="0" w:space="0" w:color="auto"/>
      </w:divBdr>
    </w:div>
    <w:div w:id="1379091145">
      <w:bodyDiv w:val="1"/>
      <w:marLeft w:val="0"/>
      <w:marRight w:val="0"/>
      <w:marTop w:val="0"/>
      <w:marBottom w:val="0"/>
      <w:divBdr>
        <w:top w:val="none" w:sz="0" w:space="0" w:color="auto"/>
        <w:left w:val="none" w:sz="0" w:space="0" w:color="auto"/>
        <w:bottom w:val="none" w:sz="0" w:space="0" w:color="auto"/>
        <w:right w:val="none" w:sz="0" w:space="0" w:color="auto"/>
      </w:divBdr>
    </w:div>
    <w:div w:id="137909213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367820">
      <w:bodyDiv w:val="1"/>
      <w:marLeft w:val="0"/>
      <w:marRight w:val="0"/>
      <w:marTop w:val="0"/>
      <w:marBottom w:val="0"/>
      <w:divBdr>
        <w:top w:val="none" w:sz="0" w:space="0" w:color="auto"/>
        <w:left w:val="none" w:sz="0" w:space="0" w:color="auto"/>
        <w:bottom w:val="none" w:sz="0" w:space="0" w:color="auto"/>
        <w:right w:val="none" w:sz="0" w:space="0" w:color="auto"/>
      </w:divBdr>
    </w:div>
    <w:div w:id="1389305346">
      <w:bodyDiv w:val="1"/>
      <w:marLeft w:val="0"/>
      <w:marRight w:val="0"/>
      <w:marTop w:val="0"/>
      <w:marBottom w:val="0"/>
      <w:divBdr>
        <w:top w:val="none" w:sz="0" w:space="0" w:color="auto"/>
        <w:left w:val="none" w:sz="0" w:space="0" w:color="auto"/>
        <w:bottom w:val="none" w:sz="0" w:space="0" w:color="auto"/>
        <w:right w:val="none" w:sz="0" w:space="0" w:color="auto"/>
      </w:divBdr>
    </w:div>
    <w:div w:id="1389500336">
      <w:bodyDiv w:val="1"/>
      <w:marLeft w:val="0"/>
      <w:marRight w:val="0"/>
      <w:marTop w:val="0"/>
      <w:marBottom w:val="0"/>
      <w:divBdr>
        <w:top w:val="none" w:sz="0" w:space="0" w:color="auto"/>
        <w:left w:val="none" w:sz="0" w:space="0" w:color="auto"/>
        <w:bottom w:val="none" w:sz="0" w:space="0" w:color="auto"/>
        <w:right w:val="none" w:sz="0" w:space="0" w:color="auto"/>
      </w:divBdr>
    </w:div>
    <w:div w:id="1389911204">
      <w:bodyDiv w:val="1"/>
      <w:marLeft w:val="0"/>
      <w:marRight w:val="0"/>
      <w:marTop w:val="0"/>
      <w:marBottom w:val="0"/>
      <w:divBdr>
        <w:top w:val="none" w:sz="0" w:space="0" w:color="auto"/>
        <w:left w:val="none" w:sz="0" w:space="0" w:color="auto"/>
        <w:bottom w:val="none" w:sz="0" w:space="0" w:color="auto"/>
        <w:right w:val="none" w:sz="0" w:space="0" w:color="auto"/>
      </w:divBdr>
    </w:div>
    <w:div w:id="1391420648">
      <w:bodyDiv w:val="1"/>
      <w:marLeft w:val="0"/>
      <w:marRight w:val="0"/>
      <w:marTop w:val="0"/>
      <w:marBottom w:val="0"/>
      <w:divBdr>
        <w:top w:val="none" w:sz="0" w:space="0" w:color="auto"/>
        <w:left w:val="none" w:sz="0" w:space="0" w:color="auto"/>
        <w:bottom w:val="none" w:sz="0" w:space="0" w:color="auto"/>
        <w:right w:val="none" w:sz="0" w:space="0" w:color="auto"/>
      </w:divBdr>
    </w:div>
    <w:div w:id="1394352521">
      <w:bodyDiv w:val="1"/>
      <w:marLeft w:val="0"/>
      <w:marRight w:val="0"/>
      <w:marTop w:val="0"/>
      <w:marBottom w:val="0"/>
      <w:divBdr>
        <w:top w:val="none" w:sz="0" w:space="0" w:color="auto"/>
        <w:left w:val="none" w:sz="0" w:space="0" w:color="auto"/>
        <w:bottom w:val="none" w:sz="0" w:space="0" w:color="auto"/>
        <w:right w:val="none" w:sz="0" w:space="0" w:color="auto"/>
      </w:divBdr>
    </w:div>
    <w:div w:id="1395542403">
      <w:bodyDiv w:val="1"/>
      <w:marLeft w:val="0"/>
      <w:marRight w:val="0"/>
      <w:marTop w:val="0"/>
      <w:marBottom w:val="0"/>
      <w:divBdr>
        <w:top w:val="none" w:sz="0" w:space="0" w:color="auto"/>
        <w:left w:val="none" w:sz="0" w:space="0" w:color="auto"/>
        <w:bottom w:val="none" w:sz="0" w:space="0" w:color="auto"/>
        <w:right w:val="none" w:sz="0" w:space="0" w:color="auto"/>
      </w:divBdr>
    </w:div>
    <w:div w:id="1397819036">
      <w:bodyDiv w:val="1"/>
      <w:marLeft w:val="0"/>
      <w:marRight w:val="0"/>
      <w:marTop w:val="0"/>
      <w:marBottom w:val="0"/>
      <w:divBdr>
        <w:top w:val="none" w:sz="0" w:space="0" w:color="auto"/>
        <w:left w:val="none" w:sz="0" w:space="0" w:color="auto"/>
        <w:bottom w:val="none" w:sz="0" w:space="0" w:color="auto"/>
        <w:right w:val="none" w:sz="0" w:space="0" w:color="auto"/>
      </w:divBdr>
    </w:div>
    <w:div w:id="1399085547">
      <w:bodyDiv w:val="1"/>
      <w:marLeft w:val="0"/>
      <w:marRight w:val="0"/>
      <w:marTop w:val="0"/>
      <w:marBottom w:val="0"/>
      <w:divBdr>
        <w:top w:val="none" w:sz="0" w:space="0" w:color="auto"/>
        <w:left w:val="none" w:sz="0" w:space="0" w:color="auto"/>
        <w:bottom w:val="none" w:sz="0" w:space="0" w:color="auto"/>
        <w:right w:val="none" w:sz="0" w:space="0" w:color="auto"/>
      </w:divBdr>
    </w:div>
    <w:div w:id="1399286528">
      <w:bodyDiv w:val="1"/>
      <w:marLeft w:val="0"/>
      <w:marRight w:val="0"/>
      <w:marTop w:val="0"/>
      <w:marBottom w:val="0"/>
      <w:divBdr>
        <w:top w:val="none" w:sz="0" w:space="0" w:color="auto"/>
        <w:left w:val="none" w:sz="0" w:space="0" w:color="auto"/>
        <w:bottom w:val="none" w:sz="0" w:space="0" w:color="auto"/>
        <w:right w:val="none" w:sz="0" w:space="0" w:color="auto"/>
      </w:divBdr>
    </w:div>
    <w:div w:id="1399476239">
      <w:bodyDiv w:val="1"/>
      <w:marLeft w:val="0"/>
      <w:marRight w:val="0"/>
      <w:marTop w:val="0"/>
      <w:marBottom w:val="0"/>
      <w:divBdr>
        <w:top w:val="none" w:sz="0" w:space="0" w:color="auto"/>
        <w:left w:val="none" w:sz="0" w:space="0" w:color="auto"/>
        <w:bottom w:val="none" w:sz="0" w:space="0" w:color="auto"/>
        <w:right w:val="none" w:sz="0" w:space="0" w:color="auto"/>
      </w:divBdr>
    </w:div>
    <w:div w:id="1399591617">
      <w:bodyDiv w:val="1"/>
      <w:marLeft w:val="0"/>
      <w:marRight w:val="0"/>
      <w:marTop w:val="0"/>
      <w:marBottom w:val="0"/>
      <w:divBdr>
        <w:top w:val="none" w:sz="0" w:space="0" w:color="auto"/>
        <w:left w:val="none" w:sz="0" w:space="0" w:color="auto"/>
        <w:bottom w:val="none" w:sz="0" w:space="0" w:color="auto"/>
        <w:right w:val="none" w:sz="0" w:space="0" w:color="auto"/>
      </w:divBdr>
    </w:div>
    <w:div w:id="1400178056">
      <w:bodyDiv w:val="1"/>
      <w:marLeft w:val="0"/>
      <w:marRight w:val="0"/>
      <w:marTop w:val="0"/>
      <w:marBottom w:val="0"/>
      <w:divBdr>
        <w:top w:val="none" w:sz="0" w:space="0" w:color="auto"/>
        <w:left w:val="none" w:sz="0" w:space="0" w:color="auto"/>
        <w:bottom w:val="none" w:sz="0" w:space="0" w:color="auto"/>
        <w:right w:val="none" w:sz="0" w:space="0" w:color="auto"/>
      </w:divBdr>
    </w:div>
    <w:div w:id="1400209397">
      <w:bodyDiv w:val="1"/>
      <w:marLeft w:val="0"/>
      <w:marRight w:val="0"/>
      <w:marTop w:val="0"/>
      <w:marBottom w:val="0"/>
      <w:divBdr>
        <w:top w:val="none" w:sz="0" w:space="0" w:color="auto"/>
        <w:left w:val="none" w:sz="0" w:space="0" w:color="auto"/>
        <w:bottom w:val="none" w:sz="0" w:space="0" w:color="auto"/>
        <w:right w:val="none" w:sz="0" w:space="0" w:color="auto"/>
      </w:divBdr>
    </w:div>
    <w:div w:id="1400597332">
      <w:bodyDiv w:val="1"/>
      <w:marLeft w:val="0"/>
      <w:marRight w:val="0"/>
      <w:marTop w:val="0"/>
      <w:marBottom w:val="0"/>
      <w:divBdr>
        <w:top w:val="none" w:sz="0" w:space="0" w:color="auto"/>
        <w:left w:val="none" w:sz="0" w:space="0" w:color="auto"/>
        <w:bottom w:val="none" w:sz="0" w:space="0" w:color="auto"/>
        <w:right w:val="none" w:sz="0" w:space="0" w:color="auto"/>
      </w:divBdr>
    </w:div>
    <w:div w:id="1400982983">
      <w:bodyDiv w:val="1"/>
      <w:marLeft w:val="0"/>
      <w:marRight w:val="0"/>
      <w:marTop w:val="0"/>
      <w:marBottom w:val="0"/>
      <w:divBdr>
        <w:top w:val="none" w:sz="0" w:space="0" w:color="auto"/>
        <w:left w:val="none" w:sz="0" w:space="0" w:color="auto"/>
        <w:bottom w:val="none" w:sz="0" w:space="0" w:color="auto"/>
        <w:right w:val="none" w:sz="0" w:space="0" w:color="auto"/>
      </w:divBdr>
    </w:div>
    <w:div w:id="1401443677">
      <w:bodyDiv w:val="1"/>
      <w:marLeft w:val="0"/>
      <w:marRight w:val="0"/>
      <w:marTop w:val="0"/>
      <w:marBottom w:val="0"/>
      <w:divBdr>
        <w:top w:val="none" w:sz="0" w:space="0" w:color="auto"/>
        <w:left w:val="none" w:sz="0" w:space="0" w:color="auto"/>
        <w:bottom w:val="none" w:sz="0" w:space="0" w:color="auto"/>
        <w:right w:val="none" w:sz="0" w:space="0" w:color="auto"/>
      </w:divBdr>
    </w:div>
    <w:div w:id="1401560475">
      <w:bodyDiv w:val="1"/>
      <w:marLeft w:val="0"/>
      <w:marRight w:val="0"/>
      <w:marTop w:val="0"/>
      <w:marBottom w:val="0"/>
      <w:divBdr>
        <w:top w:val="none" w:sz="0" w:space="0" w:color="auto"/>
        <w:left w:val="none" w:sz="0" w:space="0" w:color="auto"/>
        <w:bottom w:val="none" w:sz="0" w:space="0" w:color="auto"/>
        <w:right w:val="none" w:sz="0" w:space="0" w:color="auto"/>
      </w:divBdr>
    </w:div>
    <w:div w:id="1403135476">
      <w:bodyDiv w:val="1"/>
      <w:marLeft w:val="0"/>
      <w:marRight w:val="0"/>
      <w:marTop w:val="0"/>
      <w:marBottom w:val="0"/>
      <w:divBdr>
        <w:top w:val="none" w:sz="0" w:space="0" w:color="auto"/>
        <w:left w:val="none" w:sz="0" w:space="0" w:color="auto"/>
        <w:bottom w:val="none" w:sz="0" w:space="0" w:color="auto"/>
        <w:right w:val="none" w:sz="0" w:space="0" w:color="auto"/>
      </w:divBdr>
    </w:div>
    <w:div w:id="1405254746">
      <w:bodyDiv w:val="1"/>
      <w:marLeft w:val="0"/>
      <w:marRight w:val="0"/>
      <w:marTop w:val="0"/>
      <w:marBottom w:val="0"/>
      <w:divBdr>
        <w:top w:val="none" w:sz="0" w:space="0" w:color="auto"/>
        <w:left w:val="none" w:sz="0" w:space="0" w:color="auto"/>
        <w:bottom w:val="none" w:sz="0" w:space="0" w:color="auto"/>
        <w:right w:val="none" w:sz="0" w:space="0" w:color="auto"/>
      </w:divBdr>
    </w:div>
    <w:div w:id="1406296448">
      <w:bodyDiv w:val="1"/>
      <w:marLeft w:val="0"/>
      <w:marRight w:val="0"/>
      <w:marTop w:val="0"/>
      <w:marBottom w:val="0"/>
      <w:divBdr>
        <w:top w:val="none" w:sz="0" w:space="0" w:color="auto"/>
        <w:left w:val="none" w:sz="0" w:space="0" w:color="auto"/>
        <w:bottom w:val="none" w:sz="0" w:space="0" w:color="auto"/>
        <w:right w:val="none" w:sz="0" w:space="0" w:color="auto"/>
      </w:divBdr>
    </w:div>
    <w:div w:id="1406537299">
      <w:bodyDiv w:val="1"/>
      <w:marLeft w:val="0"/>
      <w:marRight w:val="0"/>
      <w:marTop w:val="0"/>
      <w:marBottom w:val="0"/>
      <w:divBdr>
        <w:top w:val="none" w:sz="0" w:space="0" w:color="auto"/>
        <w:left w:val="none" w:sz="0" w:space="0" w:color="auto"/>
        <w:bottom w:val="none" w:sz="0" w:space="0" w:color="auto"/>
        <w:right w:val="none" w:sz="0" w:space="0" w:color="auto"/>
      </w:divBdr>
    </w:div>
    <w:div w:id="1407338912">
      <w:bodyDiv w:val="1"/>
      <w:marLeft w:val="0"/>
      <w:marRight w:val="0"/>
      <w:marTop w:val="0"/>
      <w:marBottom w:val="0"/>
      <w:divBdr>
        <w:top w:val="none" w:sz="0" w:space="0" w:color="auto"/>
        <w:left w:val="none" w:sz="0" w:space="0" w:color="auto"/>
        <w:bottom w:val="none" w:sz="0" w:space="0" w:color="auto"/>
        <w:right w:val="none" w:sz="0" w:space="0" w:color="auto"/>
      </w:divBdr>
    </w:div>
    <w:div w:id="1408846726">
      <w:bodyDiv w:val="1"/>
      <w:marLeft w:val="0"/>
      <w:marRight w:val="0"/>
      <w:marTop w:val="0"/>
      <w:marBottom w:val="0"/>
      <w:divBdr>
        <w:top w:val="none" w:sz="0" w:space="0" w:color="auto"/>
        <w:left w:val="none" w:sz="0" w:space="0" w:color="auto"/>
        <w:bottom w:val="none" w:sz="0" w:space="0" w:color="auto"/>
        <w:right w:val="none" w:sz="0" w:space="0" w:color="auto"/>
      </w:divBdr>
    </w:div>
    <w:div w:id="1411388014">
      <w:bodyDiv w:val="1"/>
      <w:marLeft w:val="0"/>
      <w:marRight w:val="0"/>
      <w:marTop w:val="0"/>
      <w:marBottom w:val="0"/>
      <w:divBdr>
        <w:top w:val="none" w:sz="0" w:space="0" w:color="auto"/>
        <w:left w:val="none" w:sz="0" w:space="0" w:color="auto"/>
        <w:bottom w:val="none" w:sz="0" w:space="0" w:color="auto"/>
        <w:right w:val="none" w:sz="0" w:space="0" w:color="auto"/>
      </w:divBdr>
    </w:div>
    <w:div w:id="1414667333">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23457585">
      <w:bodyDiv w:val="1"/>
      <w:marLeft w:val="0"/>
      <w:marRight w:val="0"/>
      <w:marTop w:val="0"/>
      <w:marBottom w:val="0"/>
      <w:divBdr>
        <w:top w:val="none" w:sz="0" w:space="0" w:color="auto"/>
        <w:left w:val="none" w:sz="0" w:space="0" w:color="auto"/>
        <w:bottom w:val="none" w:sz="0" w:space="0" w:color="auto"/>
        <w:right w:val="none" w:sz="0" w:space="0" w:color="auto"/>
      </w:divBdr>
    </w:div>
    <w:div w:id="1424448672">
      <w:bodyDiv w:val="1"/>
      <w:marLeft w:val="0"/>
      <w:marRight w:val="0"/>
      <w:marTop w:val="0"/>
      <w:marBottom w:val="0"/>
      <w:divBdr>
        <w:top w:val="none" w:sz="0" w:space="0" w:color="auto"/>
        <w:left w:val="none" w:sz="0" w:space="0" w:color="auto"/>
        <w:bottom w:val="none" w:sz="0" w:space="0" w:color="auto"/>
        <w:right w:val="none" w:sz="0" w:space="0" w:color="auto"/>
      </w:divBdr>
    </w:div>
    <w:div w:id="1425147414">
      <w:bodyDiv w:val="1"/>
      <w:marLeft w:val="0"/>
      <w:marRight w:val="0"/>
      <w:marTop w:val="0"/>
      <w:marBottom w:val="0"/>
      <w:divBdr>
        <w:top w:val="none" w:sz="0" w:space="0" w:color="auto"/>
        <w:left w:val="none" w:sz="0" w:space="0" w:color="auto"/>
        <w:bottom w:val="none" w:sz="0" w:space="0" w:color="auto"/>
        <w:right w:val="none" w:sz="0" w:space="0" w:color="auto"/>
      </w:divBdr>
    </w:div>
    <w:div w:id="1426222151">
      <w:bodyDiv w:val="1"/>
      <w:marLeft w:val="0"/>
      <w:marRight w:val="0"/>
      <w:marTop w:val="0"/>
      <w:marBottom w:val="0"/>
      <w:divBdr>
        <w:top w:val="none" w:sz="0" w:space="0" w:color="auto"/>
        <w:left w:val="none" w:sz="0" w:space="0" w:color="auto"/>
        <w:bottom w:val="none" w:sz="0" w:space="0" w:color="auto"/>
        <w:right w:val="none" w:sz="0" w:space="0" w:color="auto"/>
      </w:divBdr>
    </w:div>
    <w:div w:id="1430193841">
      <w:bodyDiv w:val="1"/>
      <w:marLeft w:val="0"/>
      <w:marRight w:val="0"/>
      <w:marTop w:val="0"/>
      <w:marBottom w:val="0"/>
      <w:divBdr>
        <w:top w:val="none" w:sz="0" w:space="0" w:color="auto"/>
        <w:left w:val="none" w:sz="0" w:space="0" w:color="auto"/>
        <w:bottom w:val="none" w:sz="0" w:space="0" w:color="auto"/>
        <w:right w:val="none" w:sz="0" w:space="0" w:color="auto"/>
      </w:divBdr>
    </w:div>
    <w:div w:id="1431269649">
      <w:bodyDiv w:val="1"/>
      <w:marLeft w:val="0"/>
      <w:marRight w:val="0"/>
      <w:marTop w:val="0"/>
      <w:marBottom w:val="0"/>
      <w:divBdr>
        <w:top w:val="none" w:sz="0" w:space="0" w:color="auto"/>
        <w:left w:val="none" w:sz="0" w:space="0" w:color="auto"/>
        <w:bottom w:val="none" w:sz="0" w:space="0" w:color="auto"/>
        <w:right w:val="none" w:sz="0" w:space="0" w:color="auto"/>
      </w:divBdr>
    </w:div>
    <w:div w:id="1432698196">
      <w:bodyDiv w:val="1"/>
      <w:marLeft w:val="0"/>
      <w:marRight w:val="0"/>
      <w:marTop w:val="0"/>
      <w:marBottom w:val="0"/>
      <w:divBdr>
        <w:top w:val="none" w:sz="0" w:space="0" w:color="auto"/>
        <w:left w:val="none" w:sz="0" w:space="0" w:color="auto"/>
        <w:bottom w:val="none" w:sz="0" w:space="0" w:color="auto"/>
        <w:right w:val="none" w:sz="0" w:space="0" w:color="auto"/>
      </w:divBdr>
    </w:div>
    <w:div w:id="1438209599">
      <w:bodyDiv w:val="1"/>
      <w:marLeft w:val="0"/>
      <w:marRight w:val="0"/>
      <w:marTop w:val="0"/>
      <w:marBottom w:val="0"/>
      <w:divBdr>
        <w:top w:val="none" w:sz="0" w:space="0" w:color="auto"/>
        <w:left w:val="none" w:sz="0" w:space="0" w:color="auto"/>
        <w:bottom w:val="none" w:sz="0" w:space="0" w:color="auto"/>
        <w:right w:val="none" w:sz="0" w:space="0" w:color="auto"/>
      </w:divBdr>
    </w:div>
    <w:div w:id="1439520764">
      <w:bodyDiv w:val="1"/>
      <w:marLeft w:val="0"/>
      <w:marRight w:val="0"/>
      <w:marTop w:val="0"/>
      <w:marBottom w:val="0"/>
      <w:divBdr>
        <w:top w:val="none" w:sz="0" w:space="0" w:color="auto"/>
        <w:left w:val="none" w:sz="0" w:space="0" w:color="auto"/>
        <w:bottom w:val="none" w:sz="0" w:space="0" w:color="auto"/>
        <w:right w:val="none" w:sz="0" w:space="0" w:color="auto"/>
      </w:divBdr>
    </w:div>
    <w:div w:id="1439564287">
      <w:bodyDiv w:val="1"/>
      <w:marLeft w:val="0"/>
      <w:marRight w:val="0"/>
      <w:marTop w:val="0"/>
      <w:marBottom w:val="0"/>
      <w:divBdr>
        <w:top w:val="none" w:sz="0" w:space="0" w:color="auto"/>
        <w:left w:val="none" w:sz="0" w:space="0" w:color="auto"/>
        <w:bottom w:val="none" w:sz="0" w:space="0" w:color="auto"/>
        <w:right w:val="none" w:sz="0" w:space="0" w:color="auto"/>
      </w:divBdr>
    </w:div>
    <w:div w:id="1439912559">
      <w:bodyDiv w:val="1"/>
      <w:marLeft w:val="0"/>
      <w:marRight w:val="0"/>
      <w:marTop w:val="0"/>
      <w:marBottom w:val="0"/>
      <w:divBdr>
        <w:top w:val="none" w:sz="0" w:space="0" w:color="auto"/>
        <w:left w:val="none" w:sz="0" w:space="0" w:color="auto"/>
        <w:bottom w:val="none" w:sz="0" w:space="0" w:color="auto"/>
        <w:right w:val="none" w:sz="0" w:space="0" w:color="auto"/>
      </w:divBdr>
    </w:div>
    <w:div w:id="1442722402">
      <w:bodyDiv w:val="1"/>
      <w:marLeft w:val="0"/>
      <w:marRight w:val="0"/>
      <w:marTop w:val="0"/>
      <w:marBottom w:val="0"/>
      <w:divBdr>
        <w:top w:val="none" w:sz="0" w:space="0" w:color="auto"/>
        <w:left w:val="none" w:sz="0" w:space="0" w:color="auto"/>
        <w:bottom w:val="none" w:sz="0" w:space="0" w:color="auto"/>
        <w:right w:val="none" w:sz="0" w:space="0" w:color="auto"/>
      </w:divBdr>
    </w:div>
    <w:div w:id="1443644454">
      <w:bodyDiv w:val="1"/>
      <w:marLeft w:val="0"/>
      <w:marRight w:val="0"/>
      <w:marTop w:val="0"/>
      <w:marBottom w:val="0"/>
      <w:divBdr>
        <w:top w:val="none" w:sz="0" w:space="0" w:color="auto"/>
        <w:left w:val="none" w:sz="0" w:space="0" w:color="auto"/>
        <w:bottom w:val="none" w:sz="0" w:space="0" w:color="auto"/>
        <w:right w:val="none" w:sz="0" w:space="0" w:color="auto"/>
      </w:divBdr>
    </w:div>
    <w:div w:id="1443650909">
      <w:bodyDiv w:val="1"/>
      <w:marLeft w:val="0"/>
      <w:marRight w:val="0"/>
      <w:marTop w:val="0"/>
      <w:marBottom w:val="0"/>
      <w:divBdr>
        <w:top w:val="none" w:sz="0" w:space="0" w:color="auto"/>
        <w:left w:val="none" w:sz="0" w:space="0" w:color="auto"/>
        <w:bottom w:val="none" w:sz="0" w:space="0" w:color="auto"/>
        <w:right w:val="none" w:sz="0" w:space="0" w:color="auto"/>
      </w:divBdr>
    </w:div>
    <w:div w:id="1443651575">
      <w:bodyDiv w:val="1"/>
      <w:marLeft w:val="0"/>
      <w:marRight w:val="0"/>
      <w:marTop w:val="0"/>
      <w:marBottom w:val="0"/>
      <w:divBdr>
        <w:top w:val="none" w:sz="0" w:space="0" w:color="auto"/>
        <w:left w:val="none" w:sz="0" w:space="0" w:color="auto"/>
        <w:bottom w:val="none" w:sz="0" w:space="0" w:color="auto"/>
        <w:right w:val="none" w:sz="0" w:space="0" w:color="auto"/>
      </w:divBdr>
    </w:div>
    <w:div w:id="1445803294">
      <w:bodyDiv w:val="1"/>
      <w:marLeft w:val="0"/>
      <w:marRight w:val="0"/>
      <w:marTop w:val="0"/>
      <w:marBottom w:val="0"/>
      <w:divBdr>
        <w:top w:val="none" w:sz="0" w:space="0" w:color="auto"/>
        <w:left w:val="none" w:sz="0" w:space="0" w:color="auto"/>
        <w:bottom w:val="none" w:sz="0" w:space="0" w:color="auto"/>
        <w:right w:val="none" w:sz="0" w:space="0" w:color="auto"/>
      </w:divBdr>
    </w:div>
    <w:div w:id="1446656193">
      <w:bodyDiv w:val="1"/>
      <w:marLeft w:val="0"/>
      <w:marRight w:val="0"/>
      <w:marTop w:val="0"/>
      <w:marBottom w:val="0"/>
      <w:divBdr>
        <w:top w:val="none" w:sz="0" w:space="0" w:color="auto"/>
        <w:left w:val="none" w:sz="0" w:space="0" w:color="auto"/>
        <w:bottom w:val="none" w:sz="0" w:space="0" w:color="auto"/>
        <w:right w:val="none" w:sz="0" w:space="0" w:color="auto"/>
      </w:divBdr>
    </w:div>
    <w:div w:id="1449199275">
      <w:bodyDiv w:val="1"/>
      <w:marLeft w:val="0"/>
      <w:marRight w:val="0"/>
      <w:marTop w:val="0"/>
      <w:marBottom w:val="0"/>
      <w:divBdr>
        <w:top w:val="none" w:sz="0" w:space="0" w:color="auto"/>
        <w:left w:val="none" w:sz="0" w:space="0" w:color="auto"/>
        <w:bottom w:val="none" w:sz="0" w:space="0" w:color="auto"/>
        <w:right w:val="none" w:sz="0" w:space="0" w:color="auto"/>
      </w:divBdr>
    </w:div>
    <w:div w:id="1449659966">
      <w:bodyDiv w:val="1"/>
      <w:marLeft w:val="0"/>
      <w:marRight w:val="0"/>
      <w:marTop w:val="0"/>
      <w:marBottom w:val="0"/>
      <w:divBdr>
        <w:top w:val="none" w:sz="0" w:space="0" w:color="auto"/>
        <w:left w:val="none" w:sz="0" w:space="0" w:color="auto"/>
        <w:bottom w:val="none" w:sz="0" w:space="0" w:color="auto"/>
        <w:right w:val="none" w:sz="0" w:space="0" w:color="auto"/>
      </w:divBdr>
    </w:div>
    <w:div w:id="1455909192">
      <w:bodyDiv w:val="1"/>
      <w:marLeft w:val="0"/>
      <w:marRight w:val="0"/>
      <w:marTop w:val="0"/>
      <w:marBottom w:val="0"/>
      <w:divBdr>
        <w:top w:val="none" w:sz="0" w:space="0" w:color="auto"/>
        <w:left w:val="none" w:sz="0" w:space="0" w:color="auto"/>
        <w:bottom w:val="none" w:sz="0" w:space="0" w:color="auto"/>
        <w:right w:val="none" w:sz="0" w:space="0" w:color="auto"/>
      </w:divBdr>
    </w:div>
    <w:div w:id="1462964078">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5199276">
      <w:bodyDiv w:val="1"/>
      <w:marLeft w:val="0"/>
      <w:marRight w:val="0"/>
      <w:marTop w:val="0"/>
      <w:marBottom w:val="0"/>
      <w:divBdr>
        <w:top w:val="none" w:sz="0" w:space="0" w:color="auto"/>
        <w:left w:val="none" w:sz="0" w:space="0" w:color="auto"/>
        <w:bottom w:val="none" w:sz="0" w:space="0" w:color="auto"/>
        <w:right w:val="none" w:sz="0" w:space="0" w:color="auto"/>
      </w:divBdr>
    </w:div>
    <w:div w:id="146539255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822108">
      <w:bodyDiv w:val="1"/>
      <w:marLeft w:val="0"/>
      <w:marRight w:val="0"/>
      <w:marTop w:val="0"/>
      <w:marBottom w:val="0"/>
      <w:divBdr>
        <w:top w:val="none" w:sz="0" w:space="0" w:color="auto"/>
        <w:left w:val="none" w:sz="0" w:space="0" w:color="auto"/>
        <w:bottom w:val="none" w:sz="0" w:space="0" w:color="auto"/>
        <w:right w:val="none" w:sz="0" w:space="0" w:color="auto"/>
      </w:divBdr>
    </w:div>
    <w:div w:id="1467965113">
      <w:bodyDiv w:val="1"/>
      <w:marLeft w:val="0"/>
      <w:marRight w:val="0"/>
      <w:marTop w:val="0"/>
      <w:marBottom w:val="0"/>
      <w:divBdr>
        <w:top w:val="none" w:sz="0" w:space="0" w:color="auto"/>
        <w:left w:val="none" w:sz="0" w:space="0" w:color="auto"/>
        <w:bottom w:val="none" w:sz="0" w:space="0" w:color="auto"/>
        <w:right w:val="none" w:sz="0" w:space="0" w:color="auto"/>
      </w:divBdr>
    </w:div>
    <w:div w:id="1469667238">
      <w:bodyDiv w:val="1"/>
      <w:marLeft w:val="0"/>
      <w:marRight w:val="0"/>
      <w:marTop w:val="0"/>
      <w:marBottom w:val="0"/>
      <w:divBdr>
        <w:top w:val="none" w:sz="0" w:space="0" w:color="auto"/>
        <w:left w:val="none" w:sz="0" w:space="0" w:color="auto"/>
        <w:bottom w:val="none" w:sz="0" w:space="0" w:color="auto"/>
        <w:right w:val="none" w:sz="0" w:space="0" w:color="auto"/>
      </w:divBdr>
    </w:div>
    <w:div w:id="1470903793">
      <w:bodyDiv w:val="1"/>
      <w:marLeft w:val="0"/>
      <w:marRight w:val="0"/>
      <w:marTop w:val="0"/>
      <w:marBottom w:val="0"/>
      <w:divBdr>
        <w:top w:val="none" w:sz="0" w:space="0" w:color="auto"/>
        <w:left w:val="none" w:sz="0" w:space="0" w:color="auto"/>
        <w:bottom w:val="none" w:sz="0" w:space="0" w:color="auto"/>
        <w:right w:val="none" w:sz="0" w:space="0" w:color="auto"/>
      </w:divBdr>
    </w:div>
    <w:div w:id="1471970839">
      <w:bodyDiv w:val="1"/>
      <w:marLeft w:val="0"/>
      <w:marRight w:val="0"/>
      <w:marTop w:val="0"/>
      <w:marBottom w:val="0"/>
      <w:divBdr>
        <w:top w:val="none" w:sz="0" w:space="0" w:color="auto"/>
        <w:left w:val="none" w:sz="0" w:space="0" w:color="auto"/>
        <w:bottom w:val="none" w:sz="0" w:space="0" w:color="auto"/>
        <w:right w:val="none" w:sz="0" w:space="0" w:color="auto"/>
      </w:divBdr>
    </w:div>
    <w:div w:id="1472093369">
      <w:bodyDiv w:val="1"/>
      <w:marLeft w:val="0"/>
      <w:marRight w:val="0"/>
      <w:marTop w:val="0"/>
      <w:marBottom w:val="0"/>
      <w:divBdr>
        <w:top w:val="none" w:sz="0" w:space="0" w:color="auto"/>
        <w:left w:val="none" w:sz="0" w:space="0" w:color="auto"/>
        <w:bottom w:val="none" w:sz="0" w:space="0" w:color="auto"/>
        <w:right w:val="none" w:sz="0" w:space="0" w:color="auto"/>
      </w:divBdr>
    </w:div>
    <w:div w:id="1472214146">
      <w:bodyDiv w:val="1"/>
      <w:marLeft w:val="0"/>
      <w:marRight w:val="0"/>
      <w:marTop w:val="0"/>
      <w:marBottom w:val="0"/>
      <w:divBdr>
        <w:top w:val="none" w:sz="0" w:space="0" w:color="auto"/>
        <w:left w:val="none" w:sz="0" w:space="0" w:color="auto"/>
        <w:bottom w:val="none" w:sz="0" w:space="0" w:color="auto"/>
        <w:right w:val="none" w:sz="0" w:space="0" w:color="auto"/>
      </w:divBdr>
    </w:div>
    <w:div w:id="1472215843">
      <w:bodyDiv w:val="1"/>
      <w:marLeft w:val="0"/>
      <w:marRight w:val="0"/>
      <w:marTop w:val="0"/>
      <w:marBottom w:val="0"/>
      <w:divBdr>
        <w:top w:val="none" w:sz="0" w:space="0" w:color="auto"/>
        <w:left w:val="none" w:sz="0" w:space="0" w:color="auto"/>
        <w:bottom w:val="none" w:sz="0" w:space="0" w:color="auto"/>
        <w:right w:val="none" w:sz="0" w:space="0" w:color="auto"/>
      </w:divBdr>
    </w:div>
    <w:div w:id="1473525380">
      <w:bodyDiv w:val="1"/>
      <w:marLeft w:val="0"/>
      <w:marRight w:val="0"/>
      <w:marTop w:val="0"/>
      <w:marBottom w:val="0"/>
      <w:divBdr>
        <w:top w:val="none" w:sz="0" w:space="0" w:color="auto"/>
        <w:left w:val="none" w:sz="0" w:space="0" w:color="auto"/>
        <w:bottom w:val="none" w:sz="0" w:space="0" w:color="auto"/>
        <w:right w:val="none" w:sz="0" w:space="0" w:color="auto"/>
      </w:divBdr>
    </w:div>
    <w:div w:id="1481843493">
      <w:bodyDiv w:val="1"/>
      <w:marLeft w:val="0"/>
      <w:marRight w:val="0"/>
      <w:marTop w:val="0"/>
      <w:marBottom w:val="0"/>
      <w:divBdr>
        <w:top w:val="none" w:sz="0" w:space="0" w:color="auto"/>
        <w:left w:val="none" w:sz="0" w:space="0" w:color="auto"/>
        <w:bottom w:val="none" w:sz="0" w:space="0" w:color="auto"/>
        <w:right w:val="none" w:sz="0" w:space="0" w:color="auto"/>
      </w:divBdr>
    </w:div>
    <w:div w:id="1482504672">
      <w:bodyDiv w:val="1"/>
      <w:marLeft w:val="0"/>
      <w:marRight w:val="0"/>
      <w:marTop w:val="0"/>
      <w:marBottom w:val="0"/>
      <w:divBdr>
        <w:top w:val="none" w:sz="0" w:space="0" w:color="auto"/>
        <w:left w:val="none" w:sz="0" w:space="0" w:color="auto"/>
        <w:bottom w:val="none" w:sz="0" w:space="0" w:color="auto"/>
        <w:right w:val="none" w:sz="0" w:space="0" w:color="auto"/>
      </w:divBdr>
    </w:div>
    <w:div w:id="1483934840">
      <w:bodyDiv w:val="1"/>
      <w:marLeft w:val="0"/>
      <w:marRight w:val="0"/>
      <w:marTop w:val="0"/>
      <w:marBottom w:val="0"/>
      <w:divBdr>
        <w:top w:val="none" w:sz="0" w:space="0" w:color="auto"/>
        <w:left w:val="none" w:sz="0" w:space="0" w:color="auto"/>
        <w:bottom w:val="none" w:sz="0" w:space="0" w:color="auto"/>
        <w:right w:val="none" w:sz="0" w:space="0" w:color="auto"/>
      </w:divBdr>
    </w:div>
    <w:div w:id="1486120217">
      <w:bodyDiv w:val="1"/>
      <w:marLeft w:val="0"/>
      <w:marRight w:val="0"/>
      <w:marTop w:val="0"/>
      <w:marBottom w:val="0"/>
      <w:divBdr>
        <w:top w:val="none" w:sz="0" w:space="0" w:color="auto"/>
        <w:left w:val="none" w:sz="0" w:space="0" w:color="auto"/>
        <w:bottom w:val="none" w:sz="0" w:space="0" w:color="auto"/>
        <w:right w:val="none" w:sz="0" w:space="0" w:color="auto"/>
      </w:divBdr>
    </w:div>
    <w:div w:id="1486238048">
      <w:bodyDiv w:val="1"/>
      <w:marLeft w:val="0"/>
      <w:marRight w:val="0"/>
      <w:marTop w:val="0"/>
      <w:marBottom w:val="0"/>
      <w:divBdr>
        <w:top w:val="none" w:sz="0" w:space="0" w:color="auto"/>
        <w:left w:val="none" w:sz="0" w:space="0" w:color="auto"/>
        <w:bottom w:val="none" w:sz="0" w:space="0" w:color="auto"/>
        <w:right w:val="none" w:sz="0" w:space="0" w:color="auto"/>
      </w:divBdr>
    </w:div>
    <w:div w:id="1490252039">
      <w:bodyDiv w:val="1"/>
      <w:marLeft w:val="0"/>
      <w:marRight w:val="0"/>
      <w:marTop w:val="0"/>
      <w:marBottom w:val="0"/>
      <w:divBdr>
        <w:top w:val="none" w:sz="0" w:space="0" w:color="auto"/>
        <w:left w:val="none" w:sz="0" w:space="0" w:color="auto"/>
        <w:bottom w:val="none" w:sz="0" w:space="0" w:color="auto"/>
        <w:right w:val="none" w:sz="0" w:space="0" w:color="auto"/>
      </w:divBdr>
    </w:div>
    <w:div w:id="1494030155">
      <w:bodyDiv w:val="1"/>
      <w:marLeft w:val="0"/>
      <w:marRight w:val="0"/>
      <w:marTop w:val="0"/>
      <w:marBottom w:val="0"/>
      <w:divBdr>
        <w:top w:val="none" w:sz="0" w:space="0" w:color="auto"/>
        <w:left w:val="none" w:sz="0" w:space="0" w:color="auto"/>
        <w:bottom w:val="none" w:sz="0" w:space="0" w:color="auto"/>
        <w:right w:val="none" w:sz="0" w:space="0" w:color="auto"/>
      </w:divBdr>
    </w:div>
    <w:div w:id="1495678386">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038925">
      <w:bodyDiv w:val="1"/>
      <w:marLeft w:val="0"/>
      <w:marRight w:val="0"/>
      <w:marTop w:val="0"/>
      <w:marBottom w:val="0"/>
      <w:divBdr>
        <w:top w:val="none" w:sz="0" w:space="0" w:color="auto"/>
        <w:left w:val="none" w:sz="0" w:space="0" w:color="auto"/>
        <w:bottom w:val="none" w:sz="0" w:space="0" w:color="auto"/>
        <w:right w:val="none" w:sz="0" w:space="0" w:color="auto"/>
      </w:divBdr>
    </w:div>
    <w:div w:id="1497263500">
      <w:bodyDiv w:val="1"/>
      <w:marLeft w:val="0"/>
      <w:marRight w:val="0"/>
      <w:marTop w:val="0"/>
      <w:marBottom w:val="0"/>
      <w:divBdr>
        <w:top w:val="none" w:sz="0" w:space="0" w:color="auto"/>
        <w:left w:val="none" w:sz="0" w:space="0" w:color="auto"/>
        <w:bottom w:val="none" w:sz="0" w:space="0" w:color="auto"/>
        <w:right w:val="none" w:sz="0" w:space="0" w:color="auto"/>
      </w:divBdr>
    </w:div>
    <w:div w:id="1497577765">
      <w:bodyDiv w:val="1"/>
      <w:marLeft w:val="0"/>
      <w:marRight w:val="0"/>
      <w:marTop w:val="0"/>
      <w:marBottom w:val="0"/>
      <w:divBdr>
        <w:top w:val="none" w:sz="0" w:space="0" w:color="auto"/>
        <w:left w:val="none" w:sz="0" w:space="0" w:color="auto"/>
        <w:bottom w:val="none" w:sz="0" w:space="0" w:color="auto"/>
        <w:right w:val="none" w:sz="0" w:space="0" w:color="auto"/>
      </w:divBdr>
    </w:div>
    <w:div w:id="1502694076">
      <w:bodyDiv w:val="1"/>
      <w:marLeft w:val="0"/>
      <w:marRight w:val="0"/>
      <w:marTop w:val="0"/>
      <w:marBottom w:val="0"/>
      <w:divBdr>
        <w:top w:val="none" w:sz="0" w:space="0" w:color="auto"/>
        <w:left w:val="none" w:sz="0" w:space="0" w:color="auto"/>
        <w:bottom w:val="none" w:sz="0" w:space="0" w:color="auto"/>
        <w:right w:val="none" w:sz="0" w:space="0" w:color="auto"/>
      </w:divBdr>
    </w:div>
    <w:div w:id="1503623569">
      <w:bodyDiv w:val="1"/>
      <w:marLeft w:val="0"/>
      <w:marRight w:val="0"/>
      <w:marTop w:val="0"/>
      <w:marBottom w:val="0"/>
      <w:divBdr>
        <w:top w:val="none" w:sz="0" w:space="0" w:color="auto"/>
        <w:left w:val="none" w:sz="0" w:space="0" w:color="auto"/>
        <w:bottom w:val="none" w:sz="0" w:space="0" w:color="auto"/>
        <w:right w:val="none" w:sz="0" w:space="0" w:color="auto"/>
      </w:divBdr>
    </w:div>
    <w:div w:id="1505902997">
      <w:bodyDiv w:val="1"/>
      <w:marLeft w:val="0"/>
      <w:marRight w:val="0"/>
      <w:marTop w:val="0"/>
      <w:marBottom w:val="0"/>
      <w:divBdr>
        <w:top w:val="none" w:sz="0" w:space="0" w:color="auto"/>
        <w:left w:val="none" w:sz="0" w:space="0" w:color="auto"/>
        <w:bottom w:val="none" w:sz="0" w:space="0" w:color="auto"/>
        <w:right w:val="none" w:sz="0" w:space="0" w:color="auto"/>
      </w:divBdr>
    </w:div>
    <w:div w:id="1508787566">
      <w:bodyDiv w:val="1"/>
      <w:marLeft w:val="0"/>
      <w:marRight w:val="0"/>
      <w:marTop w:val="0"/>
      <w:marBottom w:val="0"/>
      <w:divBdr>
        <w:top w:val="none" w:sz="0" w:space="0" w:color="auto"/>
        <w:left w:val="none" w:sz="0" w:space="0" w:color="auto"/>
        <w:bottom w:val="none" w:sz="0" w:space="0" w:color="auto"/>
        <w:right w:val="none" w:sz="0" w:space="0" w:color="auto"/>
      </w:divBdr>
    </w:div>
    <w:div w:id="1512143698">
      <w:bodyDiv w:val="1"/>
      <w:marLeft w:val="0"/>
      <w:marRight w:val="0"/>
      <w:marTop w:val="0"/>
      <w:marBottom w:val="0"/>
      <w:divBdr>
        <w:top w:val="none" w:sz="0" w:space="0" w:color="auto"/>
        <w:left w:val="none" w:sz="0" w:space="0" w:color="auto"/>
        <w:bottom w:val="none" w:sz="0" w:space="0" w:color="auto"/>
        <w:right w:val="none" w:sz="0" w:space="0" w:color="auto"/>
      </w:divBdr>
    </w:div>
    <w:div w:id="1513495270">
      <w:bodyDiv w:val="1"/>
      <w:marLeft w:val="0"/>
      <w:marRight w:val="0"/>
      <w:marTop w:val="0"/>
      <w:marBottom w:val="0"/>
      <w:divBdr>
        <w:top w:val="none" w:sz="0" w:space="0" w:color="auto"/>
        <w:left w:val="none" w:sz="0" w:space="0" w:color="auto"/>
        <w:bottom w:val="none" w:sz="0" w:space="0" w:color="auto"/>
        <w:right w:val="none" w:sz="0" w:space="0" w:color="auto"/>
      </w:divBdr>
    </w:div>
    <w:div w:id="1514806980">
      <w:bodyDiv w:val="1"/>
      <w:marLeft w:val="0"/>
      <w:marRight w:val="0"/>
      <w:marTop w:val="0"/>
      <w:marBottom w:val="0"/>
      <w:divBdr>
        <w:top w:val="none" w:sz="0" w:space="0" w:color="auto"/>
        <w:left w:val="none" w:sz="0" w:space="0" w:color="auto"/>
        <w:bottom w:val="none" w:sz="0" w:space="0" w:color="auto"/>
        <w:right w:val="none" w:sz="0" w:space="0" w:color="auto"/>
      </w:divBdr>
    </w:div>
    <w:div w:id="1515731037">
      <w:bodyDiv w:val="1"/>
      <w:marLeft w:val="0"/>
      <w:marRight w:val="0"/>
      <w:marTop w:val="0"/>
      <w:marBottom w:val="0"/>
      <w:divBdr>
        <w:top w:val="none" w:sz="0" w:space="0" w:color="auto"/>
        <w:left w:val="none" w:sz="0" w:space="0" w:color="auto"/>
        <w:bottom w:val="none" w:sz="0" w:space="0" w:color="auto"/>
        <w:right w:val="none" w:sz="0" w:space="0" w:color="auto"/>
      </w:divBdr>
    </w:div>
    <w:div w:id="1517115640">
      <w:bodyDiv w:val="1"/>
      <w:marLeft w:val="0"/>
      <w:marRight w:val="0"/>
      <w:marTop w:val="0"/>
      <w:marBottom w:val="0"/>
      <w:divBdr>
        <w:top w:val="none" w:sz="0" w:space="0" w:color="auto"/>
        <w:left w:val="none" w:sz="0" w:space="0" w:color="auto"/>
        <w:bottom w:val="none" w:sz="0" w:space="0" w:color="auto"/>
        <w:right w:val="none" w:sz="0" w:space="0" w:color="auto"/>
      </w:divBdr>
    </w:div>
    <w:div w:id="1523862594">
      <w:bodyDiv w:val="1"/>
      <w:marLeft w:val="0"/>
      <w:marRight w:val="0"/>
      <w:marTop w:val="0"/>
      <w:marBottom w:val="0"/>
      <w:divBdr>
        <w:top w:val="none" w:sz="0" w:space="0" w:color="auto"/>
        <w:left w:val="none" w:sz="0" w:space="0" w:color="auto"/>
        <w:bottom w:val="none" w:sz="0" w:space="0" w:color="auto"/>
        <w:right w:val="none" w:sz="0" w:space="0" w:color="auto"/>
      </w:divBdr>
    </w:div>
    <w:div w:id="1524172705">
      <w:bodyDiv w:val="1"/>
      <w:marLeft w:val="0"/>
      <w:marRight w:val="0"/>
      <w:marTop w:val="0"/>
      <w:marBottom w:val="0"/>
      <w:divBdr>
        <w:top w:val="none" w:sz="0" w:space="0" w:color="auto"/>
        <w:left w:val="none" w:sz="0" w:space="0" w:color="auto"/>
        <w:bottom w:val="none" w:sz="0" w:space="0" w:color="auto"/>
        <w:right w:val="none" w:sz="0" w:space="0" w:color="auto"/>
      </w:divBdr>
    </w:div>
    <w:div w:id="1525560144">
      <w:bodyDiv w:val="1"/>
      <w:marLeft w:val="0"/>
      <w:marRight w:val="0"/>
      <w:marTop w:val="0"/>
      <w:marBottom w:val="0"/>
      <w:divBdr>
        <w:top w:val="none" w:sz="0" w:space="0" w:color="auto"/>
        <w:left w:val="none" w:sz="0" w:space="0" w:color="auto"/>
        <w:bottom w:val="none" w:sz="0" w:space="0" w:color="auto"/>
        <w:right w:val="none" w:sz="0" w:space="0" w:color="auto"/>
      </w:divBdr>
    </w:div>
    <w:div w:id="1526093366">
      <w:bodyDiv w:val="1"/>
      <w:marLeft w:val="0"/>
      <w:marRight w:val="0"/>
      <w:marTop w:val="0"/>
      <w:marBottom w:val="0"/>
      <w:divBdr>
        <w:top w:val="none" w:sz="0" w:space="0" w:color="auto"/>
        <w:left w:val="none" w:sz="0" w:space="0" w:color="auto"/>
        <w:bottom w:val="none" w:sz="0" w:space="0" w:color="auto"/>
        <w:right w:val="none" w:sz="0" w:space="0" w:color="auto"/>
      </w:divBdr>
    </w:div>
    <w:div w:id="1527595559">
      <w:bodyDiv w:val="1"/>
      <w:marLeft w:val="0"/>
      <w:marRight w:val="0"/>
      <w:marTop w:val="0"/>
      <w:marBottom w:val="0"/>
      <w:divBdr>
        <w:top w:val="none" w:sz="0" w:space="0" w:color="auto"/>
        <w:left w:val="none" w:sz="0" w:space="0" w:color="auto"/>
        <w:bottom w:val="none" w:sz="0" w:space="0" w:color="auto"/>
        <w:right w:val="none" w:sz="0" w:space="0" w:color="auto"/>
      </w:divBdr>
    </w:div>
    <w:div w:id="1528985168">
      <w:bodyDiv w:val="1"/>
      <w:marLeft w:val="0"/>
      <w:marRight w:val="0"/>
      <w:marTop w:val="0"/>
      <w:marBottom w:val="0"/>
      <w:divBdr>
        <w:top w:val="none" w:sz="0" w:space="0" w:color="auto"/>
        <w:left w:val="none" w:sz="0" w:space="0" w:color="auto"/>
        <w:bottom w:val="none" w:sz="0" w:space="0" w:color="auto"/>
        <w:right w:val="none" w:sz="0" w:space="0" w:color="auto"/>
      </w:divBdr>
    </w:div>
    <w:div w:id="1530756378">
      <w:bodyDiv w:val="1"/>
      <w:marLeft w:val="0"/>
      <w:marRight w:val="0"/>
      <w:marTop w:val="0"/>
      <w:marBottom w:val="0"/>
      <w:divBdr>
        <w:top w:val="none" w:sz="0" w:space="0" w:color="auto"/>
        <w:left w:val="none" w:sz="0" w:space="0" w:color="auto"/>
        <w:bottom w:val="none" w:sz="0" w:space="0" w:color="auto"/>
        <w:right w:val="none" w:sz="0" w:space="0" w:color="auto"/>
      </w:divBdr>
    </w:div>
    <w:div w:id="1531719399">
      <w:bodyDiv w:val="1"/>
      <w:marLeft w:val="0"/>
      <w:marRight w:val="0"/>
      <w:marTop w:val="0"/>
      <w:marBottom w:val="0"/>
      <w:divBdr>
        <w:top w:val="none" w:sz="0" w:space="0" w:color="auto"/>
        <w:left w:val="none" w:sz="0" w:space="0" w:color="auto"/>
        <w:bottom w:val="none" w:sz="0" w:space="0" w:color="auto"/>
        <w:right w:val="none" w:sz="0" w:space="0" w:color="auto"/>
      </w:divBdr>
    </w:div>
    <w:div w:id="1533112883">
      <w:bodyDiv w:val="1"/>
      <w:marLeft w:val="0"/>
      <w:marRight w:val="0"/>
      <w:marTop w:val="0"/>
      <w:marBottom w:val="0"/>
      <w:divBdr>
        <w:top w:val="none" w:sz="0" w:space="0" w:color="auto"/>
        <w:left w:val="none" w:sz="0" w:space="0" w:color="auto"/>
        <w:bottom w:val="none" w:sz="0" w:space="0" w:color="auto"/>
        <w:right w:val="none" w:sz="0" w:space="0" w:color="auto"/>
      </w:divBdr>
    </w:div>
    <w:div w:id="1535725113">
      <w:bodyDiv w:val="1"/>
      <w:marLeft w:val="0"/>
      <w:marRight w:val="0"/>
      <w:marTop w:val="0"/>
      <w:marBottom w:val="0"/>
      <w:divBdr>
        <w:top w:val="none" w:sz="0" w:space="0" w:color="auto"/>
        <w:left w:val="none" w:sz="0" w:space="0" w:color="auto"/>
        <w:bottom w:val="none" w:sz="0" w:space="0" w:color="auto"/>
        <w:right w:val="none" w:sz="0" w:space="0" w:color="auto"/>
      </w:divBdr>
    </w:div>
    <w:div w:id="1540581198">
      <w:bodyDiv w:val="1"/>
      <w:marLeft w:val="0"/>
      <w:marRight w:val="0"/>
      <w:marTop w:val="0"/>
      <w:marBottom w:val="0"/>
      <w:divBdr>
        <w:top w:val="none" w:sz="0" w:space="0" w:color="auto"/>
        <w:left w:val="none" w:sz="0" w:space="0" w:color="auto"/>
        <w:bottom w:val="none" w:sz="0" w:space="0" w:color="auto"/>
        <w:right w:val="none" w:sz="0" w:space="0" w:color="auto"/>
      </w:divBdr>
    </w:div>
    <w:div w:id="1541623560">
      <w:bodyDiv w:val="1"/>
      <w:marLeft w:val="0"/>
      <w:marRight w:val="0"/>
      <w:marTop w:val="0"/>
      <w:marBottom w:val="0"/>
      <w:divBdr>
        <w:top w:val="none" w:sz="0" w:space="0" w:color="auto"/>
        <w:left w:val="none" w:sz="0" w:space="0" w:color="auto"/>
        <w:bottom w:val="none" w:sz="0" w:space="0" w:color="auto"/>
        <w:right w:val="none" w:sz="0" w:space="0" w:color="auto"/>
      </w:divBdr>
    </w:div>
    <w:div w:id="1543054682">
      <w:bodyDiv w:val="1"/>
      <w:marLeft w:val="0"/>
      <w:marRight w:val="0"/>
      <w:marTop w:val="0"/>
      <w:marBottom w:val="0"/>
      <w:divBdr>
        <w:top w:val="none" w:sz="0" w:space="0" w:color="auto"/>
        <w:left w:val="none" w:sz="0" w:space="0" w:color="auto"/>
        <w:bottom w:val="none" w:sz="0" w:space="0" w:color="auto"/>
        <w:right w:val="none" w:sz="0" w:space="0" w:color="auto"/>
      </w:divBdr>
    </w:div>
    <w:div w:id="1544903418">
      <w:bodyDiv w:val="1"/>
      <w:marLeft w:val="0"/>
      <w:marRight w:val="0"/>
      <w:marTop w:val="0"/>
      <w:marBottom w:val="0"/>
      <w:divBdr>
        <w:top w:val="none" w:sz="0" w:space="0" w:color="auto"/>
        <w:left w:val="none" w:sz="0" w:space="0" w:color="auto"/>
        <w:bottom w:val="none" w:sz="0" w:space="0" w:color="auto"/>
        <w:right w:val="none" w:sz="0" w:space="0" w:color="auto"/>
      </w:divBdr>
    </w:div>
    <w:div w:id="1545633007">
      <w:bodyDiv w:val="1"/>
      <w:marLeft w:val="0"/>
      <w:marRight w:val="0"/>
      <w:marTop w:val="0"/>
      <w:marBottom w:val="0"/>
      <w:divBdr>
        <w:top w:val="none" w:sz="0" w:space="0" w:color="auto"/>
        <w:left w:val="none" w:sz="0" w:space="0" w:color="auto"/>
        <w:bottom w:val="none" w:sz="0" w:space="0" w:color="auto"/>
        <w:right w:val="none" w:sz="0" w:space="0" w:color="auto"/>
      </w:divBdr>
    </w:div>
    <w:div w:id="1545676281">
      <w:bodyDiv w:val="1"/>
      <w:marLeft w:val="0"/>
      <w:marRight w:val="0"/>
      <w:marTop w:val="0"/>
      <w:marBottom w:val="0"/>
      <w:divBdr>
        <w:top w:val="none" w:sz="0" w:space="0" w:color="auto"/>
        <w:left w:val="none" w:sz="0" w:space="0" w:color="auto"/>
        <w:bottom w:val="none" w:sz="0" w:space="0" w:color="auto"/>
        <w:right w:val="none" w:sz="0" w:space="0" w:color="auto"/>
      </w:divBdr>
    </w:div>
    <w:div w:id="1546940077">
      <w:bodyDiv w:val="1"/>
      <w:marLeft w:val="0"/>
      <w:marRight w:val="0"/>
      <w:marTop w:val="0"/>
      <w:marBottom w:val="0"/>
      <w:divBdr>
        <w:top w:val="none" w:sz="0" w:space="0" w:color="auto"/>
        <w:left w:val="none" w:sz="0" w:space="0" w:color="auto"/>
        <w:bottom w:val="none" w:sz="0" w:space="0" w:color="auto"/>
        <w:right w:val="none" w:sz="0" w:space="0" w:color="auto"/>
      </w:divBdr>
    </w:div>
    <w:div w:id="1548299858">
      <w:bodyDiv w:val="1"/>
      <w:marLeft w:val="0"/>
      <w:marRight w:val="0"/>
      <w:marTop w:val="0"/>
      <w:marBottom w:val="0"/>
      <w:divBdr>
        <w:top w:val="none" w:sz="0" w:space="0" w:color="auto"/>
        <w:left w:val="none" w:sz="0" w:space="0" w:color="auto"/>
        <w:bottom w:val="none" w:sz="0" w:space="0" w:color="auto"/>
        <w:right w:val="none" w:sz="0" w:space="0" w:color="auto"/>
      </w:divBdr>
    </w:div>
    <w:div w:id="1548756121">
      <w:bodyDiv w:val="1"/>
      <w:marLeft w:val="0"/>
      <w:marRight w:val="0"/>
      <w:marTop w:val="0"/>
      <w:marBottom w:val="0"/>
      <w:divBdr>
        <w:top w:val="none" w:sz="0" w:space="0" w:color="auto"/>
        <w:left w:val="none" w:sz="0" w:space="0" w:color="auto"/>
        <w:bottom w:val="none" w:sz="0" w:space="0" w:color="auto"/>
        <w:right w:val="none" w:sz="0" w:space="0" w:color="auto"/>
      </w:divBdr>
    </w:div>
    <w:div w:id="1551110064">
      <w:bodyDiv w:val="1"/>
      <w:marLeft w:val="0"/>
      <w:marRight w:val="0"/>
      <w:marTop w:val="0"/>
      <w:marBottom w:val="0"/>
      <w:divBdr>
        <w:top w:val="none" w:sz="0" w:space="0" w:color="auto"/>
        <w:left w:val="none" w:sz="0" w:space="0" w:color="auto"/>
        <w:bottom w:val="none" w:sz="0" w:space="0" w:color="auto"/>
        <w:right w:val="none" w:sz="0" w:space="0" w:color="auto"/>
      </w:divBdr>
    </w:div>
    <w:div w:id="1555432236">
      <w:bodyDiv w:val="1"/>
      <w:marLeft w:val="0"/>
      <w:marRight w:val="0"/>
      <w:marTop w:val="0"/>
      <w:marBottom w:val="0"/>
      <w:divBdr>
        <w:top w:val="none" w:sz="0" w:space="0" w:color="auto"/>
        <w:left w:val="none" w:sz="0" w:space="0" w:color="auto"/>
        <w:bottom w:val="none" w:sz="0" w:space="0" w:color="auto"/>
        <w:right w:val="none" w:sz="0" w:space="0" w:color="auto"/>
      </w:divBdr>
    </w:div>
    <w:div w:id="1555852002">
      <w:bodyDiv w:val="1"/>
      <w:marLeft w:val="0"/>
      <w:marRight w:val="0"/>
      <w:marTop w:val="0"/>
      <w:marBottom w:val="0"/>
      <w:divBdr>
        <w:top w:val="none" w:sz="0" w:space="0" w:color="auto"/>
        <w:left w:val="none" w:sz="0" w:space="0" w:color="auto"/>
        <w:bottom w:val="none" w:sz="0" w:space="0" w:color="auto"/>
        <w:right w:val="none" w:sz="0" w:space="0" w:color="auto"/>
      </w:divBdr>
    </w:div>
    <w:div w:id="1555896645">
      <w:bodyDiv w:val="1"/>
      <w:marLeft w:val="0"/>
      <w:marRight w:val="0"/>
      <w:marTop w:val="0"/>
      <w:marBottom w:val="0"/>
      <w:divBdr>
        <w:top w:val="none" w:sz="0" w:space="0" w:color="auto"/>
        <w:left w:val="none" w:sz="0" w:space="0" w:color="auto"/>
        <w:bottom w:val="none" w:sz="0" w:space="0" w:color="auto"/>
        <w:right w:val="none" w:sz="0" w:space="0" w:color="auto"/>
      </w:divBdr>
    </w:div>
    <w:div w:id="1556315221">
      <w:bodyDiv w:val="1"/>
      <w:marLeft w:val="0"/>
      <w:marRight w:val="0"/>
      <w:marTop w:val="0"/>
      <w:marBottom w:val="0"/>
      <w:divBdr>
        <w:top w:val="none" w:sz="0" w:space="0" w:color="auto"/>
        <w:left w:val="none" w:sz="0" w:space="0" w:color="auto"/>
        <w:bottom w:val="none" w:sz="0" w:space="0" w:color="auto"/>
        <w:right w:val="none" w:sz="0" w:space="0" w:color="auto"/>
      </w:divBdr>
    </w:div>
    <w:div w:id="1557163434">
      <w:bodyDiv w:val="1"/>
      <w:marLeft w:val="0"/>
      <w:marRight w:val="0"/>
      <w:marTop w:val="0"/>
      <w:marBottom w:val="0"/>
      <w:divBdr>
        <w:top w:val="none" w:sz="0" w:space="0" w:color="auto"/>
        <w:left w:val="none" w:sz="0" w:space="0" w:color="auto"/>
        <w:bottom w:val="none" w:sz="0" w:space="0" w:color="auto"/>
        <w:right w:val="none" w:sz="0" w:space="0" w:color="auto"/>
      </w:divBdr>
    </w:div>
    <w:div w:id="1558860255">
      <w:bodyDiv w:val="1"/>
      <w:marLeft w:val="0"/>
      <w:marRight w:val="0"/>
      <w:marTop w:val="0"/>
      <w:marBottom w:val="0"/>
      <w:divBdr>
        <w:top w:val="none" w:sz="0" w:space="0" w:color="auto"/>
        <w:left w:val="none" w:sz="0" w:space="0" w:color="auto"/>
        <w:bottom w:val="none" w:sz="0" w:space="0" w:color="auto"/>
        <w:right w:val="none" w:sz="0" w:space="0" w:color="auto"/>
      </w:divBdr>
    </w:div>
    <w:div w:id="1559826599">
      <w:bodyDiv w:val="1"/>
      <w:marLeft w:val="0"/>
      <w:marRight w:val="0"/>
      <w:marTop w:val="0"/>
      <w:marBottom w:val="0"/>
      <w:divBdr>
        <w:top w:val="none" w:sz="0" w:space="0" w:color="auto"/>
        <w:left w:val="none" w:sz="0" w:space="0" w:color="auto"/>
        <w:bottom w:val="none" w:sz="0" w:space="0" w:color="auto"/>
        <w:right w:val="none" w:sz="0" w:space="0" w:color="auto"/>
      </w:divBdr>
    </w:div>
    <w:div w:id="1560899341">
      <w:bodyDiv w:val="1"/>
      <w:marLeft w:val="0"/>
      <w:marRight w:val="0"/>
      <w:marTop w:val="0"/>
      <w:marBottom w:val="0"/>
      <w:divBdr>
        <w:top w:val="none" w:sz="0" w:space="0" w:color="auto"/>
        <w:left w:val="none" w:sz="0" w:space="0" w:color="auto"/>
        <w:bottom w:val="none" w:sz="0" w:space="0" w:color="auto"/>
        <w:right w:val="none" w:sz="0" w:space="0" w:color="auto"/>
      </w:divBdr>
    </w:div>
    <w:div w:id="1561869652">
      <w:bodyDiv w:val="1"/>
      <w:marLeft w:val="0"/>
      <w:marRight w:val="0"/>
      <w:marTop w:val="0"/>
      <w:marBottom w:val="0"/>
      <w:divBdr>
        <w:top w:val="none" w:sz="0" w:space="0" w:color="auto"/>
        <w:left w:val="none" w:sz="0" w:space="0" w:color="auto"/>
        <w:bottom w:val="none" w:sz="0" w:space="0" w:color="auto"/>
        <w:right w:val="none" w:sz="0" w:space="0" w:color="auto"/>
      </w:divBdr>
    </w:div>
    <w:div w:id="1562714369">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0729065">
      <w:bodyDiv w:val="1"/>
      <w:marLeft w:val="0"/>
      <w:marRight w:val="0"/>
      <w:marTop w:val="0"/>
      <w:marBottom w:val="0"/>
      <w:divBdr>
        <w:top w:val="none" w:sz="0" w:space="0" w:color="auto"/>
        <w:left w:val="none" w:sz="0" w:space="0" w:color="auto"/>
        <w:bottom w:val="none" w:sz="0" w:space="0" w:color="auto"/>
        <w:right w:val="none" w:sz="0" w:space="0" w:color="auto"/>
      </w:divBdr>
    </w:div>
    <w:div w:id="1572033327">
      <w:bodyDiv w:val="1"/>
      <w:marLeft w:val="0"/>
      <w:marRight w:val="0"/>
      <w:marTop w:val="0"/>
      <w:marBottom w:val="0"/>
      <w:divBdr>
        <w:top w:val="none" w:sz="0" w:space="0" w:color="auto"/>
        <w:left w:val="none" w:sz="0" w:space="0" w:color="auto"/>
        <w:bottom w:val="none" w:sz="0" w:space="0" w:color="auto"/>
        <w:right w:val="none" w:sz="0" w:space="0" w:color="auto"/>
      </w:divBdr>
    </w:div>
    <w:div w:id="1572160998">
      <w:bodyDiv w:val="1"/>
      <w:marLeft w:val="0"/>
      <w:marRight w:val="0"/>
      <w:marTop w:val="0"/>
      <w:marBottom w:val="0"/>
      <w:divBdr>
        <w:top w:val="none" w:sz="0" w:space="0" w:color="auto"/>
        <w:left w:val="none" w:sz="0" w:space="0" w:color="auto"/>
        <w:bottom w:val="none" w:sz="0" w:space="0" w:color="auto"/>
        <w:right w:val="none" w:sz="0" w:space="0" w:color="auto"/>
      </w:divBdr>
    </w:div>
    <w:div w:id="1574657531">
      <w:bodyDiv w:val="1"/>
      <w:marLeft w:val="0"/>
      <w:marRight w:val="0"/>
      <w:marTop w:val="0"/>
      <w:marBottom w:val="0"/>
      <w:divBdr>
        <w:top w:val="none" w:sz="0" w:space="0" w:color="auto"/>
        <w:left w:val="none" w:sz="0" w:space="0" w:color="auto"/>
        <w:bottom w:val="none" w:sz="0" w:space="0" w:color="auto"/>
        <w:right w:val="none" w:sz="0" w:space="0" w:color="auto"/>
      </w:divBdr>
    </w:div>
    <w:div w:id="1576668258">
      <w:bodyDiv w:val="1"/>
      <w:marLeft w:val="0"/>
      <w:marRight w:val="0"/>
      <w:marTop w:val="0"/>
      <w:marBottom w:val="0"/>
      <w:divBdr>
        <w:top w:val="none" w:sz="0" w:space="0" w:color="auto"/>
        <w:left w:val="none" w:sz="0" w:space="0" w:color="auto"/>
        <w:bottom w:val="none" w:sz="0" w:space="0" w:color="auto"/>
        <w:right w:val="none" w:sz="0" w:space="0" w:color="auto"/>
      </w:divBdr>
    </w:div>
    <w:div w:id="1577781885">
      <w:bodyDiv w:val="1"/>
      <w:marLeft w:val="0"/>
      <w:marRight w:val="0"/>
      <w:marTop w:val="0"/>
      <w:marBottom w:val="0"/>
      <w:divBdr>
        <w:top w:val="none" w:sz="0" w:space="0" w:color="auto"/>
        <w:left w:val="none" w:sz="0" w:space="0" w:color="auto"/>
        <w:bottom w:val="none" w:sz="0" w:space="0" w:color="auto"/>
        <w:right w:val="none" w:sz="0" w:space="0" w:color="auto"/>
      </w:divBdr>
    </w:div>
    <w:div w:id="1578172660">
      <w:bodyDiv w:val="1"/>
      <w:marLeft w:val="0"/>
      <w:marRight w:val="0"/>
      <w:marTop w:val="0"/>
      <w:marBottom w:val="0"/>
      <w:divBdr>
        <w:top w:val="none" w:sz="0" w:space="0" w:color="auto"/>
        <w:left w:val="none" w:sz="0" w:space="0" w:color="auto"/>
        <w:bottom w:val="none" w:sz="0" w:space="0" w:color="auto"/>
        <w:right w:val="none" w:sz="0" w:space="0" w:color="auto"/>
      </w:divBdr>
    </w:div>
    <w:div w:id="1579363798">
      <w:bodyDiv w:val="1"/>
      <w:marLeft w:val="0"/>
      <w:marRight w:val="0"/>
      <w:marTop w:val="0"/>
      <w:marBottom w:val="0"/>
      <w:divBdr>
        <w:top w:val="none" w:sz="0" w:space="0" w:color="auto"/>
        <w:left w:val="none" w:sz="0" w:space="0" w:color="auto"/>
        <w:bottom w:val="none" w:sz="0" w:space="0" w:color="auto"/>
        <w:right w:val="none" w:sz="0" w:space="0" w:color="auto"/>
      </w:divBdr>
    </w:div>
    <w:div w:id="1582255532">
      <w:bodyDiv w:val="1"/>
      <w:marLeft w:val="0"/>
      <w:marRight w:val="0"/>
      <w:marTop w:val="0"/>
      <w:marBottom w:val="0"/>
      <w:divBdr>
        <w:top w:val="none" w:sz="0" w:space="0" w:color="auto"/>
        <w:left w:val="none" w:sz="0" w:space="0" w:color="auto"/>
        <w:bottom w:val="none" w:sz="0" w:space="0" w:color="auto"/>
        <w:right w:val="none" w:sz="0" w:space="0" w:color="auto"/>
      </w:divBdr>
    </w:div>
    <w:div w:id="1582448144">
      <w:bodyDiv w:val="1"/>
      <w:marLeft w:val="0"/>
      <w:marRight w:val="0"/>
      <w:marTop w:val="0"/>
      <w:marBottom w:val="0"/>
      <w:divBdr>
        <w:top w:val="none" w:sz="0" w:space="0" w:color="auto"/>
        <w:left w:val="none" w:sz="0" w:space="0" w:color="auto"/>
        <w:bottom w:val="none" w:sz="0" w:space="0" w:color="auto"/>
        <w:right w:val="none" w:sz="0" w:space="0" w:color="auto"/>
      </w:divBdr>
    </w:div>
    <w:div w:id="1582521814">
      <w:bodyDiv w:val="1"/>
      <w:marLeft w:val="0"/>
      <w:marRight w:val="0"/>
      <w:marTop w:val="0"/>
      <w:marBottom w:val="0"/>
      <w:divBdr>
        <w:top w:val="none" w:sz="0" w:space="0" w:color="auto"/>
        <w:left w:val="none" w:sz="0" w:space="0" w:color="auto"/>
        <w:bottom w:val="none" w:sz="0" w:space="0" w:color="auto"/>
        <w:right w:val="none" w:sz="0" w:space="0" w:color="auto"/>
      </w:divBdr>
    </w:div>
    <w:div w:id="1586497318">
      <w:bodyDiv w:val="1"/>
      <w:marLeft w:val="0"/>
      <w:marRight w:val="0"/>
      <w:marTop w:val="0"/>
      <w:marBottom w:val="0"/>
      <w:divBdr>
        <w:top w:val="none" w:sz="0" w:space="0" w:color="auto"/>
        <w:left w:val="none" w:sz="0" w:space="0" w:color="auto"/>
        <w:bottom w:val="none" w:sz="0" w:space="0" w:color="auto"/>
        <w:right w:val="none" w:sz="0" w:space="0" w:color="auto"/>
      </w:divBdr>
    </w:div>
    <w:div w:id="1586842009">
      <w:bodyDiv w:val="1"/>
      <w:marLeft w:val="0"/>
      <w:marRight w:val="0"/>
      <w:marTop w:val="0"/>
      <w:marBottom w:val="0"/>
      <w:divBdr>
        <w:top w:val="none" w:sz="0" w:space="0" w:color="auto"/>
        <w:left w:val="none" w:sz="0" w:space="0" w:color="auto"/>
        <w:bottom w:val="none" w:sz="0" w:space="0" w:color="auto"/>
        <w:right w:val="none" w:sz="0" w:space="0" w:color="auto"/>
      </w:divBdr>
    </w:div>
    <w:div w:id="1587350057">
      <w:bodyDiv w:val="1"/>
      <w:marLeft w:val="0"/>
      <w:marRight w:val="0"/>
      <w:marTop w:val="0"/>
      <w:marBottom w:val="0"/>
      <w:divBdr>
        <w:top w:val="none" w:sz="0" w:space="0" w:color="auto"/>
        <w:left w:val="none" w:sz="0" w:space="0" w:color="auto"/>
        <w:bottom w:val="none" w:sz="0" w:space="0" w:color="auto"/>
        <w:right w:val="none" w:sz="0" w:space="0" w:color="auto"/>
      </w:divBdr>
    </w:div>
    <w:div w:id="1587954814">
      <w:bodyDiv w:val="1"/>
      <w:marLeft w:val="0"/>
      <w:marRight w:val="0"/>
      <w:marTop w:val="0"/>
      <w:marBottom w:val="0"/>
      <w:divBdr>
        <w:top w:val="none" w:sz="0" w:space="0" w:color="auto"/>
        <w:left w:val="none" w:sz="0" w:space="0" w:color="auto"/>
        <w:bottom w:val="none" w:sz="0" w:space="0" w:color="auto"/>
        <w:right w:val="none" w:sz="0" w:space="0" w:color="auto"/>
      </w:divBdr>
    </w:div>
    <w:div w:id="1588074888">
      <w:bodyDiv w:val="1"/>
      <w:marLeft w:val="0"/>
      <w:marRight w:val="0"/>
      <w:marTop w:val="0"/>
      <w:marBottom w:val="0"/>
      <w:divBdr>
        <w:top w:val="none" w:sz="0" w:space="0" w:color="auto"/>
        <w:left w:val="none" w:sz="0" w:space="0" w:color="auto"/>
        <w:bottom w:val="none" w:sz="0" w:space="0" w:color="auto"/>
        <w:right w:val="none" w:sz="0" w:space="0" w:color="auto"/>
      </w:divBdr>
    </w:div>
    <w:div w:id="1589270385">
      <w:bodyDiv w:val="1"/>
      <w:marLeft w:val="0"/>
      <w:marRight w:val="0"/>
      <w:marTop w:val="0"/>
      <w:marBottom w:val="0"/>
      <w:divBdr>
        <w:top w:val="none" w:sz="0" w:space="0" w:color="auto"/>
        <w:left w:val="none" w:sz="0" w:space="0" w:color="auto"/>
        <w:bottom w:val="none" w:sz="0" w:space="0" w:color="auto"/>
        <w:right w:val="none" w:sz="0" w:space="0" w:color="auto"/>
      </w:divBdr>
    </w:div>
    <w:div w:id="1589801604">
      <w:bodyDiv w:val="1"/>
      <w:marLeft w:val="0"/>
      <w:marRight w:val="0"/>
      <w:marTop w:val="0"/>
      <w:marBottom w:val="0"/>
      <w:divBdr>
        <w:top w:val="none" w:sz="0" w:space="0" w:color="auto"/>
        <w:left w:val="none" w:sz="0" w:space="0" w:color="auto"/>
        <w:bottom w:val="none" w:sz="0" w:space="0" w:color="auto"/>
        <w:right w:val="none" w:sz="0" w:space="0" w:color="auto"/>
      </w:divBdr>
    </w:div>
    <w:div w:id="1594704524">
      <w:bodyDiv w:val="1"/>
      <w:marLeft w:val="0"/>
      <w:marRight w:val="0"/>
      <w:marTop w:val="0"/>
      <w:marBottom w:val="0"/>
      <w:divBdr>
        <w:top w:val="none" w:sz="0" w:space="0" w:color="auto"/>
        <w:left w:val="none" w:sz="0" w:space="0" w:color="auto"/>
        <w:bottom w:val="none" w:sz="0" w:space="0" w:color="auto"/>
        <w:right w:val="none" w:sz="0" w:space="0" w:color="auto"/>
      </w:divBdr>
    </w:div>
    <w:div w:id="1598365629">
      <w:bodyDiv w:val="1"/>
      <w:marLeft w:val="0"/>
      <w:marRight w:val="0"/>
      <w:marTop w:val="0"/>
      <w:marBottom w:val="0"/>
      <w:divBdr>
        <w:top w:val="none" w:sz="0" w:space="0" w:color="auto"/>
        <w:left w:val="none" w:sz="0" w:space="0" w:color="auto"/>
        <w:bottom w:val="none" w:sz="0" w:space="0" w:color="auto"/>
        <w:right w:val="none" w:sz="0" w:space="0" w:color="auto"/>
      </w:divBdr>
    </w:div>
    <w:div w:id="1599950298">
      <w:bodyDiv w:val="1"/>
      <w:marLeft w:val="0"/>
      <w:marRight w:val="0"/>
      <w:marTop w:val="0"/>
      <w:marBottom w:val="0"/>
      <w:divBdr>
        <w:top w:val="none" w:sz="0" w:space="0" w:color="auto"/>
        <w:left w:val="none" w:sz="0" w:space="0" w:color="auto"/>
        <w:bottom w:val="none" w:sz="0" w:space="0" w:color="auto"/>
        <w:right w:val="none" w:sz="0" w:space="0" w:color="auto"/>
      </w:divBdr>
    </w:div>
    <w:div w:id="1601525929">
      <w:bodyDiv w:val="1"/>
      <w:marLeft w:val="0"/>
      <w:marRight w:val="0"/>
      <w:marTop w:val="0"/>
      <w:marBottom w:val="0"/>
      <w:divBdr>
        <w:top w:val="none" w:sz="0" w:space="0" w:color="auto"/>
        <w:left w:val="none" w:sz="0" w:space="0" w:color="auto"/>
        <w:bottom w:val="none" w:sz="0" w:space="0" w:color="auto"/>
        <w:right w:val="none" w:sz="0" w:space="0" w:color="auto"/>
      </w:divBdr>
    </w:div>
    <w:div w:id="1601795755">
      <w:bodyDiv w:val="1"/>
      <w:marLeft w:val="0"/>
      <w:marRight w:val="0"/>
      <w:marTop w:val="0"/>
      <w:marBottom w:val="0"/>
      <w:divBdr>
        <w:top w:val="none" w:sz="0" w:space="0" w:color="auto"/>
        <w:left w:val="none" w:sz="0" w:space="0" w:color="auto"/>
        <w:bottom w:val="none" w:sz="0" w:space="0" w:color="auto"/>
        <w:right w:val="none" w:sz="0" w:space="0" w:color="auto"/>
      </w:divBdr>
    </w:div>
    <w:div w:id="1602641046">
      <w:bodyDiv w:val="1"/>
      <w:marLeft w:val="0"/>
      <w:marRight w:val="0"/>
      <w:marTop w:val="0"/>
      <w:marBottom w:val="0"/>
      <w:divBdr>
        <w:top w:val="none" w:sz="0" w:space="0" w:color="auto"/>
        <w:left w:val="none" w:sz="0" w:space="0" w:color="auto"/>
        <w:bottom w:val="none" w:sz="0" w:space="0" w:color="auto"/>
        <w:right w:val="none" w:sz="0" w:space="0" w:color="auto"/>
      </w:divBdr>
    </w:div>
    <w:div w:id="1603345206">
      <w:bodyDiv w:val="1"/>
      <w:marLeft w:val="0"/>
      <w:marRight w:val="0"/>
      <w:marTop w:val="0"/>
      <w:marBottom w:val="0"/>
      <w:divBdr>
        <w:top w:val="none" w:sz="0" w:space="0" w:color="auto"/>
        <w:left w:val="none" w:sz="0" w:space="0" w:color="auto"/>
        <w:bottom w:val="none" w:sz="0" w:space="0" w:color="auto"/>
        <w:right w:val="none" w:sz="0" w:space="0" w:color="auto"/>
      </w:divBdr>
    </w:div>
    <w:div w:id="1603875952">
      <w:bodyDiv w:val="1"/>
      <w:marLeft w:val="0"/>
      <w:marRight w:val="0"/>
      <w:marTop w:val="0"/>
      <w:marBottom w:val="0"/>
      <w:divBdr>
        <w:top w:val="none" w:sz="0" w:space="0" w:color="auto"/>
        <w:left w:val="none" w:sz="0" w:space="0" w:color="auto"/>
        <w:bottom w:val="none" w:sz="0" w:space="0" w:color="auto"/>
        <w:right w:val="none" w:sz="0" w:space="0" w:color="auto"/>
      </w:divBdr>
    </w:div>
    <w:div w:id="1608271073">
      <w:bodyDiv w:val="1"/>
      <w:marLeft w:val="0"/>
      <w:marRight w:val="0"/>
      <w:marTop w:val="0"/>
      <w:marBottom w:val="0"/>
      <w:divBdr>
        <w:top w:val="none" w:sz="0" w:space="0" w:color="auto"/>
        <w:left w:val="none" w:sz="0" w:space="0" w:color="auto"/>
        <w:bottom w:val="none" w:sz="0" w:space="0" w:color="auto"/>
        <w:right w:val="none" w:sz="0" w:space="0" w:color="auto"/>
      </w:divBdr>
    </w:div>
    <w:div w:id="1610552030">
      <w:bodyDiv w:val="1"/>
      <w:marLeft w:val="0"/>
      <w:marRight w:val="0"/>
      <w:marTop w:val="0"/>
      <w:marBottom w:val="0"/>
      <w:divBdr>
        <w:top w:val="none" w:sz="0" w:space="0" w:color="auto"/>
        <w:left w:val="none" w:sz="0" w:space="0" w:color="auto"/>
        <w:bottom w:val="none" w:sz="0" w:space="0" w:color="auto"/>
        <w:right w:val="none" w:sz="0" w:space="0" w:color="auto"/>
      </w:divBdr>
    </w:div>
    <w:div w:id="1610622680">
      <w:bodyDiv w:val="1"/>
      <w:marLeft w:val="0"/>
      <w:marRight w:val="0"/>
      <w:marTop w:val="0"/>
      <w:marBottom w:val="0"/>
      <w:divBdr>
        <w:top w:val="none" w:sz="0" w:space="0" w:color="auto"/>
        <w:left w:val="none" w:sz="0" w:space="0" w:color="auto"/>
        <w:bottom w:val="none" w:sz="0" w:space="0" w:color="auto"/>
        <w:right w:val="none" w:sz="0" w:space="0" w:color="auto"/>
      </w:divBdr>
    </w:div>
    <w:div w:id="1611888098">
      <w:bodyDiv w:val="1"/>
      <w:marLeft w:val="0"/>
      <w:marRight w:val="0"/>
      <w:marTop w:val="0"/>
      <w:marBottom w:val="0"/>
      <w:divBdr>
        <w:top w:val="none" w:sz="0" w:space="0" w:color="auto"/>
        <w:left w:val="none" w:sz="0" w:space="0" w:color="auto"/>
        <w:bottom w:val="none" w:sz="0" w:space="0" w:color="auto"/>
        <w:right w:val="none" w:sz="0" w:space="0" w:color="auto"/>
      </w:divBdr>
    </w:div>
    <w:div w:id="1612974921">
      <w:bodyDiv w:val="1"/>
      <w:marLeft w:val="0"/>
      <w:marRight w:val="0"/>
      <w:marTop w:val="0"/>
      <w:marBottom w:val="0"/>
      <w:divBdr>
        <w:top w:val="none" w:sz="0" w:space="0" w:color="auto"/>
        <w:left w:val="none" w:sz="0" w:space="0" w:color="auto"/>
        <w:bottom w:val="none" w:sz="0" w:space="0" w:color="auto"/>
        <w:right w:val="none" w:sz="0" w:space="0" w:color="auto"/>
      </w:divBdr>
    </w:div>
    <w:div w:id="1616790022">
      <w:bodyDiv w:val="1"/>
      <w:marLeft w:val="0"/>
      <w:marRight w:val="0"/>
      <w:marTop w:val="0"/>
      <w:marBottom w:val="0"/>
      <w:divBdr>
        <w:top w:val="none" w:sz="0" w:space="0" w:color="auto"/>
        <w:left w:val="none" w:sz="0" w:space="0" w:color="auto"/>
        <w:bottom w:val="none" w:sz="0" w:space="0" w:color="auto"/>
        <w:right w:val="none" w:sz="0" w:space="0" w:color="auto"/>
      </w:divBdr>
    </w:div>
    <w:div w:id="1619221227">
      <w:bodyDiv w:val="1"/>
      <w:marLeft w:val="0"/>
      <w:marRight w:val="0"/>
      <w:marTop w:val="0"/>
      <w:marBottom w:val="0"/>
      <w:divBdr>
        <w:top w:val="none" w:sz="0" w:space="0" w:color="auto"/>
        <w:left w:val="none" w:sz="0" w:space="0" w:color="auto"/>
        <w:bottom w:val="none" w:sz="0" w:space="0" w:color="auto"/>
        <w:right w:val="none" w:sz="0" w:space="0" w:color="auto"/>
      </w:divBdr>
    </w:div>
    <w:div w:id="1619601027">
      <w:bodyDiv w:val="1"/>
      <w:marLeft w:val="0"/>
      <w:marRight w:val="0"/>
      <w:marTop w:val="0"/>
      <w:marBottom w:val="0"/>
      <w:divBdr>
        <w:top w:val="none" w:sz="0" w:space="0" w:color="auto"/>
        <w:left w:val="none" w:sz="0" w:space="0" w:color="auto"/>
        <w:bottom w:val="none" w:sz="0" w:space="0" w:color="auto"/>
        <w:right w:val="none" w:sz="0" w:space="0" w:color="auto"/>
      </w:divBdr>
    </w:div>
    <w:div w:id="1619601747">
      <w:bodyDiv w:val="1"/>
      <w:marLeft w:val="0"/>
      <w:marRight w:val="0"/>
      <w:marTop w:val="0"/>
      <w:marBottom w:val="0"/>
      <w:divBdr>
        <w:top w:val="none" w:sz="0" w:space="0" w:color="auto"/>
        <w:left w:val="none" w:sz="0" w:space="0" w:color="auto"/>
        <w:bottom w:val="none" w:sz="0" w:space="0" w:color="auto"/>
        <w:right w:val="none" w:sz="0" w:space="0" w:color="auto"/>
      </w:divBdr>
    </w:div>
    <w:div w:id="1621568830">
      <w:bodyDiv w:val="1"/>
      <w:marLeft w:val="0"/>
      <w:marRight w:val="0"/>
      <w:marTop w:val="0"/>
      <w:marBottom w:val="0"/>
      <w:divBdr>
        <w:top w:val="none" w:sz="0" w:space="0" w:color="auto"/>
        <w:left w:val="none" w:sz="0" w:space="0" w:color="auto"/>
        <w:bottom w:val="none" w:sz="0" w:space="0" w:color="auto"/>
        <w:right w:val="none" w:sz="0" w:space="0" w:color="auto"/>
      </w:divBdr>
    </w:div>
    <w:div w:id="1623228361">
      <w:bodyDiv w:val="1"/>
      <w:marLeft w:val="0"/>
      <w:marRight w:val="0"/>
      <w:marTop w:val="0"/>
      <w:marBottom w:val="0"/>
      <w:divBdr>
        <w:top w:val="none" w:sz="0" w:space="0" w:color="auto"/>
        <w:left w:val="none" w:sz="0" w:space="0" w:color="auto"/>
        <w:bottom w:val="none" w:sz="0" w:space="0" w:color="auto"/>
        <w:right w:val="none" w:sz="0" w:space="0" w:color="auto"/>
      </w:divBdr>
    </w:div>
    <w:div w:id="1623347077">
      <w:bodyDiv w:val="1"/>
      <w:marLeft w:val="0"/>
      <w:marRight w:val="0"/>
      <w:marTop w:val="0"/>
      <w:marBottom w:val="0"/>
      <w:divBdr>
        <w:top w:val="none" w:sz="0" w:space="0" w:color="auto"/>
        <w:left w:val="none" w:sz="0" w:space="0" w:color="auto"/>
        <w:bottom w:val="none" w:sz="0" w:space="0" w:color="auto"/>
        <w:right w:val="none" w:sz="0" w:space="0" w:color="auto"/>
      </w:divBdr>
    </w:div>
    <w:div w:id="1623876969">
      <w:bodyDiv w:val="1"/>
      <w:marLeft w:val="0"/>
      <w:marRight w:val="0"/>
      <w:marTop w:val="0"/>
      <w:marBottom w:val="0"/>
      <w:divBdr>
        <w:top w:val="none" w:sz="0" w:space="0" w:color="auto"/>
        <w:left w:val="none" w:sz="0" w:space="0" w:color="auto"/>
        <w:bottom w:val="none" w:sz="0" w:space="0" w:color="auto"/>
        <w:right w:val="none" w:sz="0" w:space="0" w:color="auto"/>
      </w:divBdr>
    </w:div>
    <w:div w:id="1624461023">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8388963">
      <w:bodyDiv w:val="1"/>
      <w:marLeft w:val="0"/>
      <w:marRight w:val="0"/>
      <w:marTop w:val="0"/>
      <w:marBottom w:val="0"/>
      <w:divBdr>
        <w:top w:val="none" w:sz="0" w:space="0" w:color="auto"/>
        <w:left w:val="none" w:sz="0" w:space="0" w:color="auto"/>
        <w:bottom w:val="none" w:sz="0" w:space="0" w:color="auto"/>
        <w:right w:val="none" w:sz="0" w:space="0" w:color="auto"/>
      </w:divBdr>
    </w:div>
    <w:div w:id="1630741266">
      <w:bodyDiv w:val="1"/>
      <w:marLeft w:val="0"/>
      <w:marRight w:val="0"/>
      <w:marTop w:val="0"/>
      <w:marBottom w:val="0"/>
      <w:divBdr>
        <w:top w:val="none" w:sz="0" w:space="0" w:color="auto"/>
        <w:left w:val="none" w:sz="0" w:space="0" w:color="auto"/>
        <w:bottom w:val="none" w:sz="0" w:space="0" w:color="auto"/>
        <w:right w:val="none" w:sz="0" w:space="0" w:color="auto"/>
      </w:divBdr>
    </w:div>
    <w:div w:id="1630864208">
      <w:bodyDiv w:val="1"/>
      <w:marLeft w:val="0"/>
      <w:marRight w:val="0"/>
      <w:marTop w:val="0"/>
      <w:marBottom w:val="0"/>
      <w:divBdr>
        <w:top w:val="none" w:sz="0" w:space="0" w:color="auto"/>
        <w:left w:val="none" w:sz="0" w:space="0" w:color="auto"/>
        <w:bottom w:val="none" w:sz="0" w:space="0" w:color="auto"/>
        <w:right w:val="none" w:sz="0" w:space="0" w:color="auto"/>
      </w:divBdr>
    </w:div>
    <w:div w:id="1632903648">
      <w:bodyDiv w:val="1"/>
      <w:marLeft w:val="0"/>
      <w:marRight w:val="0"/>
      <w:marTop w:val="0"/>
      <w:marBottom w:val="0"/>
      <w:divBdr>
        <w:top w:val="none" w:sz="0" w:space="0" w:color="auto"/>
        <w:left w:val="none" w:sz="0" w:space="0" w:color="auto"/>
        <w:bottom w:val="none" w:sz="0" w:space="0" w:color="auto"/>
        <w:right w:val="none" w:sz="0" w:space="0" w:color="auto"/>
      </w:divBdr>
    </w:div>
    <w:div w:id="1633440001">
      <w:bodyDiv w:val="1"/>
      <w:marLeft w:val="0"/>
      <w:marRight w:val="0"/>
      <w:marTop w:val="0"/>
      <w:marBottom w:val="0"/>
      <w:divBdr>
        <w:top w:val="none" w:sz="0" w:space="0" w:color="auto"/>
        <w:left w:val="none" w:sz="0" w:space="0" w:color="auto"/>
        <w:bottom w:val="none" w:sz="0" w:space="0" w:color="auto"/>
        <w:right w:val="none" w:sz="0" w:space="0" w:color="auto"/>
      </w:divBdr>
    </w:div>
    <w:div w:id="1636374539">
      <w:bodyDiv w:val="1"/>
      <w:marLeft w:val="0"/>
      <w:marRight w:val="0"/>
      <w:marTop w:val="0"/>
      <w:marBottom w:val="0"/>
      <w:divBdr>
        <w:top w:val="none" w:sz="0" w:space="0" w:color="auto"/>
        <w:left w:val="none" w:sz="0" w:space="0" w:color="auto"/>
        <w:bottom w:val="none" w:sz="0" w:space="0" w:color="auto"/>
        <w:right w:val="none" w:sz="0" w:space="0" w:color="auto"/>
      </w:divBdr>
    </w:div>
    <w:div w:id="1639677261">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0763067">
      <w:bodyDiv w:val="1"/>
      <w:marLeft w:val="0"/>
      <w:marRight w:val="0"/>
      <w:marTop w:val="0"/>
      <w:marBottom w:val="0"/>
      <w:divBdr>
        <w:top w:val="none" w:sz="0" w:space="0" w:color="auto"/>
        <w:left w:val="none" w:sz="0" w:space="0" w:color="auto"/>
        <w:bottom w:val="none" w:sz="0" w:space="0" w:color="auto"/>
        <w:right w:val="none" w:sz="0" w:space="0" w:color="auto"/>
      </w:divBdr>
    </w:div>
    <w:div w:id="1643846484">
      <w:bodyDiv w:val="1"/>
      <w:marLeft w:val="0"/>
      <w:marRight w:val="0"/>
      <w:marTop w:val="0"/>
      <w:marBottom w:val="0"/>
      <w:divBdr>
        <w:top w:val="none" w:sz="0" w:space="0" w:color="auto"/>
        <w:left w:val="none" w:sz="0" w:space="0" w:color="auto"/>
        <w:bottom w:val="none" w:sz="0" w:space="0" w:color="auto"/>
        <w:right w:val="none" w:sz="0" w:space="0" w:color="auto"/>
      </w:divBdr>
    </w:div>
    <w:div w:id="1644460438">
      <w:bodyDiv w:val="1"/>
      <w:marLeft w:val="0"/>
      <w:marRight w:val="0"/>
      <w:marTop w:val="0"/>
      <w:marBottom w:val="0"/>
      <w:divBdr>
        <w:top w:val="none" w:sz="0" w:space="0" w:color="auto"/>
        <w:left w:val="none" w:sz="0" w:space="0" w:color="auto"/>
        <w:bottom w:val="none" w:sz="0" w:space="0" w:color="auto"/>
        <w:right w:val="none" w:sz="0" w:space="0" w:color="auto"/>
      </w:divBdr>
    </w:div>
    <w:div w:id="1644505423">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281805">
      <w:bodyDiv w:val="1"/>
      <w:marLeft w:val="0"/>
      <w:marRight w:val="0"/>
      <w:marTop w:val="0"/>
      <w:marBottom w:val="0"/>
      <w:divBdr>
        <w:top w:val="none" w:sz="0" w:space="0" w:color="auto"/>
        <w:left w:val="none" w:sz="0" w:space="0" w:color="auto"/>
        <w:bottom w:val="none" w:sz="0" w:space="0" w:color="auto"/>
        <w:right w:val="none" w:sz="0" w:space="0" w:color="auto"/>
      </w:divBdr>
    </w:div>
    <w:div w:id="1650399016">
      <w:bodyDiv w:val="1"/>
      <w:marLeft w:val="0"/>
      <w:marRight w:val="0"/>
      <w:marTop w:val="0"/>
      <w:marBottom w:val="0"/>
      <w:divBdr>
        <w:top w:val="none" w:sz="0" w:space="0" w:color="auto"/>
        <w:left w:val="none" w:sz="0" w:space="0" w:color="auto"/>
        <w:bottom w:val="none" w:sz="0" w:space="0" w:color="auto"/>
        <w:right w:val="none" w:sz="0" w:space="0" w:color="auto"/>
      </w:divBdr>
    </w:div>
    <w:div w:id="1650481838">
      <w:bodyDiv w:val="1"/>
      <w:marLeft w:val="0"/>
      <w:marRight w:val="0"/>
      <w:marTop w:val="0"/>
      <w:marBottom w:val="0"/>
      <w:divBdr>
        <w:top w:val="none" w:sz="0" w:space="0" w:color="auto"/>
        <w:left w:val="none" w:sz="0" w:space="0" w:color="auto"/>
        <w:bottom w:val="none" w:sz="0" w:space="0" w:color="auto"/>
        <w:right w:val="none" w:sz="0" w:space="0" w:color="auto"/>
      </w:divBdr>
    </w:div>
    <w:div w:id="1653440481">
      <w:bodyDiv w:val="1"/>
      <w:marLeft w:val="0"/>
      <w:marRight w:val="0"/>
      <w:marTop w:val="0"/>
      <w:marBottom w:val="0"/>
      <w:divBdr>
        <w:top w:val="none" w:sz="0" w:space="0" w:color="auto"/>
        <w:left w:val="none" w:sz="0" w:space="0" w:color="auto"/>
        <w:bottom w:val="none" w:sz="0" w:space="0" w:color="auto"/>
        <w:right w:val="none" w:sz="0" w:space="0" w:color="auto"/>
      </w:divBdr>
    </w:div>
    <w:div w:id="1655523726">
      <w:bodyDiv w:val="1"/>
      <w:marLeft w:val="0"/>
      <w:marRight w:val="0"/>
      <w:marTop w:val="0"/>
      <w:marBottom w:val="0"/>
      <w:divBdr>
        <w:top w:val="none" w:sz="0" w:space="0" w:color="auto"/>
        <w:left w:val="none" w:sz="0" w:space="0" w:color="auto"/>
        <w:bottom w:val="none" w:sz="0" w:space="0" w:color="auto"/>
        <w:right w:val="none" w:sz="0" w:space="0" w:color="auto"/>
      </w:divBdr>
    </w:div>
    <w:div w:id="1657807932">
      <w:bodyDiv w:val="1"/>
      <w:marLeft w:val="0"/>
      <w:marRight w:val="0"/>
      <w:marTop w:val="0"/>
      <w:marBottom w:val="0"/>
      <w:divBdr>
        <w:top w:val="none" w:sz="0" w:space="0" w:color="auto"/>
        <w:left w:val="none" w:sz="0" w:space="0" w:color="auto"/>
        <w:bottom w:val="none" w:sz="0" w:space="0" w:color="auto"/>
        <w:right w:val="none" w:sz="0" w:space="0" w:color="auto"/>
      </w:divBdr>
    </w:div>
    <w:div w:id="1659261588">
      <w:bodyDiv w:val="1"/>
      <w:marLeft w:val="0"/>
      <w:marRight w:val="0"/>
      <w:marTop w:val="0"/>
      <w:marBottom w:val="0"/>
      <w:divBdr>
        <w:top w:val="none" w:sz="0" w:space="0" w:color="auto"/>
        <w:left w:val="none" w:sz="0" w:space="0" w:color="auto"/>
        <w:bottom w:val="none" w:sz="0" w:space="0" w:color="auto"/>
        <w:right w:val="none" w:sz="0" w:space="0" w:color="auto"/>
      </w:divBdr>
    </w:div>
    <w:div w:id="1661956008">
      <w:bodyDiv w:val="1"/>
      <w:marLeft w:val="0"/>
      <w:marRight w:val="0"/>
      <w:marTop w:val="0"/>
      <w:marBottom w:val="0"/>
      <w:divBdr>
        <w:top w:val="none" w:sz="0" w:space="0" w:color="auto"/>
        <w:left w:val="none" w:sz="0" w:space="0" w:color="auto"/>
        <w:bottom w:val="none" w:sz="0" w:space="0" w:color="auto"/>
        <w:right w:val="none" w:sz="0" w:space="0" w:color="auto"/>
      </w:divBdr>
    </w:div>
    <w:div w:id="1662544961">
      <w:bodyDiv w:val="1"/>
      <w:marLeft w:val="0"/>
      <w:marRight w:val="0"/>
      <w:marTop w:val="0"/>
      <w:marBottom w:val="0"/>
      <w:divBdr>
        <w:top w:val="none" w:sz="0" w:space="0" w:color="auto"/>
        <w:left w:val="none" w:sz="0" w:space="0" w:color="auto"/>
        <w:bottom w:val="none" w:sz="0" w:space="0" w:color="auto"/>
        <w:right w:val="none" w:sz="0" w:space="0" w:color="auto"/>
      </w:divBdr>
    </w:div>
    <w:div w:id="1662931948">
      <w:bodyDiv w:val="1"/>
      <w:marLeft w:val="0"/>
      <w:marRight w:val="0"/>
      <w:marTop w:val="0"/>
      <w:marBottom w:val="0"/>
      <w:divBdr>
        <w:top w:val="none" w:sz="0" w:space="0" w:color="auto"/>
        <w:left w:val="none" w:sz="0" w:space="0" w:color="auto"/>
        <w:bottom w:val="none" w:sz="0" w:space="0" w:color="auto"/>
        <w:right w:val="none" w:sz="0" w:space="0" w:color="auto"/>
      </w:divBdr>
    </w:div>
    <w:div w:id="1664044255">
      <w:bodyDiv w:val="1"/>
      <w:marLeft w:val="0"/>
      <w:marRight w:val="0"/>
      <w:marTop w:val="0"/>
      <w:marBottom w:val="0"/>
      <w:divBdr>
        <w:top w:val="none" w:sz="0" w:space="0" w:color="auto"/>
        <w:left w:val="none" w:sz="0" w:space="0" w:color="auto"/>
        <w:bottom w:val="none" w:sz="0" w:space="0" w:color="auto"/>
        <w:right w:val="none" w:sz="0" w:space="0" w:color="auto"/>
      </w:divBdr>
    </w:div>
    <w:div w:id="1664817810">
      <w:bodyDiv w:val="1"/>
      <w:marLeft w:val="0"/>
      <w:marRight w:val="0"/>
      <w:marTop w:val="0"/>
      <w:marBottom w:val="0"/>
      <w:divBdr>
        <w:top w:val="none" w:sz="0" w:space="0" w:color="auto"/>
        <w:left w:val="none" w:sz="0" w:space="0" w:color="auto"/>
        <w:bottom w:val="none" w:sz="0" w:space="0" w:color="auto"/>
        <w:right w:val="none" w:sz="0" w:space="0" w:color="auto"/>
      </w:divBdr>
    </w:div>
    <w:div w:id="1665089959">
      <w:bodyDiv w:val="1"/>
      <w:marLeft w:val="0"/>
      <w:marRight w:val="0"/>
      <w:marTop w:val="0"/>
      <w:marBottom w:val="0"/>
      <w:divBdr>
        <w:top w:val="none" w:sz="0" w:space="0" w:color="auto"/>
        <w:left w:val="none" w:sz="0" w:space="0" w:color="auto"/>
        <w:bottom w:val="none" w:sz="0" w:space="0" w:color="auto"/>
        <w:right w:val="none" w:sz="0" w:space="0" w:color="auto"/>
      </w:divBdr>
    </w:div>
    <w:div w:id="1666741740">
      <w:bodyDiv w:val="1"/>
      <w:marLeft w:val="0"/>
      <w:marRight w:val="0"/>
      <w:marTop w:val="0"/>
      <w:marBottom w:val="0"/>
      <w:divBdr>
        <w:top w:val="none" w:sz="0" w:space="0" w:color="auto"/>
        <w:left w:val="none" w:sz="0" w:space="0" w:color="auto"/>
        <w:bottom w:val="none" w:sz="0" w:space="0" w:color="auto"/>
        <w:right w:val="none" w:sz="0" w:space="0" w:color="auto"/>
      </w:divBdr>
    </w:div>
    <w:div w:id="1667586405">
      <w:bodyDiv w:val="1"/>
      <w:marLeft w:val="0"/>
      <w:marRight w:val="0"/>
      <w:marTop w:val="0"/>
      <w:marBottom w:val="0"/>
      <w:divBdr>
        <w:top w:val="none" w:sz="0" w:space="0" w:color="auto"/>
        <w:left w:val="none" w:sz="0" w:space="0" w:color="auto"/>
        <w:bottom w:val="none" w:sz="0" w:space="0" w:color="auto"/>
        <w:right w:val="none" w:sz="0" w:space="0" w:color="auto"/>
      </w:divBdr>
    </w:div>
    <w:div w:id="1668367419">
      <w:bodyDiv w:val="1"/>
      <w:marLeft w:val="0"/>
      <w:marRight w:val="0"/>
      <w:marTop w:val="0"/>
      <w:marBottom w:val="0"/>
      <w:divBdr>
        <w:top w:val="none" w:sz="0" w:space="0" w:color="auto"/>
        <w:left w:val="none" w:sz="0" w:space="0" w:color="auto"/>
        <w:bottom w:val="none" w:sz="0" w:space="0" w:color="auto"/>
        <w:right w:val="none" w:sz="0" w:space="0" w:color="auto"/>
      </w:divBdr>
    </w:div>
    <w:div w:id="1669018081">
      <w:bodyDiv w:val="1"/>
      <w:marLeft w:val="0"/>
      <w:marRight w:val="0"/>
      <w:marTop w:val="0"/>
      <w:marBottom w:val="0"/>
      <w:divBdr>
        <w:top w:val="none" w:sz="0" w:space="0" w:color="auto"/>
        <w:left w:val="none" w:sz="0" w:space="0" w:color="auto"/>
        <w:bottom w:val="none" w:sz="0" w:space="0" w:color="auto"/>
        <w:right w:val="none" w:sz="0" w:space="0" w:color="auto"/>
      </w:divBdr>
    </w:div>
    <w:div w:id="1669871437">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869253">
      <w:bodyDiv w:val="1"/>
      <w:marLeft w:val="0"/>
      <w:marRight w:val="0"/>
      <w:marTop w:val="0"/>
      <w:marBottom w:val="0"/>
      <w:divBdr>
        <w:top w:val="none" w:sz="0" w:space="0" w:color="auto"/>
        <w:left w:val="none" w:sz="0" w:space="0" w:color="auto"/>
        <w:bottom w:val="none" w:sz="0" w:space="0" w:color="auto"/>
        <w:right w:val="none" w:sz="0" w:space="0" w:color="auto"/>
      </w:divBdr>
    </w:div>
    <w:div w:id="1680737539">
      <w:bodyDiv w:val="1"/>
      <w:marLeft w:val="0"/>
      <w:marRight w:val="0"/>
      <w:marTop w:val="0"/>
      <w:marBottom w:val="0"/>
      <w:divBdr>
        <w:top w:val="none" w:sz="0" w:space="0" w:color="auto"/>
        <w:left w:val="none" w:sz="0" w:space="0" w:color="auto"/>
        <w:bottom w:val="none" w:sz="0" w:space="0" w:color="auto"/>
        <w:right w:val="none" w:sz="0" w:space="0" w:color="auto"/>
      </w:divBdr>
    </w:div>
    <w:div w:id="1681463567">
      <w:bodyDiv w:val="1"/>
      <w:marLeft w:val="0"/>
      <w:marRight w:val="0"/>
      <w:marTop w:val="0"/>
      <w:marBottom w:val="0"/>
      <w:divBdr>
        <w:top w:val="none" w:sz="0" w:space="0" w:color="auto"/>
        <w:left w:val="none" w:sz="0" w:space="0" w:color="auto"/>
        <w:bottom w:val="none" w:sz="0" w:space="0" w:color="auto"/>
        <w:right w:val="none" w:sz="0" w:space="0" w:color="auto"/>
      </w:divBdr>
    </w:div>
    <w:div w:id="1682124394">
      <w:bodyDiv w:val="1"/>
      <w:marLeft w:val="0"/>
      <w:marRight w:val="0"/>
      <w:marTop w:val="0"/>
      <w:marBottom w:val="0"/>
      <w:divBdr>
        <w:top w:val="none" w:sz="0" w:space="0" w:color="auto"/>
        <w:left w:val="none" w:sz="0" w:space="0" w:color="auto"/>
        <w:bottom w:val="none" w:sz="0" w:space="0" w:color="auto"/>
        <w:right w:val="none" w:sz="0" w:space="0" w:color="auto"/>
      </w:divBdr>
    </w:div>
    <w:div w:id="1684817618">
      <w:bodyDiv w:val="1"/>
      <w:marLeft w:val="0"/>
      <w:marRight w:val="0"/>
      <w:marTop w:val="0"/>
      <w:marBottom w:val="0"/>
      <w:divBdr>
        <w:top w:val="none" w:sz="0" w:space="0" w:color="auto"/>
        <w:left w:val="none" w:sz="0" w:space="0" w:color="auto"/>
        <w:bottom w:val="none" w:sz="0" w:space="0" w:color="auto"/>
        <w:right w:val="none" w:sz="0" w:space="0" w:color="auto"/>
      </w:divBdr>
    </w:div>
    <w:div w:id="1687711870">
      <w:bodyDiv w:val="1"/>
      <w:marLeft w:val="0"/>
      <w:marRight w:val="0"/>
      <w:marTop w:val="0"/>
      <w:marBottom w:val="0"/>
      <w:divBdr>
        <w:top w:val="none" w:sz="0" w:space="0" w:color="auto"/>
        <w:left w:val="none" w:sz="0" w:space="0" w:color="auto"/>
        <w:bottom w:val="none" w:sz="0" w:space="0" w:color="auto"/>
        <w:right w:val="none" w:sz="0" w:space="0" w:color="auto"/>
      </w:divBdr>
    </w:div>
    <w:div w:id="1688216024">
      <w:bodyDiv w:val="1"/>
      <w:marLeft w:val="0"/>
      <w:marRight w:val="0"/>
      <w:marTop w:val="0"/>
      <w:marBottom w:val="0"/>
      <w:divBdr>
        <w:top w:val="none" w:sz="0" w:space="0" w:color="auto"/>
        <w:left w:val="none" w:sz="0" w:space="0" w:color="auto"/>
        <w:bottom w:val="none" w:sz="0" w:space="0" w:color="auto"/>
        <w:right w:val="none" w:sz="0" w:space="0" w:color="auto"/>
      </w:divBdr>
    </w:div>
    <w:div w:id="169013754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413074">
      <w:bodyDiv w:val="1"/>
      <w:marLeft w:val="0"/>
      <w:marRight w:val="0"/>
      <w:marTop w:val="0"/>
      <w:marBottom w:val="0"/>
      <w:divBdr>
        <w:top w:val="none" w:sz="0" w:space="0" w:color="auto"/>
        <w:left w:val="none" w:sz="0" w:space="0" w:color="auto"/>
        <w:bottom w:val="none" w:sz="0" w:space="0" w:color="auto"/>
        <w:right w:val="none" w:sz="0" w:space="0" w:color="auto"/>
      </w:divBdr>
    </w:div>
    <w:div w:id="1692491593">
      <w:bodyDiv w:val="1"/>
      <w:marLeft w:val="0"/>
      <w:marRight w:val="0"/>
      <w:marTop w:val="0"/>
      <w:marBottom w:val="0"/>
      <w:divBdr>
        <w:top w:val="none" w:sz="0" w:space="0" w:color="auto"/>
        <w:left w:val="none" w:sz="0" w:space="0" w:color="auto"/>
        <w:bottom w:val="none" w:sz="0" w:space="0" w:color="auto"/>
        <w:right w:val="none" w:sz="0" w:space="0" w:color="auto"/>
      </w:divBdr>
    </w:div>
    <w:div w:id="1693603478">
      <w:bodyDiv w:val="1"/>
      <w:marLeft w:val="0"/>
      <w:marRight w:val="0"/>
      <w:marTop w:val="0"/>
      <w:marBottom w:val="0"/>
      <w:divBdr>
        <w:top w:val="none" w:sz="0" w:space="0" w:color="auto"/>
        <w:left w:val="none" w:sz="0" w:space="0" w:color="auto"/>
        <w:bottom w:val="none" w:sz="0" w:space="0" w:color="auto"/>
        <w:right w:val="none" w:sz="0" w:space="0" w:color="auto"/>
      </w:divBdr>
    </w:div>
    <w:div w:id="1693844421">
      <w:bodyDiv w:val="1"/>
      <w:marLeft w:val="0"/>
      <w:marRight w:val="0"/>
      <w:marTop w:val="0"/>
      <w:marBottom w:val="0"/>
      <w:divBdr>
        <w:top w:val="none" w:sz="0" w:space="0" w:color="auto"/>
        <w:left w:val="none" w:sz="0" w:space="0" w:color="auto"/>
        <w:bottom w:val="none" w:sz="0" w:space="0" w:color="auto"/>
        <w:right w:val="none" w:sz="0" w:space="0" w:color="auto"/>
      </w:divBdr>
    </w:div>
    <w:div w:id="1696081463">
      <w:bodyDiv w:val="1"/>
      <w:marLeft w:val="0"/>
      <w:marRight w:val="0"/>
      <w:marTop w:val="0"/>
      <w:marBottom w:val="0"/>
      <w:divBdr>
        <w:top w:val="none" w:sz="0" w:space="0" w:color="auto"/>
        <w:left w:val="none" w:sz="0" w:space="0" w:color="auto"/>
        <w:bottom w:val="none" w:sz="0" w:space="0" w:color="auto"/>
        <w:right w:val="none" w:sz="0" w:space="0" w:color="auto"/>
      </w:divBdr>
    </w:div>
    <w:div w:id="1698431478">
      <w:bodyDiv w:val="1"/>
      <w:marLeft w:val="0"/>
      <w:marRight w:val="0"/>
      <w:marTop w:val="0"/>
      <w:marBottom w:val="0"/>
      <w:divBdr>
        <w:top w:val="none" w:sz="0" w:space="0" w:color="auto"/>
        <w:left w:val="none" w:sz="0" w:space="0" w:color="auto"/>
        <w:bottom w:val="none" w:sz="0" w:space="0" w:color="auto"/>
        <w:right w:val="none" w:sz="0" w:space="0" w:color="auto"/>
      </w:divBdr>
    </w:div>
    <w:div w:id="1698653630">
      <w:bodyDiv w:val="1"/>
      <w:marLeft w:val="0"/>
      <w:marRight w:val="0"/>
      <w:marTop w:val="0"/>
      <w:marBottom w:val="0"/>
      <w:divBdr>
        <w:top w:val="none" w:sz="0" w:space="0" w:color="auto"/>
        <w:left w:val="none" w:sz="0" w:space="0" w:color="auto"/>
        <w:bottom w:val="none" w:sz="0" w:space="0" w:color="auto"/>
        <w:right w:val="none" w:sz="0" w:space="0" w:color="auto"/>
      </w:divBdr>
    </w:div>
    <w:div w:id="1699235190">
      <w:bodyDiv w:val="1"/>
      <w:marLeft w:val="0"/>
      <w:marRight w:val="0"/>
      <w:marTop w:val="0"/>
      <w:marBottom w:val="0"/>
      <w:divBdr>
        <w:top w:val="none" w:sz="0" w:space="0" w:color="auto"/>
        <w:left w:val="none" w:sz="0" w:space="0" w:color="auto"/>
        <w:bottom w:val="none" w:sz="0" w:space="0" w:color="auto"/>
        <w:right w:val="none" w:sz="0" w:space="0" w:color="auto"/>
      </w:divBdr>
    </w:div>
    <w:div w:id="1699352804">
      <w:bodyDiv w:val="1"/>
      <w:marLeft w:val="0"/>
      <w:marRight w:val="0"/>
      <w:marTop w:val="0"/>
      <w:marBottom w:val="0"/>
      <w:divBdr>
        <w:top w:val="none" w:sz="0" w:space="0" w:color="auto"/>
        <w:left w:val="none" w:sz="0" w:space="0" w:color="auto"/>
        <w:bottom w:val="none" w:sz="0" w:space="0" w:color="auto"/>
        <w:right w:val="none" w:sz="0" w:space="0" w:color="auto"/>
      </w:divBdr>
    </w:div>
    <w:div w:id="1699894807">
      <w:bodyDiv w:val="1"/>
      <w:marLeft w:val="0"/>
      <w:marRight w:val="0"/>
      <w:marTop w:val="0"/>
      <w:marBottom w:val="0"/>
      <w:divBdr>
        <w:top w:val="none" w:sz="0" w:space="0" w:color="auto"/>
        <w:left w:val="none" w:sz="0" w:space="0" w:color="auto"/>
        <w:bottom w:val="none" w:sz="0" w:space="0" w:color="auto"/>
        <w:right w:val="none" w:sz="0" w:space="0" w:color="auto"/>
      </w:divBdr>
    </w:div>
    <w:div w:id="1700353404">
      <w:bodyDiv w:val="1"/>
      <w:marLeft w:val="0"/>
      <w:marRight w:val="0"/>
      <w:marTop w:val="0"/>
      <w:marBottom w:val="0"/>
      <w:divBdr>
        <w:top w:val="none" w:sz="0" w:space="0" w:color="auto"/>
        <w:left w:val="none" w:sz="0" w:space="0" w:color="auto"/>
        <w:bottom w:val="none" w:sz="0" w:space="0" w:color="auto"/>
        <w:right w:val="none" w:sz="0" w:space="0" w:color="auto"/>
      </w:divBdr>
    </w:div>
    <w:div w:id="1701121444">
      <w:bodyDiv w:val="1"/>
      <w:marLeft w:val="0"/>
      <w:marRight w:val="0"/>
      <w:marTop w:val="0"/>
      <w:marBottom w:val="0"/>
      <w:divBdr>
        <w:top w:val="none" w:sz="0" w:space="0" w:color="auto"/>
        <w:left w:val="none" w:sz="0" w:space="0" w:color="auto"/>
        <w:bottom w:val="none" w:sz="0" w:space="0" w:color="auto"/>
        <w:right w:val="none" w:sz="0" w:space="0" w:color="auto"/>
      </w:divBdr>
    </w:div>
    <w:div w:id="1704591778">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08333455">
      <w:bodyDiv w:val="1"/>
      <w:marLeft w:val="0"/>
      <w:marRight w:val="0"/>
      <w:marTop w:val="0"/>
      <w:marBottom w:val="0"/>
      <w:divBdr>
        <w:top w:val="none" w:sz="0" w:space="0" w:color="auto"/>
        <w:left w:val="none" w:sz="0" w:space="0" w:color="auto"/>
        <w:bottom w:val="none" w:sz="0" w:space="0" w:color="auto"/>
        <w:right w:val="none" w:sz="0" w:space="0" w:color="auto"/>
      </w:divBdr>
    </w:div>
    <w:div w:id="1709834344">
      <w:bodyDiv w:val="1"/>
      <w:marLeft w:val="0"/>
      <w:marRight w:val="0"/>
      <w:marTop w:val="0"/>
      <w:marBottom w:val="0"/>
      <w:divBdr>
        <w:top w:val="none" w:sz="0" w:space="0" w:color="auto"/>
        <w:left w:val="none" w:sz="0" w:space="0" w:color="auto"/>
        <w:bottom w:val="none" w:sz="0" w:space="0" w:color="auto"/>
        <w:right w:val="none" w:sz="0" w:space="0" w:color="auto"/>
      </w:divBdr>
    </w:div>
    <w:div w:id="1711296916">
      <w:bodyDiv w:val="1"/>
      <w:marLeft w:val="0"/>
      <w:marRight w:val="0"/>
      <w:marTop w:val="0"/>
      <w:marBottom w:val="0"/>
      <w:divBdr>
        <w:top w:val="none" w:sz="0" w:space="0" w:color="auto"/>
        <w:left w:val="none" w:sz="0" w:space="0" w:color="auto"/>
        <w:bottom w:val="none" w:sz="0" w:space="0" w:color="auto"/>
        <w:right w:val="none" w:sz="0" w:space="0" w:color="auto"/>
      </w:divBdr>
    </w:div>
    <w:div w:id="1712920762">
      <w:bodyDiv w:val="1"/>
      <w:marLeft w:val="0"/>
      <w:marRight w:val="0"/>
      <w:marTop w:val="0"/>
      <w:marBottom w:val="0"/>
      <w:divBdr>
        <w:top w:val="none" w:sz="0" w:space="0" w:color="auto"/>
        <w:left w:val="none" w:sz="0" w:space="0" w:color="auto"/>
        <w:bottom w:val="none" w:sz="0" w:space="0" w:color="auto"/>
        <w:right w:val="none" w:sz="0" w:space="0" w:color="auto"/>
      </w:divBdr>
    </w:div>
    <w:div w:id="1716269679">
      <w:bodyDiv w:val="1"/>
      <w:marLeft w:val="0"/>
      <w:marRight w:val="0"/>
      <w:marTop w:val="0"/>
      <w:marBottom w:val="0"/>
      <w:divBdr>
        <w:top w:val="none" w:sz="0" w:space="0" w:color="auto"/>
        <w:left w:val="none" w:sz="0" w:space="0" w:color="auto"/>
        <w:bottom w:val="none" w:sz="0" w:space="0" w:color="auto"/>
        <w:right w:val="none" w:sz="0" w:space="0" w:color="auto"/>
      </w:divBdr>
    </w:div>
    <w:div w:id="1717193689">
      <w:bodyDiv w:val="1"/>
      <w:marLeft w:val="0"/>
      <w:marRight w:val="0"/>
      <w:marTop w:val="0"/>
      <w:marBottom w:val="0"/>
      <w:divBdr>
        <w:top w:val="none" w:sz="0" w:space="0" w:color="auto"/>
        <w:left w:val="none" w:sz="0" w:space="0" w:color="auto"/>
        <w:bottom w:val="none" w:sz="0" w:space="0" w:color="auto"/>
        <w:right w:val="none" w:sz="0" w:space="0" w:color="auto"/>
      </w:divBdr>
    </w:div>
    <w:div w:id="1718820878">
      <w:bodyDiv w:val="1"/>
      <w:marLeft w:val="0"/>
      <w:marRight w:val="0"/>
      <w:marTop w:val="0"/>
      <w:marBottom w:val="0"/>
      <w:divBdr>
        <w:top w:val="none" w:sz="0" w:space="0" w:color="auto"/>
        <w:left w:val="none" w:sz="0" w:space="0" w:color="auto"/>
        <w:bottom w:val="none" w:sz="0" w:space="0" w:color="auto"/>
        <w:right w:val="none" w:sz="0" w:space="0" w:color="auto"/>
      </w:divBdr>
    </w:div>
    <w:div w:id="1721200315">
      <w:bodyDiv w:val="1"/>
      <w:marLeft w:val="0"/>
      <w:marRight w:val="0"/>
      <w:marTop w:val="0"/>
      <w:marBottom w:val="0"/>
      <w:divBdr>
        <w:top w:val="none" w:sz="0" w:space="0" w:color="auto"/>
        <w:left w:val="none" w:sz="0" w:space="0" w:color="auto"/>
        <w:bottom w:val="none" w:sz="0" w:space="0" w:color="auto"/>
        <w:right w:val="none" w:sz="0" w:space="0" w:color="auto"/>
      </w:divBdr>
    </w:div>
    <w:div w:id="1722829248">
      <w:bodyDiv w:val="1"/>
      <w:marLeft w:val="0"/>
      <w:marRight w:val="0"/>
      <w:marTop w:val="0"/>
      <w:marBottom w:val="0"/>
      <w:divBdr>
        <w:top w:val="none" w:sz="0" w:space="0" w:color="auto"/>
        <w:left w:val="none" w:sz="0" w:space="0" w:color="auto"/>
        <w:bottom w:val="none" w:sz="0" w:space="0" w:color="auto"/>
        <w:right w:val="none" w:sz="0" w:space="0" w:color="auto"/>
      </w:divBdr>
    </w:div>
    <w:div w:id="1723407419">
      <w:bodyDiv w:val="1"/>
      <w:marLeft w:val="0"/>
      <w:marRight w:val="0"/>
      <w:marTop w:val="0"/>
      <w:marBottom w:val="0"/>
      <w:divBdr>
        <w:top w:val="none" w:sz="0" w:space="0" w:color="auto"/>
        <w:left w:val="none" w:sz="0" w:space="0" w:color="auto"/>
        <w:bottom w:val="none" w:sz="0" w:space="0" w:color="auto"/>
        <w:right w:val="none" w:sz="0" w:space="0" w:color="auto"/>
      </w:divBdr>
    </w:div>
    <w:div w:id="1723863294">
      <w:bodyDiv w:val="1"/>
      <w:marLeft w:val="0"/>
      <w:marRight w:val="0"/>
      <w:marTop w:val="0"/>
      <w:marBottom w:val="0"/>
      <w:divBdr>
        <w:top w:val="none" w:sz="0" w:space="0" w:color="auto"/>
        <w:left w:val="none" w:sz="0" w:space="0" w:color="auto"/>
        <w:bottom w:val="none" w:sz="0" w:space="0" w:color="auto"/>
        <w:right w:val="none" w:sz="0" w:space="0" w:color="auto"/>
      </w:divBdr>
    </w:div>
    <w:div w:id="1723871801">
      <w:bodyDiv w:val="1"/>
      <w:marLeft w:val="0"/>
      <w:marRight w:val="0"/>
      <w:marTop w:val="0"/>
      <w:marBottom w:val="0"/>
      <w:divBdr>
        <w:top w:val="none" w:sz="0" w:space="0" w:color="auto"/>
        <w:left w:val="none" w:sz="0" w:space="0" w:color="auto"/>
        <w:bottom w:val="none" w:sz="0" w:space="0" w:color="auto"/>
        <w:right w:val="none" w:sz="0" w:space="0" w:color="auto"/>
      </w:divBdr>
    </w:div>
    <w:div w:id="1725252885">
      <w:bodyDiv w:val="1"/>
      <w:marLeft w:val="0"/>
      <w:marRight w:val="0"/>
      <w:marTop w:val="0"/>
      <w:marBottom w:val="0"/>
      <w:divBdr>
        <w:top w:val="none" w:sz="0" w:space="0" w:color="auto"/>
        <w:left w:val="none" w:sz="0" w:space="0" w:color="auto"/>
        <w:bottom w:val="none" w:sz="0" w:space="0" w:color="auto"/>
        <w:right w:val="none" w:sz="0" w:space="0" w:color="auto"/>
      </w:divBdr>
    </w:div>
    <w:div w:id="1726488604">
      <w:bodyDiv w:val="1"/>
      <w:marLeft w:val="0"/>
      <w:marRight w:val="0"/>
      <w:marTop w:val="0"/>
      <w:marBottom w:val="0"/>
      <w:divBdr>
        <w:top w:val="none" w:sz="0" w:space="0" w:color="auto"/>
        <w:left w:val="none" w:sz="0" w:space="0" w:color="auto"/>
        <w:bottom w:val="none" w:sz="0" w:space="0" w:color="auto"/>
        <w:right w:val="none" w:sz="0" w:space="0" w:color="auto"/>
      </w:divBdr>
    </w:div>
    <w:div w:id="1727800968">
      <w:bodyDiv w:val="1"/>
      <w:marLeft w:val="0"/>
      <w:marRight w:val="0"/>
      <w:marTop w:val="0"/>
      <w:marBottom w:val="0"/>
      <w:divBdr>
        <w:top w:val="none" w:sz="0" w:space="0" w:color="auto"/>
        <w:left w:val="none" w:sz="0" w:space="0" w:color="auto"/>
        <w:bottom w:val="none" w:sz="0" w:space="0" w:color="auto"/>
        <w:right w:val="none" w:sz="0" w:space="0" w:color="auto"/>
      </w:divBdr>
    </w:div>
    <w:div w:id="1732384971">
      <w:bodyDiv w:val="1"/>
      <w:marLeft w:val="0"/>
      <w:marRight w:val="0"/>
      <w:marTop w:val="0"/>
      <w:marBottom w:val="0"/>
      <w:divBdr>
        <w:top w:val="none" w:sz="0" w:space="0" w:color="auto"/>
        <w:left w:val="none" w:sz="0" w:space="0" w:color="auto"/>
        <w:bottom w:val="none" w:sz="0" w:space="0" w:color="auto"/>
        <w:right w:val="none" w:sz="0" w:space="0" w:color="auto"/>
      </w:divBdr>
    </w:div>
    <w:div w:id="1733430886">
      <w:bodyDiv w:val="1"/>
      <w:marLeft w:val="0"/>
      <w:marRight w:val="0"/>
      <w:marTop w:val="0"/>
      <w:marBottom w:val="0"/>
      <w:divBdr>
        <w:top w:val="none" w:sz="0" w:space="0" w:color="auto"/>
        <w:left w:val="none" w:sz="0" w:space="0" w:color="auto"/>
        <w:bottom w:val="none" w:sz="0" w:space="0" w:color="auto"/>
        <w:right w:val="none" w:sz="0" w:space="0" w:color="auto"/>
      </w:divBdr>
    </w:div>
    <w:div w:id="1733698564">
      <w:bodyDiv w:val="1"/>
      <w:marLeft w:val="0"/>
      <w:marRight w:val="0"/>
      <w:marTop w:val="0"/>
      <w:marBottom w:val="0"/>
      <w:divBdr>
        <w:top w:val="none" w:sz="0" w:space="0" w:color="auto"/>
        <w:left w:val="none" w:sz="0" w:space="0" w:color="auto"/>
        <w:bottom w:val="none" w:sz="0" w:space="0" w:color="auto"/>
        <w:right w:val="none" w:sz="0" w:space="0" w:color="auto"/>
      </w:divBdr>
    </w:div>
    <w:div w:id="1735276078">
      <w:bodyDiv w:val="1"/>
      <w:marLeft w:val="0"/>
      <w:marRight w:val="0"/>
      <w:marTop w:val="0"/>
      <w:marBottom w:val="0"/>
      <w:divBdr>
        <w:top w:val="none" w:sz="0" w:space="0" w:color="auto"/>
        <w:left w:val="none" w:sz="0" w:space="0" w:color="auto"/>
        <w:bottom w:val="none" w:sz="0" w:space="0" w:color="auto"/>
        <w:right w:val="none" w:sz="0" w:space="0" w:color="auto"/>
      </w:divBdr>
    </w:div>
    <w:div w:id="1737821530">
      <w:bodyDiv w:val="1"/>
      <w:marLeft w:val="0"/>
      <w:marRight w:val="0"/>
      <w:marTop w:val="0"/>
      <w:marBottom w:val="0"/>
      <w:divBdr>
        <w:top w:val="none" w:sz="0" w:space="0" w:color="auto"/>
        <w:left w:val="none" w:sz="0" w:space="0" w:color="auto"/>
        <w:bottom w:val="none" w:sz="0" w:space="0" w:color="auto"/>
        <w:right w:val="none" w:sz="0" w:space="0" w:color="auto"/>
      </w:divBdr>
    </w:div>
    <w:div w:id="1739747431">
      <w:bodyDiv w:val="1"/>
      <w:marLeft w:val="0"/>
      <w:marRight w:val="0"/>
      <w:marTop w:val="0"/>
      <w:marBottom w:val="0"/>
      <w:divBdr>
        <w:top w:val="none" w:sz="0" w:space="0" w:color="auto"/>
        <w:left w:val="none" w:sz="0" w:space="0" w:color="auto"/>
        <w:bottom w:val="none" w:sz="0" w:space="0" w:color="auto"/>
        <w:right w:val="none" w:sz="0" w:space="0" w:color="auto"/>
      </w:divBdr>
    </w:div>
    <w:div w:id="1743404274">
      <w:bodyDiv w:val="1"/>
      <w:marLeft w:val="0"/>
      <w:marRight w:val="0"/>
      <w:marTop w:val="0"/>
      <w:marBottom w:val="0"/>
      <w:divBdr>
        <w:top w:val="none" w:sz="0" w:space="0" w:color="auto"/>
        <w:left w:val="none" w:sz="0" w:space="0" w:color="auto"/>
        <w:bottom w:val="none" w:sz="0" w:space="0" w:color="auto"/>
        <w:right w:val="none" w:sz="0" w:space="0" w:color="auto"/>
      </w:divBdr>
    </w:div>
    <w:div w:id="174386652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45101477">
      <w:bodyDiv w:val="1"/>
      <w:marLeft w:val="0"/>
      <w:marRight w:val="0"/>
      <w:marTop w:val="0"/>
      <w:marBottom w:val="0"/>
      <w:divBdr>
        <w:top w:val="none" w:sz="0" w:space="0" w:color="auto"/>
        <w:left w:val="none" w:sz="0" w:space="0" w:color="auto"/>
        <w:bottom w:val="none" w:sz="0" w:space="0" w:color="auto"/>
        <w:right w:val="none" w:sz="0" w:space="0" w:color="auto"/>
      </w:divBdr>
    </w:div>
    <w:div w:id="1745952096">
      <w:bodyDiv w:val="1"/>
      <w:marLeft w:val="0"/>
      <w:marRight w:val="0"/>
      <w:marTop w:val="0"/>
      <w:marBottom w:val="0"/>
      <w:divBdr>
        <w:top w:val="none" w:sz="0" w:space="0" w:color="auto"/>
        <w:left w:val="none" w:sz="0" w:space="0" w:color="auto"/>
        <w:bottom w:val="none" w:sz="0" w:space="0" w:color="auto"/>
        <w:right w:val="none" w:sz="0" w:space="0" w:color="auto"/>
      </w:divBdr>
    </w:div>
    <w:div w:id="1748115291">
      <w:bodyDiv w:val="1"/>
      <w:marLeft w:val="0"/>
      <w:marRight w:val="0"/>
      <w:marTop w:val="0"/>
      <w:marBottom w:val="0"/>
      <w:divBdr>
        <w:top w:val="none" w:sz="0" w:space="0" w:color="auto"/>
        <w:left w:val="none" w:sz="0" w:space="0" w:color="auto"/>
        <w:bottom w:val="none" w:sz="0" w:space="0" w:color="auto"/>
        <w:right w:val="none" w:sz="0" w:space="0" w:color="auto"/>
      </w:divBdr>
    </w:div>
    <w:div w:id="1749309645">
      <w:bodyDiv w:val="1"/>
      <w:marLeft w:val="0"/>
      <w:marRight w:val="0"/>
      <w:marTop w:val="0"/>
      <w:marBottom w:val="0"/>
      <w:divBdr>
        <w:top w:val="none" w:sz="0" w:space="0" w:color="auto"/>
        <w:left w:val="none" w:sz="0" w:space="0" w:color="auto"/>
        <w:bottom w:val="none" w:sz="0" w:space="0" w:color="auto"/>
        <w:right w:val="none" w:sz="0" w:space="0" w:color="auto"/>
      </w:divBdr>
    </w:div>
    <w:div w:id="1749958839">
      <w:bodyDiv w:val="1"/>
      <w:marLeft w:val="0"/>
      <w:marRight w:val="0"/>
      <w:marTop w:val="0"/>
      <w:marBottom w:val="0"/>
      <w:divBdr>
        <w:top w:val="none" w:sz="0" w:space="0" w:color="auto"/>
        <w:left w:val="none" w:sz="0" w:space="0" w:color="auto"/>
        <w:bottom w:val="none" w:sz="0" w:space="0" w:color="auto"/>
        <w:right w:val="none" w:sz="0" w:space="0" w:color="auto"/>
      </w:divBdr>
    </w:div>
    <w:div w:id="1750345419">
      <w:bodyDiv w:val="1"/>
      <w:marLeft w:val="0"/>
      <w:marRight w:val="0"/>
      <w:marTop w:val="0"/>
      <w:marBottom w:val="0"/>
      <w:divBdr>
        <w:top w:val="none" w:sz="0" w:space="0" w:color="auto"/>
        <w:left w:val="none" w:sz="0" w:space="0" w:color="auto"/>
        <w:bottom w:val="none" w:sz="0" w:space="0" w:color="auto"/>
        <w:right w:val="none" w:sz="0" w:space="0" w:color="auto"/>
      </w:divBdr>
    </w:div>
    <w:div w:id="1751736574">
      <w:bodyDiv w:val="1"/>
      <w:marLeft w:val="0"/>
      <w:marRight w:val="0"/>
      <w:marTop w:val="0"/>
      <w:marBottom w:val="0"/>
      <w:divBdr>
        <w:top w:val="none" w:sz="0" w:space="0" w:color="auto"/>
        <w:left w:val="none" w:sz="0" w:space="0" w:color="auto"/>
        <w:bottom w:val="none" w:sz="0" w:space="0" w:color="auto"/>
        <w:right w:val="none" w:sz="0" w:space="0" w:color="auto"/>
      </w:divBdr>
    </w:div>
    <w:div w:id="1753157278">
      <w:bodyDiv w:val="1"/>
      <w:marLeft w:val="0"/>
      <w:marRight w:val="0"/>
      <w:marTop w:val="0"/>
      <w:marBottom w:val="0"/>
      <w:divBdr>
        <w:top w:val="none" w:sz="0" w:space="0" w:color="auto"/>
        <w:left w:val="none" w:sz="0" w:space="0" w:color="auto"/>
        <w:bottom w:val="none" w:sz="0" w:space="0" w:color="auto"/>
        <w:right w:val="none" w:sz="0" w:space="0" w:color="auto"/>
      </w:divBdr>
    </w:div>
    <w:div w:id="1753968321">
      <w:bodyDiv w:val="1"/>
      <w:marLeft w:val="0"/>
      <w:marRight w:val="0"/>
      <w:marTop w:val="0"/>
      <w:marBottom w:val="0"/>
      <w:divBdr>
        <w:top w:val="none" w:sz="0" w:space="0" w:color="auto"/>
        <w:left w:val="none" w:sz="0" w:space="0" w:color="auto"/>
        <w:bottom w:val="none" w:sz="0" w:space="0" w:color="auto"/>
        <w:right w:val="none" w:sz="0" w:space="0" w:color="auto"/>
      </w:divBdr>
    </w:div>
    <w:div w:id="1754088950">
      <w:bodyDiv w:val="1"/>
      <w:marLeft w:val="0"/>
      <w:marRight w:val="0"/>
      <w:marTop w:val="0"/>
      <w:marBottom w:val="0"/>
      <w:divBdr>
        <w:top w:val="none" w:sz="0" w:space="0" w:color="auto"/>
        <w:left w:val="none" w:sz="0" w:space="0" w:color="auto"/>
        <w:bottom w:val="none" w:sz="0" w:space="0" w:color="auto"/>
        <w:right w:val="none" w:sz="0" w:space="0" w:color="auto"/>
      </w:divBdr>
    </w:div>
    <w:div w:id="1756782354">
      <w:bodyDiv w:val="1"/>
      <w:marLeft w:val="0"/>
      <w:marRight w:val="0"/>
      <w:marTop w:val="0"/>
      <w:marBottom w:val="0"/>
      <w:divBdr>
        <w:top w:val="none" w:sz="0" w:space="0" w:color="auto"/>
        <w:left w:val="none" w:sz="0" w:space="0" w:color="auto"/>
        <w:bottom w:val="none" w:sz="0" w:space="0" w:color="auto"/>
        <w:right w:val="none" w:sz="0" w:space="0" w:color="auto"/>
      </w:divBdr>
    </w:div>
    <w:div w:id="1758553607">
      <w:bodyDiv w:val="1"/>
      <w:marLeft w:val="0"/>
      <w:marRight w:val="0"/>
      <w:marTop w:val="0"/>
      <w:marBottom w:val="0"/>
      <w:divBdr>
        <w:top w:val="none" w:sz="0" w:space="0" w:color="auto"/>
        <w:left w:val="none" w:sz="0" w:space="0" w:color="auto"/>
        <w:bottom w:val="none" w:sz="0" w:space="0" w:color="auto"/>
        <w:right w:val="none" w:sz="0" w:space="0" w:color="auto"/>
      </w:divBdr>
    </w:div>
    <w:div w:id="1758599620">
      <w:bodyDiv w:val="1"/>
      <w:marLeft w:val="0"/>
      <w:marRight w:val="0"/>
      <w:marTop w:val="0"/>
      <w:marBottom w:val="0"/>
      <w:divBdr>
        <w:top w:val="none" w:sz="0" w:space="0" w:color="auto"/>
        <w:left w:val="none" w:sz="0" w:space="0" w:color="auto"/>
        <w:bottom w:val="none" w:sz="0" w:space="0" w:color="auto"/>
        <w:right w:val="none" w:sz="0" w:space="0" w:color="auto"/>
      </w:divBdr>
    </w:div>
    <w:div w:id="1760439681">
      <w:bodyDiv w:val="1"/>
      <w:marLeft w:val="0"/>
      <w:marRight w:val="0"/>
      <w:marTop w:val="0"/>
      <w:marBottom w:val="0"/>
      <w:divBdr>
        <w:top w:val="none" w:sz="0" w:space="0" w:color="auto"/>
        <w:left w:val="none" w:sz="0" w:space="0" w:color="auto"/>
        <w:bottom w:val="none" w:sz="0" w:space="0" w:color="auto"/>
        <w:right w:val="none" w:sz="0" w:space="0" w:color="auto"/>
      </w:divBdr>
    </w:div>
    <w:div w:id="1761488827">
      <w:bodyDiv w:val="1"/>
      <w:marLeft w:val="0"/>
      <w:marRight w:val="0"/>
      <w:marTop w:val="0"/>
      <w:marBottom w:val="0"/>
      <w:divBdr>
        <w:top w:val="none" w:sz="0" w:space="0" w:color="auto"/>
        <w:left w:val="none" w:sz="0" w:space="0" w:color="auto"/>
        <w:bottom w:val="none" w:sz="0" w:space="0" w:color="auto"/>
        <w:right w:val="none" w:sz="0" w:space="0" w:color="auto"/>
      </w:divBdr>
    </w:div>
    <w:div w:id="1762801749">
      <w:bodyDiv w:val="1"/>
      <w:marLeft w:val="0"/>
      <w:marRight w:val="0"/>
      <w:marTop w:val="0"/>
      <w:marBottom w:val="0"/>
      <w:divBdr>
        <w:top w:val="none" w:sz="0" w:space="0" w:color="auto"/>
        <w:left w:val="none" w:sz="0" w:space="0" w:color="auto"/>
        <w:bottom w:val="none" w:sz="0" w:space="0" w:color="auto"/>
        <w:right w:val="none" w:sz="0" w:space="0" w:color="auto"/>
      </w:divBdr>
    </w:div>
    <w:div w:id="1766685379">
      <w:bodyDiv w:val="1"/>
      <w:marLeft w:val="0"/>
      <w:marRight w:val="0"/>
      <w:marTop w:val="0"/>
      <w:marBottom w:val="0"/>
      <w:divBdr>
        <w:top w:val="none" w:sz="0" w:space="0" w:color="auto"/>
        <w:left w:val="none" w:sz="0" w:space="0" w:color="auto"/>
        <w:bottom w:val="none" w:sz="0" w:space="0" w:color="auto"/>
        <w:right w:val="none" w:sz="0" w:space="0" w:color="auto"/>
      </w:divBdr>
    </w:div>
    <w:div w:id="1767194244">
      <w:bodyDiv w:val="1"/>
      <w:marLeft w:val="0"/>
      <w:marRight w:val="0"/>
      <w:marTop w:val="0"/>
      <w:marBottom w:val="0"/>
      <w:divBdr>
        <w:top w:val="none" w:sz="0" w:space="0" w:color="auto"/>
        <w:left w:val="none" w:sz="0" w:space="0" w:color="auto"/>
        <w:bottom w:val="none" w:sz="0" w:space="0" w:color="auto"/>
        <w:right w:val="none" w:sz="0" w:space="0" w:color="auto"/>
      </w:divBdr>
    </w:div>
    <w:div w:id="1769085228">
      <w:bodyDiv w:val="1"/>
      <w:marLeft w:val="0"/>
      <w:marRight w:val="0"/>
      <w:marTop w:val="0"/>
      <w:marBottom w:val="0"/>
      <w:divBdr>
        <w:top w:val="none" w:sz="0" w:space="0" w:color="auto"/>
        <w:left w:val="none" w:sz="0" w:space="0" w:color="auto"/>
        <w:bottom w:val="none" w:sz="0" w:space="0" w:color="auto"/>
        <w:right w:val="none" w:sz="0" w:space="0" w:color="auto"/>
      </w:divBdr>
    </w:div>
    <w:div w:id="1769151951">
      <w:bodyDiv w:val="1"/>
      <w:marLeft w:val="0"/>
      <w:marRight w:val="0"/>
      <w:marTop w:val="0"/>
      <w:marBottom w:val="0"/>
      <w:divBdr>
        <w:top w:val="none" w:sz="0" w:space="0" w:color="auto"/>
        <w:left w:val="none" w:sz="0" w:space="0" w:color="auto"/>
        <w:bottom w:val="none" w:sz="0" w:space="0" w:color="auto"/>
        <w:right w:val="none" w:sz="0" w:space="0" w:color="auto"/>
      </w:divBdr>
    </w:div>
    <w:div w:id="1770277704">
      <w:bodyDiv w:val="1"/>
      <w:marLeft w:val="0"/>
      <w:marRight w:val="0"/>
      <w:marTop w:val="0"/>
      <w:marBottom w:val="0"/>
      <w:divBdr>
        <w:top w:val="none" w:sz="0" w:space="0" w:color="auto"/>
        <w:left w:val="none" w:sz="0" w:space="0" w:color="auto"/>
        <w:bottom w:val="none" w:sz="0" w:space="0" w:color="auto"/>
        <w:right w:val="none" w:sz="0" w:space="0" w:color="auto"/>
      </w:divBdr>
    </w:div>
    <w:div w:id="1771046301">
      <w:bodyDiv w:val="1"/>
      <w:marLeft w:val="0"/>
      <w:marRight w:val="0"/>
      <w:marTop w:val="0"/>
      <w:marBottom w:val="0"/>
      <w:divBdr>
        <w:top w:val="none" w:sz="0" w:space="0" w:color="auto"/>
        <w:left w:val="none" w:sz="0" w:space="0" w:color="auto"/>
        <w:bottom w:val="none" w:sz="0" w:space="0" w:color="auto"/>
        <w:right w:val="none" w:sz="0" w:space="0" w:color="auto"/>
      </w:divBdr>
    </w:div>
    <w:div w:id="1776636449">
      <w:bodyDiv w:val="1"/>
      <w:marLeft w:val="0"/>
      <w:marRight w:val="0"/>
      <w:marTop w:val="0"/>
      <w:marBottom w:val="0"/>
      <w:divBdr>
        <w:top w:val="none" w:sz="0" w:space="0" w:color="auto"/>
        <w:left w:val="none" w:sz="0" w:space="0" w:color="auto"/>
        <w:bottom w:val="none" w:sz="0" w:space="0" w:color="auto"/>
        <w:right w:val="none" w:sz="0" w:space="0" w:color="auto"/>
      </w:divBdr>
    </w:div>
    <w:div w:id="1777018715">
      <w:bodyDiv w:val="1"/>
      <w:marLeft w:val="0"/>
      <w:marRight w:val="0"/>
      <w:marTop w:val="0"/>
      <w:marBottom w:val="0"/>
      <w:divBdr>
        <w:top w:val="none" w:sz="0" w:space="0" w:color="auto"/>
        <w:left w:val="none" w:sz="0" w:space="0" w:color="auto"/>
        <w:bottom w:val="none" w:sz="0" w:space="0" w:color="auto"/>
        <w:right w:val="none" w:sz="0" w:space="0" w:color="auto"/>
      </w:divBdr>
    </w:div>
    <w:div w:id="1781030239">
      <w:bodyDiv w:val="1"/>
      <w:marLeft w:val="0"/>
      <w:marRight w:val="0"/>
      <w:marTop w:val="0"/>
      <w:marBottom w:val="0"/>
      <w:divBdr>
        <w:top w:val="none" w:sz="0" w:space="0" w:color="auto"/>
        <w:left w:val="none" w:sz="0" w:space="0" w:color="auto"/>
        <w:bottom w:val="none" w:sz="0" w:space="0" w:color="auto"/>
        <w:right w:val="none" w:sz="0" w:space="0" w:color="auto"/>
      </w:divBdr>
    </w:div>
    <w:div w:id="1781685230">
      <w:bodyDiv w:val="1"/>
      <w:marLeft w:val="0"/>
      <w:marRight w:val="0"/>
      <w:marTop w:val="0"/>
      <w:marBottom w:val="0"/>
      <w:divBdr>
        <w:top w:val="none" w:sz="0" w:space="0" w:color="auto"/>
        <w:left w:val="none" w:sz="0" w:space="0" w:color="auto"/>
        <w:bottom w:val="none" w:sz="0" w:space="0" w:color="auto"/>
        <w:right w:val="none" w:sz="0" w:space="0" w:color="auto"/>
      </w:divBdr>
    </w:div>
    <w:div w:id="1782718998">
      <w:bodyDiv w:val="1"/>
      <w:marLeft w:val="0"/>
      <w:marRight w:val="0"/>
      <w:marTop w:val="0"/>
      <w:marBottom w:val="0"/>
      <w:divBdr>
        <w:top w:val="none" w:sz="0" w:space="0" w:color="auto"/>
        <w:left w:val="none" w:sz="0" w:space="0" w:color="auto"/>
        <w:bottom w:val="none" w:sz="0" w:space="0" w:color="auto"/>
        <w:right w:val="none" w:sz="0" w:space="0" w:color="auto"/>
      </w:divBdr>
    </w:div>
    <w:div w:id="1783065218">
      <w:bodyDiv w:val="1"/>
      <w:marLeft w:val="0"/>
      <w:marRight w:val="0"/>
      <w:marTop w:val="0"/>
      <w:marBottom w:val="0"/>
      <w:divBdr>
        <w:top w:val="none" w:sz="0" w:space="0" w:color="auto"/>
        <w:left w:val="none" w:sz="0" w:space="0" w:color="auto"/>
        <w:bottom w:val="none" w:sz="0" w:space="0" w:color="auto"/>
        <w:right w:val="none" w:sz="0" w:space="0" w:color="auto"/>
      </w:divBdr>
    </w:div>
    <w:div w:id="1783106377">
      <w:bodyDiv w:val="1"/>
      <w:marLeft w:val="0"/>
      <w:marRight w:val="0"/>
      <w:marTop w:val="0"/>
      <w:marBottom w:val="0"/>
      <w:divBdr>
        <w:top w:val="none" w:sz="0" w:space="0" w:color="auto"/>
        <w:left w:val="none" w:sz="0" w:space="0" w:color="auto"/>
        <w:bottom w:val="none" w:sz="0" w:space="0" w:color="auto"/>
        <w:right w:val="none" w:sz="0" w:space="0" w:color="auto"/>
      </w:divBdr>
    </w:div>
    <w:div w:id="1783526296">
      <w:bodyDiv w:val="1"/>
      <w:marLeft w:val="0"/>
      <w:marRight w:val="0"/>
      <w:marTop w:val="0"/>
      <w:marBottom w:val="0"/>
      <w:divBdr>
        <w:top w:val="none" w:sz="0" w:space="0" w:color="auto"/>
        <w:left w:val="none" w:sz="0" w:space="0" w:color="auto"/>
        <w:bottom w:val="none" w:sz="0" w:space="0" w:color="auto"/>
        <w:right w:val="none" w:sz="0" w:space="0" w:color="auto"/>
      </w:divBdr>
    </w:div>
    <w:div w:id="17837196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004047">
      <w:bodyDiv w:val="1"/>
      <w:marLeft w:val="0"/>
      <w:marRight w:val="0"/>
      <w:marTop w:val="0"/>
      <w:marBottom w:val="0"/>
      <w:divBdr>
        <w:top w:val="none" w:sz="0" w:space="0" w:color="auto"/>
        <w:left w:val="none" w:sz="0" w:space="0" w:color="auto"/>
        <w:bottom w:val="none" w:sz="0" w:space="0" w:color="auto"/>
        <w:right w:val="none" w:sz="0" w:space="0" w:color="auto"/>
      </w:divBdr>
    </w:div>
    <w:div w:id="1789354166">
      <w:bodyDiv w:val="1"/>
      <w:marLeft w:val="0"/>
      <w:marRight w:val="0"/>
      <w:marTop w:val="0"/>
      <w:marBottom w:val="0"/>
      <w:divBdr>
        <w:top w:val="none" w:sz="0" w:space="0" w:color="auto"/>
        <w:left w:val="none" w:sz="0" w:space="0" w:color="auto"/>
        <w:bottom w:val="none" w:sz="0" w:space="0" w:color="auto"/>
        <w:right w:val="none" w:sz="0" w:space="0" w:color="auto"/>
      </w:divBdr>
    </w:div>
    <w:div w:id="1793162847">
      <w:bodyDiv w:val="1"/>
      <w:marLeft w:val="0"/>
      <w:marRight w:val="0"/>
      <w:marTop w:val="0"/>
      <w:marBottom w:val="0"/>
      <w:divBdr>
        <w:top w:val="none" w:sz="0" w:space="0" w:color="auto"/>
        <w:left w:val="none" w:sz="0" w:space="0" w:color="auto"/>
        <w:bottom w:val="none" w:sz="0" w:space="0" w:color="auto"/>
        <w:right w:val="none" w:sz="0" w:space="0" w:color="auto"/>
      </w:divBdr>
    </w:div>
    <w:div w:id="1793860372">
      <w:bodyDiv w:val="1"/>
      <w:marLeft w:val="0"/>
      <w:marRight w:val="0"/>
      <w:marTop w:val="0"/>
      <w:marBottom w:val="0"/>
      <w:divBdr>
        <w:top w:val="none" w:sz="0" w:space="0" w:color="auto"/>
        <w:left w:val="none" w:sz="0" w:space="0" w:color="auto"/>
        <w:bottom w:val="none" w:sz="0" w:space="0" w:color="auto"/>
        <w:right w:val="none" w:sz="0" w:space="0" w:color="auto"/>
      </w:divBdr>
    </w:div>
    <w:div w:id="1796289180">
      <w:bodyDiv w:val="1"/>
      <w:marLeft w:val="0"/>
      <w:marRight w:val="0"/>
      <w:marTop w:val="0"/>
      <w:marBottom w:val="0"/>
      <w:divBdr>
        <w:top w:val="none" w:sz="0" w:space="0" w:color="auto"/>
        <w:left w:val="none" w:sz="0" w:space="0" w:color="auto"/>
        <w:bottom w:val="none" w:sz="0" w:space="0" w:color="auto"/>
        <w:right w:val="none" w:sz="0" w:space="0" w:color="auto"/>
      </w:divBdr>
    </w:div>
    <w:div w:id="1796947232">
      <w:bodyDiv w:val="1"/>
      <w:marLeft w:val="0"/>
      <w:marRight w:val="0"/>
      <w:marTop w:val="0"/>
      <w:marBottom w:val="0"/>
      <w:divBdr>
        <w:top w:val="none" w:sz="0" w:space="0" w:color="auto"/>
        <w:left w:val="none" w:sz="0" w:space="0" w:color="auto"/>
        <w:bottom w:val="none" w:sz="0" w:space="0" w:color="auto"/>
        <w:right w:val="none" w:sz="0" w:space="0" w:color="auto"/>
      </w:divBdr>
    </w:div>
    <w:div w:id="1797335085">
      <w:bodyDiv w:val="1"/>
      <w:marLeft w:val="0"/>
      <w:marRight w:val="0"/>
      <w:marTop w:val="0"/>
      <w:marBottom w:val="0"/>
      <w:divBdr>
        <w:top w:val="none" w:sz="0" w:space="0" w:color="auto"/>
        <w:left w:val="none" w:sz="0" w:space="0" w:color="auto"/>
        <w:bottom w:val="none" w:sz="0" w:space="0" w:color="auto"/>
        <w:right w:val="none" w:sz="0" w:space="0" w:color="auto"/>
      </w:divBdr>
    </w:div>
    <w:div w:id="1802379602">
      <w:bodyDiv w:val="1"/>
      <w:marLeft w:val="0"/>
      <w:marRight w:val="0"/>
      <w:marTop w:val="0"/>
      <w:marBottom w:val="0"/>
      <w:divBdr>
        <w:top w:val="none" w:sz="0" w:space="0" w:color="auto"/>
        <w:left w:val="none" w:sz="0" w:space="0" w:color="auto"/>
        <w:bottom w:val="none" w:sz="0" w:space="0" w:color="auto"/>
        <w:right w:val="none" w:sz="0" w:space="0" w:color="auto"/>
      </w:divBdr>
    </w:div>
    <w:div w:id="1810172661">
      <w:bodyDiv w:val="1"/>
      <w:marLeft w:val="0"/>
      <w:marRight w:val="0"/>
      <w:marTop w:val="0"/>
      <w:marBottom w:val="0"/>
      <w:divBdr>
        <w:top w:val="none" w:sz="0" w:space="0" w:color="auto"/>
        <w:left w:val="none" w:sz="0" w:space="0" w:color="auto"/>
        <w:bottom w:val="none" w:sz="0" w:space="0" w:color="auto"/>
        <w:right w:val="none" w:sz="0" w:space="0" w:color="auto"/>
      </w:divBdr>
    </w:div>
    <w:div w:id="1810778864">
      <w:bodyDiv w:val="1"/>
      <w:marLeft w:val="0"/>
      <w:marRight w:val="0"/>
      <w:marTop w:val="0"/>
      <w:marBottom w:val="0"/>
      <w:divBdr>
        <w:top w:val="none" w:sz="0" w:space="0" w:color="auto"/>
        <w:left w:val="none" w:sz="0" w:space="0" w:color="auto"/>
        <w:bottom w:val="none" w:sz="0" w:space="0" w:color="auto"/>
        <w:right w:val="none" w:sz="0" w:space="0" w:color="auto"/>
      </w:divBdr>
    </w:div>
    <w:div w:id="1812281842">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7795251">
      <w:bodyDiv w:val="1"/>
      <w:marLeft w:val="0"/>
      <w:marRight w:val="0"/>
      <w:marTop w:val="0"/>
      <w:marBottom w:val="0"/>
      <w:divBdr>
        <w:top w:val="none" w:sz="0" w:space="0" w:color="auto"/>
        <w:left w:val="none" w:sz="0" w:space="0" w:color="auto"/>
        <w:bottom w:val="none" w:sz="0" w:space="0" w:color="auto"/>
        <w:right w:val="none" w:sz="0" w:space="0" w:color="auto"/>
      </w:divBdr>
    </w:div>
    <w:div w:id="1818381562">
      <w:bodyDiv w:val="1"/>
      <w:marLeft w:val="0"/>
      <w:marRight w:val="0"/>
      <w:marTop w:val="0"/>
      <w:marBottom w:val="0"/>
      <w:divBdr>
        <w:top w:val="none" w:sz="0" w:space="0" w:color="auto"/>
        <w:left w:val="none" w:sz="0" w:space="0" w:color="auto"/>
        <w:bottom w:val="none" w:sz="0" w:space="0" w:color="auto"/>
        <w:right w:val="none" w:sz="0" w:space="0" w:color="auto"/>
      </w:divBdr>
    </w:div>
    <w:div w:id="1821145394">
      <w:bodyDiv w:val="1"/>
      <w:marLeft w:val="0"/>
      <w:marRight w:val="0"/>
      <w:marTop w:val="0"/>
      <w:marBottom w:val="0"/>
      <w:divBdr>
        <w:top w:val="none" w:sz="0" w:space="0" w:color="auto"/>
        <w:left w:val="none" w:sz="0" w:space="0" w:color="auto"/>
        <w:bottom w:val="none" w:sz="0" w:space="0" w:color="auto"/>
        <w:right w:val="none" w:sz="0" w:space="0" w:color="auto"/>
      </w:divBdr>
    </w:div>
    <w:div w:id="1821312964">
      <w:bodyDiv w:val="1"/>
      <w:marLeft w:val="0"/>
      <w:marRight w:val="0"/>
      <w:marTop w:val="0"/>
      <w:marBottom w:val="0"/>
      <w:divBdr>
        <w:top w:val="none" w:sz="0" w:space="0" w:color="auto"/>
        <w:left w:val="none" w:sz="0" w:space="0" w:color="auto"/>
        <w:bottom w:val="none" w:sz="0" w:space="0" w:color="auto"/>
        <w:right w:val="none" w:sz="0" w:space="0" w:color="auto"/>
      </w:divBdr>
    </w:div>
    <w:div w:id="1823618648">
      <w:bodyDiv w:val="1"/>
      <w:marLeft w:val="0"/>
      <w:marRight w:val="0"/>
      <w:marTop w:val="0"/>
      <w:marBottom w:val="0"/>
      <w:divBdr>
        <w:top w:val="none" w:sz="0" w:space="0" w:color="auto"/>
        <w:left w:val="none" w:sz="0" w:space="0" w:color="auto"/>
        <w:bottom w:val="none" w:sz="0" w:space="0" w:color="auto"/>
        <w:right w:val="none" w:sz="0" w:space="0" w:color="auto"/>
      </w:divBdr>
    </w:div>
    <w:div w:id="1825319244">
      <w:bodyDiv w:val="1"/>
      <w:marLeft w:val="0"/>
      <w:marRight w:val="0"/>
      <w:marTop w:val="0"/>
      <w:marBottom w:val="0"/>
      <w:divBdr>
        <w:top w:val="none" w:sz="0" w:space="0" w:color="auto"/>
        <w:left w:val="none" w:sz="0" w:space="0" w:color="auto"/>
        <w:bottom w:val="none" w:sz="0" w:space="0" w:color="auto"/>
        <w:right w:val="none" w:sz="0" w:space="0" w:color="auto"/>
      </w:divBdr>
    </w:div>
    <w:div w:id="1825506973">
      <w:bodyDiv w:val="1"/>
      <w:marLeft w:val="0"/>
      <w:marRight w:val="0"/>
      <w:marTop w:val="0"/>
      <w:marBottom w:val="0"/>
      <w:divBdr>
        <w:top w:val="none" w:sz="0" w:space="0" w:color="auto"/>
        <w:left w:val="none" w:sz="0" w:space="0" w:color="auto"/>
        <w:bottom w:val="none" w:sz="0" w:space="0" w:color="auto"/>
        <w:right w:val="none" w:sz="0" w:space="0" w:color="auto"/>
      </w:divBdr>
    </w:div>
    <w:div w:id="1826044383">
      <w:bodyDiv w:val="1"/>
      <w:marLeft w:val="0"/>
      <w:marRight w:val="0"/>
      <w:marTop w:val="0"/>
      <w:marBottom w:val="0"/>
      <w:divBdr>
        <w:top w:val="none" w:sz="0" w:space="0" w:color="auto"/>
        <w:left w:val="none" w:sz="0" w:space="0" w:color="auto"/>
        <w:bottom w:val="none" w:sz="0" w:space="0" w:color="auto"/>
        <w:right w:val="none" w:sz="0" w:space="0" w:color="auto"/>
      </w:divBdr>
    </w:div>
    <w:div w:id="1829899268">
      <w:bodyDiv w:val="1"/>
      <w:marLeft w:val="0"/>
      <w:marRight w:val="0"/>
      <w:marTop w:val="0"/>
      <w:marBottom w:val="0"/>
      <w:divBdr>
        <w:top w:val="none" w:sz="0" w:space="0" w:color="auto"/>
        <w:left w:val="none" w:sz="0" w:space="0" w:color="auto"/>
        <w:bottom w:val="none" w:sz="0" w:space="0" w:color="auto"/>
        <w:right w:val="none" w:sz="0" w:space="0" w:color="auto"/>
      </w:divBdr>
    </w:div>
    <w:div w:id="1832912143">
      <w:bodyDiv w:val="1"/>
      <w:marLeft w:val="0"/>
      <w:marRight w:val="0"/>
      <w:marTop w:val="0"/>
      <w:marBottom w:val="0"/>
      <w:divBdr>
        <w:top w:val="none" w:sz="0" w:space="0" w:color="auto"/>
        <w:left w:val="none" w:sz="0" w:space="0" w:color="auto"/>
        <w:bottom w:val="none" w:sz="0" w:space="0" w:color="auto"/>
        <w:right w:val="none" w:sz="0" w:space="0" w:color="auto"/>
      </w:divBdr>
    </w:div>
    <w:div w:id="1833984089">
      <w:bodyDiv w:val="1"/>
      <w:marLeft w:val="0"/>
      <w:marRight w:val="0"/>
      <w:marTop w:val="0"/>
      <w:marBottom w:val="0"/>
      <w:divBdr>
        <w:top w:val="none" w:sz="0" w:space="0" w:color="auto"/>
        <w:left w:val="none" w:sz="0" w:space="0" w:color="auto"/>
        <w:bottom w:val="none" w:sz="0" w:space="0" w:color="auto"/>
        <w:right w:val="none" w:sz="0" w:space="0" w:color="auto"/>
      </w:divBdr>
    </w:div>
    <w:div w:id="183475664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692448">
      <w:bodyDiv w:val="1"/>
      <w:marLeft w:val="0"/>
      <w:marRight w:val="0"/>
      <w:marTop w:val="0"/>
      <w:marBottom w:val="0"/>
      <w:divBdr>
        <w:top w:val="none" w:sz="0" w:space="0" w:color="auto"/>
        <w:left w:val="none" w:sz="0" w:space="0" w:color="auto"/>
        <w:bottom w:val="none" w:sz="0" w:space="0" w:color="auto"/>
        <w:right w:val="none" w:sz="0" w:space="0" w:color="auto"/>
      </w:divBdr>
    </w:div>
    <w:div w:id="1840583516">
      <w:bodyDiv w:val="1"/>
      <w:marLeft w:val="0"/>
      <w:marRight w:val="0"/>
      <w:marTop w:val="0"/>
      <w:marBottom w:val="0"/>
      <w:divBdr>
        <w:top w:val="none" w:sz="0" w:space="0" w:color="auto"/>
        <w:left w:val="none" w:sz="0" w:space="0" w:color="auto"/>
        <w:bottom w:val="none" w:sz="0" w:space="0" w:color="auto"/>
        <w:right w:val="none" w:sz="0" w:space="0" w:color="auto"/>
      </w:divBdr>
    </w:div>
    <w:div w:id="1842163204">
      <w:bodyDiv w:val="1"/>
      <w:marLeft w:val="0"/>
      <w:marRight w:val="0"/>
      <w:marTop w:val="0"/>
      <w:marBottom w:val="0"/>
      <w:divBdr>
        <w:top w:val="none" w:sz="0" w:space="0" w:color="auto"/>
        <w:left w:val="none" w:sz="0" w:space="0" w:color="auto"/>
        <w:bottom w:val="none" w:sz="0" w:space="0" w:color="auto"/>
        <w:right w:val="none" w:sz="0" w:space="0" w:color="auto"/>
      </w:divBdr>
    </w:div>
    <w:div w:id="1845045472">
      <w:bodyDiv w:val="1"/>
      <w:marLeft w:val="0"/>
      <w:marRight w:val="0"/>
      <w:marTop w:val="0"/>
      <w:marBottom w:val="0"/>
      <w:divBdr>
        <w:top w:val="none" w:sz="0" w:space="0" w:color="auto"/>
        <w:left w:val="none" w:sz="0" w:space="0" w:color="auto"/>
        <w:bottom w:val="none" w:sz="0" w:space="0" w:color="auto"/>
        <w:right w:val="none" w:sz="0" w:space="0" w:color="auto"/>
      </w:divBdr>
    </w:div>
    <w:div w:id="1846284940">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5036683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227516">
      <w:bodyDiv w:val="1"/>
      <w:marLeft w:val="0"/>
      <w:marRight w:val="0"/>
      <w:marTop w:val="0"/>
      <w:marBottom w:val="0"/>
      <w:divBdr>
        <w:top w:val="none" w:sz="0" w:space="0" w:color="auto"/>
        <w:left w:val="none" w:sz="0" w:space="0" w:color="auto"/>
        <w:bottom w:val="none" w:sz="0" w:space="0" w:color="auto"/>
        <w:right w:val="none" w:sz="0" w:space="0" w:color="auto"/>
      </w:divBdr>
    </w:div>
    <w:div w:id="1854294332">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56531396">
      <w:bodyDiv w:val="1"/>
      <w:marLeft w:val="0"/>
      <w:marRight w:val="0"/>
      <w:marTop w:val="0"/>
      <w:marBottom w:val="0"/>
      <w:divBdr>
        <w:top w:val="none" w:sz="0" w:space="0" w:color="auto"/>
        <w:left w:val="none" w:sz="0" w:space="0" w:color="auto"/>
        <w:bottom w:val="none" w:sz="0" w:space="0" w:color="auto"/>
        <w:right w:val="none" w:sz="0" w:space="0" w:color="auto"/>
      </w:divBdr>
    </w:div>
    <w:div w:id="1859587798">
      <w:bodyDiv w:val="1"/>
      <w:marLeft w:val="0"/>
      <w:marRight w:val="0"/>
      <w:marTop w:val="0"/>
      <w:marBottom w:val="0"/>
      <w:divBdr>
        <w:top w:val="none" w:sz="0" w:space="0" w:color="auto"/>
        <w:left w:val="none" w:sz="0" w:space="0" w:color="auto"/>
        <w:bottom w:val="none" w:sz="0" w:space="0" w:color="auto"/>
        <w:right w:val="none" w:sz="0" w:space="0" w:color="auto"/>
      </w:divBdr>
    </w:div>
    <w:div w:id="1860653438">
      <w:bodyDiv w:val="1"/>
      <w:marLeft w:val="0"/>
      <w:marRight w:val="0"/>
      <w:marTop w:val="0"/>
      <w:marBottom w:val="0"/>
      <w:divBdr>
        <w:top w:val="none" w:sz="0" w:space="0" w:color="auto"/>
        <w:left w:val="none" w:sz="0" w:space="0" w:color="auto"/>
        <w:bottom w:val="none" w:sz="0" w:space="0" w:color="auto"/>
        <w:right w:val="none" w:sz="0" w:space="0" w:color="auto"/>
      </w:divBdr>
    </w:div>
    <w:div w:id="1861047490">
      <w:bodyDiv w:val="1"/>
      <w:marLeft w:val="0"/>
      <w:marRight w:val="0"/>
      <w:marTop w:val="0"/>
      <w:marBottom w:val="0"/>
      <w:divBdr>
        <w:top w:val="none" w:sz="0" w:space="0" w:color="auto"/>
        <w:left w:val="none" w:sz="0" w:space="0" w:color="auto"/>
        <w:bottom w:val="none" w:sz="0" w:space="0" w:color="auto"/>
        <w:right w:val="none" w:sz="0" w:space="0" w:color="auto"/>
      </w:divBdr>
    </w:div>
    <w:div w:id="1862429818">
      <w:bodyDiv w:val="1"/>
      <w:marLeft w:val="0"/>
      <w:marRight w:val="0"/>
      <w:marTop w:val="0"/>
      <w:marBottom w:val="0"/>
      <w:divBdr>
        <w:top w:val="none" w:sz="0" w:space="0" w:color="auto"/>
        <w:left w:val="none" w:sz="0" w:space="0" w:color="auto"/>
        <w:bottom w:val="none" w:sz="0" w:space="0" w:color="auto"/>
        <w:right w:val="none" w:sz="0" w:space="0" w:color="auto"/>
      </w:divBdr>
    </w:div>
    <w:div w:id="1862933934">
      <w:bodyDiv w:val="1"/>
      <w:marLeft w:val="0"/>
      <w:marRight w:val="0"/>
      <w:marTop w:val="0"/>
      <w:marBottom w:val="0"/>
      <w:divBdr>
        <w:top w:val="none" w:sz="0" w:space="0" w:color="auto"/>
        <w:left w:val="none" w:sz="0" w:space="0" w:color="auto"/>
        <w:bottom w:val="none" w:sz="0" w:space="0" w:color="auto"/>
        <w:right w:val="none" w:sz="0" w:space="0" w:color="auto"/>
      </w:divBdr>
    </w:div>
    <w:div w:id="1870561204">
      <w:bodyDiv w:val="1"/>
      <w:marLeft w:val="0"/>
      <w:marRight w:val="0"/>
      <w:marTop w:val="0"/>
      <w:marBottom w:val="0"/>
      <w:divBdr>
        <w:top w:val="none" w:sz="0" w:space="0" w:color="auto"/>
        <w:left w:val="none" w:sz="0" w:space="0" w:color="auto"/>
        <w:bottom w:val="none" w:sz="0" w:space="0" w:color="auto"/>
        <w:right w:val="none" w:sz="0" w:space="0" w:color="auto"/>
      </w:divBdr>
    </w:div>
    <w:div w:id="187199336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92202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6192388">
      <w:bodyDiv w:val="1"/>
      <w:marLeft w:val="0"/>
      <w:marRight w:val="0"/>
      <w:marTop w:val="0"/>
      <w:marBottom w:val="0"/>
      <w:divBdr>
        <w:top w:val="none" w:sz="0" w:space="0" w:color="auto"/>
        <w:left w:val="none" w:sz="0" w:space="0" w:color="auto"/>
        <w:bottom w:val="none" w:sz="0" w:space="0" w:color="auto"/>
        <w:right w:val="none" w:sz="0" w:space="0" w:color="auto"/>
      </w:divBdr>
    </w:div>
    <w:div w:id="1876386782">
      <w:bodyDiv w:val="1"/>
      <w:marLeft w:val="0"/>
      <w:marRight w:val="0"/>
      <w:marTop w:val="0"/>
      <w:marBottom w:val="0"/>
      <w:divBdr>
        <w:top w:val="none" w:sz="0" w:space="0" w:color="auto"/>
        <w:left w:val="none" w:sz="0" w:space="0" w:color="auto"/>
        <w:bottom w:val="none" w:sz="0" w:space="0" w:color="auto"/>
        <w:right w:val="none" w:sz="0" w:space="0" w:color="auto"/>
      </w:divBdr>
    </w:div>
    <w:div w:id="1878663099">
      <w:bodyDiv w:val="1"/>
      <w:marLeft w:val="0"/>
      <w:marRight w:val="0"/>
      <w:marTop w:val="0"/>
      <w:marBottom w:val="0"/>
      <w:divBdr>
        <w:top w:val="none" w:sz="0" w:space="0" w:color="auto"/>
        <w:left w:val="none" w:sz="0" w:space="0" w:color="auto"/>
        <w:bottom w:val="none" w:sz="0" w:space="0" w:color="auto"/>
        <w:right w:val="none" w:sz="0" w:space="0" w:color="auto"/>
      </w:divBdr>
    </w:div>
    <w:div w:id="187973310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099748">
      <w:bodyDiv w:val="1"/>
      <w:marLeft w:val="0"/>
      <w:marRight w:val="0"/>
      <w:marTop w:val="0"/>
      <w:marBottom w:val="0"/>
      <w:divBdr>
        <w:top w:val="none" w:sz="0" w:space="0" w:color="auto"/>
        <w:left w:val="none" w:sz="0" w:space="0" w:color="auto"/>
        <w:bottom w:val="none" w:sz="0" w:space="0" w:color="auto"/>
        <w:right w:val="none" w:sz="0" w:space="0" w:color="auto"/>
      </w:divBdr>
    </w:div>
    <w:div w:id="1885603677">
      <w:bodyDiv w:val="1"/>
      <w:marLeft w:val="0"/>
      <w:marRight w:val="0"/>
      <w:marTop w:val="0"/>
      <w:marBottom w:val="0"/>
      <w:divBdr>
        <w:top w:val="none" w:sz="0" w:space="0" w:color="auto"/>
        <w:left w:val="none" w:sz="0" w:space="0" w:color="auto"/>
        <w:bottom w:val="none" w:sz="0" w:space="0" w:color="auto"/>
        <w:right w:val="none" w:sz="0" w:space="0" w:color="auto"/>
      </w:divBdr>
    </w:div>
    <w:div w:id="1886216615">
      <w:bodyDiv w:val="1"/>
      <w:marLeft w:val="0"/>
      <w:marRight w:val="0"/>
      <w:marTop w:val="0"/>
      <w:marBottom w:val="0"/>
      <w:divBdr>
        <w:top w:val="none" w:sz="0" w:space="0" w:color="auto"/>
        <w:left w:val="none" w:sz="0" w:space="0" w:color="auto"/>
        <w:bottom w:val="none" w:sz="0" w:space="0" w:color="auto"/>
        <w:right w:val="none" w:sz="0" w:space="0" w:color="auto"/>
      </w:divBdr>
    </w:div>
    <w:div w:id="188672060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890218333">
      <w:bodyDiv w:val="1"/>
      <w:marLeft w:val="0"/>
      <w:marRight w:val="0"/>
      <w:marTop w:val="0"/>
      <w:marBottom w:val="0"/>
      <w:divBdr>
        <w:top w:val="none" w:sz="0" w:space="0" w:color="auto"/>
        <w:left w:val="none" w:sz="0" w:space="0" w:color="auto"/>
        <w:bottom w:val="none" w:sz="0" w:space="0" w:color="auto"/>
        <w:right w:val="none" w:sz="0" w:space="0" w:color="auto"/>
      </w:divBdr>
    </w:div>
    <w:div w:id="1890260226">
      <w:bodyDiv w:val="1"/>
      <w:marLeft w:val="0"/>
      <w:marRight w:val="0"/>
      <w:marTop w:val="0"/>
      <w:marBottom w:val="0"/>
      <w:divBdr>
        <w:top w:val="none" w:sz="0" w:space="0" w:color="auto"/>
        <w:left w:val="none" w:sz="0" w:space="0" w:color="auto"/>
        <w:bottom w:val="none" w:sz="0" w:space="0" w:color="auto"/>
        <w:right w:val="none" w:sz="0" w:space="0" w:color="auto"/>
      </w:divBdr>
    </w:div>
    <w:div w:id="1891726134">
      <w:bodyDiv w:val="1"/>
      <w:marLeft w:val="0"/>
      <w:marRight w:val="0"/>
      <w:marTop w:val="0"/>
      <w:marBottom w:val="0"/>
      <w:divBdr>
        <w:top w:val="none" w:sz="0" w:space="0" w:color="auto"/>
        <w:left w:val="none" w:sz="0" w:space="0" w:color="auto"/>
        <w:bottom w:val="none" w:sz="0" w:space="0" w:color="auto"/>
        <w:right w:val="none" w:sz="0" w:space="0" w:color="auto"/>
      </w:divBdr>
    </w:div>
    <w:div w:id="1892577073">
      <w:bodyDiv w:val="1"/>
      <w:marLeft w:val="0"/>
      <w:marRight w:val="0"/>
      <w:marTop w:val="0"/>
      <w:marBottom w:val="0"/>
      <w:divBdr>
        <w:top w:val="none" w:sz="0" w:space="0" w:color="auto"/>
        <w:left w:val="none" w:sz="0" w:space="0" w:color="auto"/>
        <w:bottom w:val="none" w:sz="0" w:space="0" w:color="auto"/>
        <w:right w:val="none" w:sz="0" w:space="0" w:color="auto"/>
      </w:divBdr>
    </w:div>
    <w:div w:id="1898122884">
      <w:bodyDiv w:val="1"/>
      <w:marLeft w:val="0"/>
      <w:marRight w:val="0"/>
      <w:marTop w:val="0"/>
      <w:marBottom w:val="0"/>
      <w:divBdr>
        <w:top w:val="none" w:sz="0" w:space="0" w:color="auto"/>
        <w:left w:val="none" w:sz="0" w:space="0" w:color="auto"/>
        <w:bottom w:val="none" w:sz="0" w:space="0" w:color="auto"/>
        <w:right w:val="none" w:sz="0" w:space="0" w:color="auto"/>
      </w:divBdr>
    </w:div>
    <w:div w:id="1898659034">
      <w:bodyDiv w:val="1"/>
      <w:marLeft w:val="0"/>
      <w:marRight w:val="0"/>
      <w:marTop w:val="0"/>
      <w:marBottom w:val="0"/>
      <w:divBdr>
        <w:top w:val="none" w:sz="0" w:space="0" w:color="auto"/>
        <w:left w:val="none" w:sz="0" w:space="0" w:color="auto"/>
        <w:bottom w:val="none" w:sz="0" w:space="0" w:color="auto"/>
        <w:right w:val="none" w:sz="0" w:space="0" w:color="auto"/>
      </w:divBdr>
    </w:div>
    <w:div w:id="1898665571">
      <w:bodyDiv w:val="1"/>
      <w:marLeft w:val="0"/>
      <w:marRight w:val="0"/>
      <w:marTop w:val="0"/>
      <w:marBottom w:val="0"/>
      <w:divBdr>
        <w:top w:val="none" w:sz="0" w:space="0" w:color="auto"/>
        <w:left w:val="none" w:sz="0" w:space="0" w:color="auto"/>
        <w:bottom w:val="none" w:sz="0" w:space="0" w:color="auto"/>
        <w:right w:val="none" w:sz="0" w:space="0" w:color="auto"/>
      </w:divBdr>
    </w:div>
    <w:div w:id="1898734808">
      <w:bodyDiv w:val="1"/>
      <w:marLeft w:val="0"/>
      <w:marRight w:val="0"/>
      <w:marTop w:val="0"/>
      <w:marBottom w:val="0"/>
      <w:divBdr>
        <w:top w:val="none" w:sz="0" w:space="0" w:color="auto"/>
        <w:left w:val="none" w:sz="0" w:space="0" w:color="auto"/>
        <w:bottom w:val="none" w:sz="0" w:space="0" w:color="auto"/>
        <w:right w:val="none" w:sz="0" w:space="0" w:color="auto"/>
      </w:divBdr>
    </w:div>
    <w:div w:id="1900314066">
      <w:bodyDiv w:val="1"/>
      <w:marLeft w:val="0"/>
      <w:marRight w:val="0"/>
      <w:marTop w:val="0"/>
      <w:marBottom w:val="0"/>
      <w:divBdr>
        <w:top w:val="none" w:sz="0" w:space="0" w:color="auto"/>
        <w:left w:val="none" w:sz="0" w:space="0" w:color="auto"/>
        <w:bottom w:val="none" w:sz="0" w:space="0" w:color="auto"/>
        <w:right w:val="none" w:sz="0" w:space="0" w:color="auto"/>
      </w:divBdr>
    </w:div>
    <w:div w:id="1902398352">
      <w:bodyDiv w:val="1"/>
      <w:marLeft w:val="0"/>
      <w:marRight w:val="0"/>
      <w:marTop w:val="0"/>
      <w:marBottom w:val="0"/>
      <w:divBdr>
        <w:top w:val="none" w:sz="0" w:space="0" w:color="auto"/>
        <w:left w:val="none" w:sz="0" w:space="0" w:color="auto"/>
        <w:bottom w:val="none" w:sz="0" w:space="0" w:color="auto"/>
        <w:right w:val="none" w:sz="0" w:space="0" w:color="auto"/>
      </w:divBdr>
    </w:div>
    <w:div w:id="1902475049">
      <w:bodyDiv w:val="1"/>
      <w:marLeft w:val="0"/>
      <w:marRight w:val="0"/>
      <w:marTop w:val="0"/>
      <w:marBottom w:val="0"/>
      <w:divBdr>
        <w:top w:val="none" w:sz="0" w:space="0" w:color="auto"/>
        <w:left w:val="none" w:sz="0" w:space="0" w:color="auto"/>
        <w:bottom w:val="none" w:sz="0" w:space="0" w:color="auto"/>
        <w:right w:val="none" w:sz="0" w:space="0" w:color="auto"/>
      </w:divBdr>
    </w:div>
    <w:div w:id="1904681134">
      <w:bodyDiv w:val="1"/>
      <w:marLeft w:val="0"/>
      <w:marRight w:val="0"/>
      <w:marTop w:val="0"/>
      <w:marBottom w:val="0"/>
      <w:divBdr>
        <w:top w:val="none" w:sz="0" w:space="0" w:color="auto"/>
        <w:left w:val="none" w:sz="0" w:space="0" w:color="auto"/>
        <w:bottom w:val="none" w:sz="0" w:space="0" w:color="auto"/>
        <w:right w:val="none" w:sz="0" w:space="0" w:color="auto"/>
      </w:divBdr>
    </w:div>
    <w:div w:id="1910992284">
      <w:bodyDiv w:val="1"/>
      <w:marLeft w:val="0"/>
      <w:marRight w:val="0"/>
      <w:marTop w:val="0"/>
      <w:marBottom w:val="0"/>
      <w:divBdr>
        <w:top w:val="none" w:sz="0" w:space="0" w:color="auto"/>
        <w:left w:val="none" w:sz="0" w:space="0" w:color="auto"/>
        <w:bottom w:val="none" w:sz="0" w:space="0" w:color="auto"/>
        <w:right w:val="none" w:sz="0" w:space="0" w:color="auto"/>
      </w:divBdr>
    </w:div>
    <w:div w:id="1913545875">
      <w:bodyDiv w:val="1"/>
      <w:marLeft w:val="0"/>
      <w:marRight w:val="0"/>
      <w:marTop w:val="0"/>
      <w:marBottom w:val="0"/>
      <w:divBdr>
        <w:top w:val="none" w:sz="0" w:space="0" w:color="auto"/>
        <w:left w:val="none" w:sz="0" w:space="0" w:color="auto"/>
        <w:bottom w:val="none" w:sz="0" w:space="0" w:color="auto"/>
        <w:right w:val="none" w:sz="0" w:space="0" w:color="auto"/>
      </w:divBdr>
    </w:div>
    <w:div w:id="1917007894">
      <w:bodyDiv w:val="1"/>
      <w:marLeft w:val="0"/>
      <w:marRight w:val="0"/>
      <w:marTop w:val="0"/>
      <w:marBottom w:val="0"/>
      <w:divBdr>
        <w:top w:val="none" w:sz="0" w:space="0" w:color="auto"/>
        <w:left w:val="none" w:sz="0" w:space="0" w:color="auto"/>
        <w:bottom w:val="none" w:sz="0" w:space="0" w:color="auto"/>
        <w:right w:val="none" w:sz="0" w:space="0" w:color="auto"/>
      </w:divBdr>
    </w:div>
    <w:div w:id="1925726625">
      <w:bodyDiv w:val="1"/>
      <w:marLeft w:val="0"/>
      <w:marRight w:val="0"/>
      <w:marTop w:val="0"/>
      <w:marBottom w:val="0"/>
      <w:divBdr>
        <w:top w:val="none" w:sz="0" w:space="0" w:color="auto"/>
        <w:left w:val="none" w:sz="0" w:space="0" w:color="auto"/>
        <w:bottom w:val="none" w:sz="0" w:space="0" w:color="auto"/>
        <w:right w:val="none" w:sz="0" w:space="0" w:color="auto"/>
      </w:divBdr>
    </w:div>
    <w:div w:id="1926721908">
      <w:bodyDiv w:val="1"/>
      <w:marLeft w:val="0"/>
      <w:marRight w:val="0"/>
      <w:marTop w:val="0"/>
      <w:marBottom w:val="0"/>
      <w:divBdr>
        <w:top w:val="none" w:sz="0" w:space="0" w:color="auto"/>
        <w:left w:val="none" w:sz="0" w:space="0" w:color="auto"/>
        <w:bottom w:val="none" w:sz="0" w:space="0" w:color="auto"/>
        <w:right w:val="none" w:sz="0" w:space="0" w:color="auto"/>
      </w:divBdr>
    </w:div>
    <w:div w:id="1927424167">
      <w:bodyDiv w:val="1"/>
      <w:marLeft w:val="0"/>
      <w:marRight w:val="0"/>
      <w:marTop w:val="0"/>
      <w:marBottom w:val="0"/>
      <w:divBdr>
        <w:top w:val="none" w:sz="0" w:space="0" w:color="auto"/>
        <w:left w:val="none" w:sz="0" w:space="0" w:color="auto"/>
        <w:bottom w:val="none" w:sz="0" w:space="0" w:color="auto"/>
        <w:right w:val="none" w:sz="0" w:space="0" w:color="auto"/>
      </w:divBdr>
    </w:div>
    <w:div w:id="1930305065">
      <w:bodyDiv w:val="1"/>
      <w:marLeft w:val="0"/>
      <w:marRight w:val="0"/>
      <w:marTop w:val="0"/>
      <w:marBottom w:val="0"/>
      <w:divBdr>
        <w:top w:val="none" w:sz="0" w:space="0" w:color="auto"/>
        <w:left w:val="none" w:sz="0" w:space="0" w:color="auto"/>
        <w:bottom w:val="none" w:sz="0" w:space="0" w:color="auto"/>
        <w:right w:val="none" w:sz="0" w:space="0" w:color="auto"/>
      </w:divBdr>
    </w:div>
    <w:div w:id="1931307490">
      <w:bodyDiv w:val="1"/>
      <w:marLeft w:val="0"/>
      <w:marRight w:val="0"/>
      <w:marTop w:val="0"/>
      <w:marBottom w:val="0"/>
      <w:divBdr>
        <w:top w:val="none" w:sz="0" w:space="0" w:color="auto"/>
        <w:left w:val="none" w:sz="0" w:space="0" w:color="auto"/>
        <w:bottom w:val="none" w:sz="0" w:space="0" w:color="auto"/>
        <w:right w:val="none" w:sz="0" w:space="0" w:color="auto"/>
      </w:divBdr>
    </w:div>
    <w:div w:id="1932007464">
      <w:bodyDiv w:val="1"/>
      <w:marLeft w:val="0"/>
      <w:marRight w:val="0"/>
      <w:marTop w:val="0"/>
      <w:marBottom w:val="0"/>
      <w:divBdr>
        <w:top w:val="none" w:sz="0" w:space="0" w:color="auto"/>
        <w:left w:val="none" w:sz="0" w:space="0" w:color="auto"/>
        <w:bottom w:val="none" w:sz="0" w:space="0" w:color="auto"/>
        <w:right w:val="none" w:sz="0" w:space="0" w:color="auto"/>
      </w:divBdr>
    </w:div>
    <w:div w:id="1935085735">
      <w:bodyDiv w:val="1"/>
      <w:marLeft w:val="0"/>
      <w:marRight w:val="0"/>
      <w:marTop w:val="0"/>
      <w:marBottom w:val="0"/>
      <w:divBdr>
        <w:top w:val="none" w:sz="0" w:space="0" w:color="auto"/>
        <w:left w:val="none" w:sz="0" w:space="0" w:color="auto"/>
        <w:bottom w:val="none" w:sz="0" w:space="0" w:color="auto"/>
        <w:right w:val="none" w:sz="0" w:space="0" w:color="auto"/>
      </w:divBdr>
    </w:div>
    <w:div w:id="1935359952">
      <w:bodyDiv w:val="1"/>
      <w:marLeft w:val="0"/>
      <w:marRight w:val="0"/>
      <w:marTop w:val="0"/>
      <w:marBottom w:val="0"/>
      <w:divBdr>
        <w:top w:val="none" w:sz="0" w:space="0" w:color="auto"/>
        <w:left w:val="none" w:sz="0" w:space="0" w:color="auto"/>
        <w:bottom w:val="none" w:sz="0" w:space="0" w:color="auto"/>
        <w:right w:val="none" w:sz="0" w:space="0" w:color="auto"/>
      </w:divBdr>
    </w:div>
    <w:div w:id="1936013928">
      <w:bodyDiv w:val="1"/>
      <w:marLeft w:val="0"/>
      <w:marRight w:val="0"/>
      <w:marTop w:val="0"/>
      <w:marBottom w:val="0"/>
      <w:divBdr>
        <w:top w:val="none" w:sz="0" w:space="0" w:color="auto"/>
        <w:left w:val="none" w:sz="0" w:space="0" w:color="auto"/>
        <w:bottom w:val="none" w:sz="0" w:space="0" w:color="auto"/>
        <w:right w:val="none" w:sz="0" w:space="0" w:color="auto"/>
      </w:divBdr>
    </w:div>
    <w:div w:id="1937401360">
      <w:bodyDiv w:val="1"/>
      <w:marLeft w:val="0"/>
      <w:marRight w:val="0"/>
      <w:marTop w:val="0"/>
      <w:marBottom w:val="0"/>
      <w:divBdr>
        <w:top w:val="none" w:sz="0" w:space="0" w:color="auto"/>
        <w:left w:val="none" w:sz="0" w:space="0" w:color="auto"/>
        <w:bottom w:val="none" w:sz="0" w:space="0" w:color="auto"/>
        <w:right w:val="none" w:sz="0" w:space="0" w:color="auto"/>
      </w:divBdr>
    </w:div>
    <w:div w:id="1940528425">
      <w:bodyDiv w:val="1"/>
      <w:marLeft w:val="0"/>
      <w:marRight w:val="0"/>
      <w:marTop w:val="0"/>
      <w:marBottom w:val="0"/>
      <w:divBdr>
        <w:top w:val="none" w:sz="0" w:space="0" w:color="auto"/>
        <w:left w:val="none" w:sz="0" w:space="0" w:color="auto"/>
        <w:bottom w:val="none" w:sz="0" w:space="0" w:color="auto"/>
        <w:right w:val="none" w:sz="0" w:space="0" w:color="auto"/>
      </w:divBdr>
    </w:div>
    <w:div w:id="1941790049">
      <w:bodyDiv w:val="1"/>
      <w:marLeft w:val="0"/>
      <w:marRight w:val="0"/>
      <w:marTop w:val="0"/>
      <w:marBottom w:val="0"/>
      <w:divBdr>
        <w:top w:val="none" w:sz="0" w:space="0" w:color="auto"/>
        <w:left w:val="none" w:sz="0" w:space="0" w:color="auto"/>
        <w:bottom w:val="none" w:sz="0" w:space="0" w:color="auto"/>
        <w:right w:val="none" w:sz="0" w:space="0" w:color="auto"/>
      </w:divBdr>
    </w:div>
    <w:div w:id="1941912930">
      <w:bodyDiv w:val="1"/>
      <w:marLeft w:val="0"/>
      <w:marRight w:val="0"/>
      <w:marTop w:val="0"/>
      <w:marBottom w:val="0"/>
      <w:divBdr>
        <w:top w:val="none" w:sz="0" w:space="0" w:color="auto"/>
        <w:left w:val="none" w:sz="0" w:space="0" w:color="auto"/>
        <w:bottom w:val="none" w:sz="0" w:space="0" w:color="auto"/>
        <w:right w:val="none" w:sz="0" w:space="0" w:color="auto"/>
      </w:divBdr>
    </w:div>
    <w:div w:id="1942689008">
      <w:bodyDiv w:val="1"/>
      <w:marLeft w:val="0"/>
      <w:marRight w:val="0"/>
      <w:marTop w:val="0"/>
      <w:marBottom w:val="0"/>
      <w:divBdr>
        <w:top w:val="none" w:sz="0" w:space="0" w:color="auto"/>
        <w:left w:val="none" w:sz="0" w:space="0" w:color="auto"/>
        <w:bottom w:val="none" w:sz="0" w:space="0" w:color="auto"/>
        <w:right w:val="none" w:sz="0" w:space="0" w:color="auto"/>
      </w:divBdr>
    </w:div>
    <w:div w:id="1943759337">
      <w:bodyDiv w:val="1"/>
      <w:marLeft w:val="0"/>
      <w:marRight w:val="0"/>
      <w:marTop w:val="0"/>
      <w:marBottom w:val="0"/>
      <w:divBdr>
        <w:top w:val="none" w:sz="0" w:space="0" w:color="auto"/>
        <w:left w:val="none" w:sz="0" w:space="0" w:color="auto"/>
        <w:bottom w:val="none" w:sz="0" w:space="0" w:color="auto"/>
        <w:right w:val="none" w:sz="0" w:space="0" w:color="auto"/>
      </w:divBdr>
    </w:div>
    <w:div w:id="1947301004">
      <w:bodyDiv w:val="1"/>
      <w:marLeft w:val="0"/>
      <w:marRight w:val="0"/>
      <w:marTop w:val="0"/>
      <w:marBottom w:val="0"/>
      <w:divBdr>
        <w:top w:val="none" w:sz="0" w:space="0" w:color="auto"/>
        <w:left w:val="none" w:sz="0" w:space="0" w:color="auto"/>
        <w:bottom w:val="none" w:sz="0" w:space="0" w:color="auto"/>
        <w:right w:val="none" w:sz="0" w:space="0" w:color="auto"/>
      </w:divBdr>
    </w:div>
    <w:div w:id="1947695151">
      <w:bodyDiv w:val="1"/>
      <w:marLeft w:val="0"/>
      <w:marRight w:val="0"/>
      <w:marTop w:val="0"/>
      <w:marBottom w:val="0"/>
      <w:divBdr>
        <w:top w:val="none" w:sz="0" w:space="0" w:color="auto"/>
        <w:left w:val="none" w:sz="0" w:space="0" w:color="auto"/>
        <w:bottom w:val="none" w:sz="0" w:space="0" w:color="auto"/>
        <w:right w:val="none" w:sz="0" w:space="0" w:color="auto"/>
      </w:divBdr>
    </w:div>
    <w:div w:id="1949968693">
      <w:bodyDiv w:val="1"/>
      <w:marLeft w:val="0"/>
      <w:marRight w:val="0"/>
      <w:marTop w:val="0"/>
      <w:marBottom w:val="0"/>
      <w:divBdr>
        <w:top w:val="none" w:sz="0" w:space="0" w:color="auto"/>
        <w:left w:val="none" w:sz="0" w:space="0" w:color="auto"/>
        <w:bottom w:val="none" w:sz="0" w:space="0" w:color="auto"/>
        <w:right w:val="none" w:sz="0" w:space="0" w:color="auto"/>
      </w:divBdr>
    </w:div>
    <w:div w:id="1950964580">
      <w:bodyDiv w:val="1"/>
      <w:marLeft w:val="0"/>
      <w:marRight w:val="0"/>
      <w:marTop w:val="0"/>
      <w:marBottom w:val="0"/>
      <w:divBdr>
        <w:top w:val="none" w:sz="0" w:space="0" w:color="auto"/>
        <w:left w:val="none" w:sz="0" w:space="0" w:color="auto"/>
        <w:bottom w:val="none" w:sz="0" w:space="0" w:color="auto"/>
        <w:right w:val="none" w:sz="0" w:space="0" w:color="auto"/>
      </w:divBdr>
    </w:div>
    <w:div w:id="1952007692">
      <w:bodyDiv w:val="1"/>
      <w:marLeft w:val="0"/>
      <w:marRight w:val="0"/>
      <w:marTop w:val="0"/>
      <w:marBottom w:val="0"/>
      <w:divBdr>
        <w:top w:val="none" w:sz="0" w:space="0" w:color="auto"/>
        <w:left w:val="none" w:sz="0" w:space="0" w:color="auto"/>
        <w:bottom w:val="none" w:sz="0" w:space="0" w:color="auto"/>
        <w:right w:val="none" w:sz="0" w:space="0" w:color="auto"/>
      </w:divBdr>
    </w:div>
    <w:div w:id="1954288412">
      <w:bodyDiv w:val="1"/>
      <w:marLeft w:val="0"/>
      <w:marRight w:val="0"/>
      <w:marTop w:val="0"/>
      <w:marBottom w:val="0"/>
      <w:divBdr>
        <w:top w:val="none" w:sz="0" w:space="0" w:color="auto"/>
        <w:left w:val="none" w:sz="0" w:space="0" w:color="auto"/>
        <w:bottom w:val="none" w:sz="0" w:space="0" w:color="auto"/>
        <w:right w:val="none" w:sz="0" w:space="0" w:color="auto"/>
      </w:divBdr>
    </w:div>
    <w:div w:id="1956406164">
      <w:bodyDiv w:val="1"/>
      <w:marLeft w:val="0"/>
      <w:marRight w:val="0"/>
      <w:marTop w:val="0"/>
      <w:marBottom w:val="0"/>
      <w:divBdr>
        <w:top w:val="none" w:sz="0" w:space="0" w:color="auto"/>
        <w:left w:val="none" w:sz="0" w:space="0" w:color="auto"/>
        <w:bottom w:val="none" w:sz="0" w:space="0" w:color="auto"/>
        <w:right w:val="none" w:sz="0" w:space="0" w:color="auto"/>
      </w:divBdr>
    </w:div>
    <w:div w:id="1959607255">
      <w:bodyDiv w:val="1"/>
      <w:marLeft w:val="0"/>
      <w:marRight w:val="0"/>
      <w:marTop w:val="0"/>
      <w:marBottom w:val="0"/>
      <w:divBdr>
        <w:top w:val="none" w:sz="0" w:space="0" w:color="auto"/>
        <w:left w:val="none" w:sz="0" w:space="0" w:color="auto"/>
        <w:bottom w:val="none" w:sz="0" w:space="0" w:color="auto"/>
        <w:right w:val="none" w:sz="0" w:space="0" w:color="auto"/>
      </w:divBdr>
    </w:div>
    <w:div w:id="1959675063">
      <w:bodyDiv w:val="1"/>
      <w:marLeft w:val="0"/>
      <w:marRight w:val="0"/>
      <w:marTop w:val="0"/>
      <w:marBottom w:val="0"/>
      <w:divBdr>
        <w:top w:val="none" w:sz="0" w:space="0" w:color="auto"/>
        <w:left w:val="none" w:sz="0" w:space="0" w:color="auto"/>
        <w:bottom w:val="none" w:sz="0" w:space="0" w:color="auto"/>
        <w:right w:val="none" w:sz="0" w:space="0" w:color="auto"/>
      </w:divBdr>
    </w:div>
    <w:div w:id="1966736310">
      <w:bodyDiv w:val="1"/>
      <w:marLeft w:val="0"/>
      <w:marRight w:val="0"/>
      <w:marTop w:val="0"/>
      <w:marBottom w:val="0"/>
      <w:divBdr>
        <w:top w:val="none" w:sz="0" w:space="0" w:color="auto"/>
        <w:left w:val="none" w:sz="0" w:space="0" w:color="auto"/>
        <w:bottom w:val="none" w:sz="0" w:space="0" w:color="auto"/>
        <w:right w:val="none" w:sz="0" w:space="0" w:color="auto"/>
      </w:divBdr>
    </w:div>
    <w:div w:id="1967544295">
      <w:bodyDiv w:val="1"/>
      <w:marLeft w:val="0"/>
      <w:marRight w:val="0"/>
      <w:marTop w:val="0"/>
      <w:marBottom w:val="0"/>
      <w:divBdr>
        <w:top w:val="none" w:sz="0" w:space="0" w:color="auto"/>
        <w:left w:val="none" w:sz="0" w:space="0" w:color="auto"/>
        <w:bottom w:val="none" w:sz="0" w:space="0" w:color="auto"/>
        <w:right w:val="none" w:sz="0" w:space="0" w:color="auto"/>
      </w:divBdr>
    </w:div>
    <w:div w:id="1969362095">
      <w:bodyDiv w:val="1"/>
      <w:marLeft w:val="0"/>
      <w:marRight w:val="0"/>
      <w:marTop w:val="0"/>
      <w:marBottom w:val="0"/>
      <w:divBdr>
        <w:top w:val="none" w:sz="0" w:space="0" w:color="auto"/>
        <w:left w:val="none" w:sz="0" w:space="0" w:color="auto"/>
        <w:bottom w:val="none" w:sz="0" w:space="0" w:color="auto"/>
        <w:right w:val="none" w:sz="0" w:space="0" w:color="auto"/>
      </w:divBdr>
    </w:div>
    <w:div w:id="1969428749">
      <w:bodyDiv w:val="1"/>
      <w:marLeft w:val="0"/>
      <w:marRight w:val="0"/>
      <w:marTop w:val="0"/>
      <w:marBottom w:val="0"/>
      <w:divBdr>
        <w:top w:val="none" w:sz="0" w:space="0" w:color="auto"/>
        <w:left w:val="none" w:sz="0" w:space="0" w:color="auto"/>
        <w:bottom w:val="none" w:sz="0" w:space="0" w:color="auto"/>
        <w:right w:val="none" w:sz="0" w:space="0" w:color="auto"/>
      </w:divBdr>
    </w:div>
    <w:div w:id="1969436059">
      <w:bodyDiv w:val="1"/>
      <w:marLeft w:val="0"/>
      <w:marRight w:val="0"/>
      <w:marTop w:val="0"/>
      <w:marBottom w:val="0"/>
      <w:divBdr>
        <w:top w:val="none" w:sz="0" w:space="0" w:color="auto"/>
        <w:left w:val="none" w:sz="0" w:space="0" w:color="auto"/>
        <w:bottom w:val="none" w:sz="0" w:space="0" w:color="auto"/>
        <w:right w:val="none" w:sz="0" w:space="0" w:color="auto"/>
      </w:divBdr>
    </w:div>
    <w:div w:id="1969697651">
      <w:bodyDiv w:val="1"/>
      <w:marLeft w:val="0"/>
      <w:marRight w:val="0"/>
      <w:marTop w:val="0"/>
      <w:marBottom w:val="0"/>
      <w:divBdr>
        <w:top w:val="none" w:sz="0" w:space="0" w:color="auto"/>
        <w:left w:val="none" w:sz="0" w:space="0" w:color="auto"/>
        <w:bottom w:val="none" w:sz="0" w:space="0" w:color="auto"/>
        <w:right w:val="none" w:sz="0" w:space="0" w:color="auto"/>
      </w:divBdr>
    </w:div>
    <w:div w:id="196989667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9145878">
      <w:bodyDiv w:val="1"/>
      <w:marLeft w:val="0"/>
      <w:marRight w:val="0"/>
      <w:marTop w:val="0"/>
      <w:marBottom w:val="0"/>
      <w:divBdr>
        <w:top w:val="none" w:sz="0" w:space="0" w:color="auto"/>
        <w:left w:val="none" w:sz="0" w:space="0" w:color="auto"/>
        <w:bottom w:val="none" w:sz="0" w:space="0" w:color="auto"/>
        <w:right w:val="none" w:sz="0" w:space="0" w:color="auto"/>
      </w:divBdr>
    </w:div>
    <w:div w:id="1982342765">
      <w:bodyDiv w:val="1"/>
      <w:marLeft w:val="0"/>
      <w:marRight w:val="0"/>
      <w:marTop w:val="0"/>
      <w:marBottom w:val="0"/>
      <w:divBdr>
        <w:top w:val="none" w:sz="0" w:space="0" w:color="auto"/>
        <w:left w:val="none" w:sz="0" w:space="0" w:color="auto"/>
        <w:bottom w:val="none" w:sz="0" w:space="0" w:color="auto"/>
        <w:right w:val="none" w:sz="0" w:space="0" w:color="auto"/>
      </w:divBdr>
    </w:div>
    <w:div w:id="1985351946">
      <w:bodyDiv w:val="1"/>
      <w:marLeft w:val="0"/>
      <w:marRight w:val="0"/>
      <w:marTop w:val="0"/>
      <w:marBottom w:val="0"/>
      <w:divBdr>
        <w:top w:val="none" w:sz="0" w:space="0" w:color="auto"/>
        <w:left w:val="none" w:sz="0" w:space="0" w:color="auto"/>
        <w:bottom w:val="none" w:sz="0" w:space="0" w:color="auto"/>
        <w:right w:val="none" w:sz="0" w:space="0" w:color="auto"/>
      </w:divBdr>
    </w:div>
    <w:div w:id="1985813671">
      <w:bodyDiv w:val="1"/>
      <w:marLeft w:val="0"/>
      <w:marRight w:val="0"/>
      <w:marTop w:val="0"/>
      <w:marBottom w:val="0"/>
      <w:divBdr>
        <w:top w:val="none" w:sz="0" w:space="0" w:color="auto"/>
        <w:left w:val="none" w:sz="0" w:space="0" w:color="auto"/>
        <w:bottom w:val="none" w:sz="0" w:space="0" w:color="auto"/>
        <w:right w:val="none" w:sz="0" w:space="0" w:color="auto"/>
      </w:divBdr>
    </w:div>
    <w:div w:id="1988048286">
      <w:bodyDiv w:val="1"/>
      <w:marLeft w:val="0"/>
      <w:marRight w:val="0"/>
      <w:marTop w:val="0"/>
      <w:marBottom w:val="0"/>
      <w:divBdr>
        <w:top w:val="none" w:sz="0" w:space="0" w:color="auto"/>
        <w:left w:val="none" w:sz="0" w:space="0" w:color="auto"/>
        <w:bottom w:val="none" w:sz="0" w:space="0" w:color="auto"/>
        <w:right w:val="none" w:sz="0" w:space="0" w:color="auto"/>
      </w:divBdr>
    </w:div>
    <w:div w:id="1988389829">
      <w:bodyDiv w:val="1"/>
      <w:marLeft w:val="0"/>
      <w:marRight w:val="0"/>
      <w:marTop w:val="0"/>
      <w:marBottom w:val="0"/>
      <w:divBdr>
        <w:top w:val="none" w:sz="0" w:space="0" w:color="auto"/>
        <w:left w:val="none" w:sz="0" w:space="0" w:color="auto"/>
        <w:bottom w:val="none" w:sz="0" w:space="0" w:color="auto"/>
        <w:right w:val="none" w:sz="0" w:space="0" w:color="auto"/>
      </w:divBdr>
    </w:div>
    <w:div w:id="1990480269">
      <w:bodyDiv w:val="1"/>
      <w:marLeft w:val="0"/>
      <w:marRight w:val="0"/>
      <w:marTop w:val="0"/>
      <w:marBottom w:val="0"/>
      <w:divBdr>
        <w:top w:val="none" w:sz="0" w:space="0" w:color="auto"/>
        <w:left w:val="none" w:sz="0" w:space="0" w:color="auto"/>
        <w:bottom w:val="none" w:sz="0" w:space="0" w:color="auto"/>
        <w:right w:val="none" w:sz="0" w:space="0" w:color="auto"/>
      </w:divBdr>
    </w:div>
    <w:div w:id="1990554444">
      <w:bodyDiv w:val="1"/>
      <w:marLeft w:val="0"/>
      <w:marRight w:val="0"/>
      <w:marTop w:val="0"/>
      <w:marBottom w:val="0"/>
      <w:divBdr>
        <w:top w:val="none" w:sz="0" w:space="0" w:color="auto"/>
        <w:left w:val="none" w:sz="0" w:space="0" w:color="auto"/>
        <w:bottom w:val="none" w:sz="0" w:space="0" w:color="auto"/>
        <w:right w:val="none" w:sz="0" w:space="0" w:color="auto"/>
      </w:divBdr>
    </w:div>
    <w:div w:id="1990935014">
      <w:bodyDiv w:val="1"/>
      <w:marLeft w:val="0"/>
      <w:marRight w:val="0"/>
      <w:marTop w:val="0"/>
      <w:marBottom w:val="0"/>
      <w:divBdr>
        <w:top w:val="none" w:sz="0" w:space="0" w:color="auto"/>
        <w:left w:val="none" w:sz="0" w:space="0" w:color="auto"/>
        <w:bottom w:val="none" w:sz="0" w:space="0" w:color="auto"/>
        <w:right w:val="none" w:sz="0" w:space="0" w:color="auto"/>
      </w:divBdr>
    </w:div>
    <w:div w:id="1994480276">
      <w:bodyDiv w:val="1"/>
      <w:marLeft w:val="0"/>
      <w:marRight w:val="0"/>
      <w:marTop w:val="0"/>
      <w:marBottom w:val="0"/>
      <w:divBdr>
        <w:top w:val="none" w:sz="0" w:space="0" w:color="auto"/>
        <w:left w:val="none" w:sz="0" w:space="0" w:color="auto"/>
        <w:bottom w:val="none" w:sz="0" w:space="0" w:color="auto"/>
        <w:right w:val="none" w:sz="0" w:space="0" w:color="auto"/>
      </w:divBdr>
    </w:div>
    <w:div w:id="1996110063">
      <w:bodyDiv w:val="1"/>
      <w:marLeft w:val="0"/>
      <w:marRight w:val="0"/>
      <w:marTop w:val="0"/>
      <w:marBottom w:val="0"/>
      <w:divBdr>
        <w:top w:val="none" w:sz="0" w:space="0" w:color="auto"/>
        <w:left w:val="none" w:sz="0" w:space="0" w:color="auto"/>
        <w:bottom w:val="none" w:sz="0" w:space="0" w:color="auto"/>
        <w:right w:val="none" w:sz="0" w:space="0" w:color="auto"/>
      </w:divBdr>
    </w:div>
    <w:div w:id="1997147385">
      <w:bodyDiv w:val="1"/>
      <w:marLeft w:val="0"/>
      <w:marRight w:val="0"/>
      <w:marTop w:val="0"/>
      <w:marBottom w:val="0"/>
      <w:divBdr>
        <w:top w:val="none" w:sz="0" w:space="0" w:color="auto"/>
        <w:left w:val="none" w:sz="0" w:space="0" w:color="auto"/>
        <w:bottom w:val="none" w:sz="0" w:space="0" w:color="auto"/>
        <w:right w:val="none" w:sz="0" w:space="0" w:color="auto"/>
      </w:divBdr>
    </w:div>
    <w:div w:id="1997610626">
      <w:bodyDiv w:val="1"/>
      <w:marLeft w:val="0"/>
      <w:marRight w:val="0"/>
      <w:marTop w:val="0"/>
      <w:marBottom w:val="0"/>
      <w:divBdr>
        <w:top w:val="none" w:sz="0" w:space="0" w:color="auto"/>
        <w:left w:val="none" w:sz="0" w:space="0" w:color="auto"/>
        <w:bottom w:val="none" w:sz="0" w:space="0" w:color="auto"/>
        <w:right w:val="none" w:sz="0" w:space="0" w:color="auto"/>
      </w:divBdr>
    </w:div>
    <w:div w:id="1998727703">
      <w:bodyDiv w:val="1"/>
      <w:marLeft w:val="0"/>
      <w:marRight w:val="0"/>
      <w:marTop w:val="0"/>
      <w:marBottom w:val="0"/>
      <w:divBdr>
        <w:top w:val="none" w:sz="0" w:space="0" w:color="auto"/>
        <w:left w:val="none" w:sz="0" w:space="0" w:color="auto"/>
        <w:bottom w:val="none" w:sz="0" w:space="0" w:color="auto"/>
        <w:right w:val="none" w:sz="0" w:space="0" w:color="auto"/>
      </w:divBdr>
    </w:div>
    <w:div w:id="2001536596">
      <w:bodyDiv w:val="1"/>
      <w:marLeft w:val="0"/>
      <w:marRight w:val="0"/>
      <w:marTop w:val="0"/>
      <w:marBottom w:val="0"/>
      <w:divBdr>
        <w:top w:val="none" w:sz="0" w:space="0" w:color="auto"/>
        <w:left w:val="none" w:sz="0" w:space="0" w:color="auto"/>
        <w:bottom w:val="none" w:sz="0" w:space="0" w:color="auto"/>
        <w:right w:val="none" w:sz="0" w:space="0" w:color="auto"/>
      </w:divBdr>
    </w:div>
    <w:div w:id="2001931494">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5207315">
      <w:bodyDiv w:val="1"/>
      <w:marLeft w:val="0"/>
      <w:marRight w:val="0"/>
      <w:marTop w:val="0"/>
      <w:marBottom w:val="0"/>
      <w:divBdr>
        <w:top w:val="none" w:sz="0" w:space="0" w:color="auto"/>
        <w:left w:val="none" w:sz="0" w:space="0" w:color="auto"/>
        <w:bottom w:val="none" w:sz="0" w:space="0" w:color="auto"/>
        <w:right w:val="none" w:sz="0" w:space="0" w:color="auto"/>
      </w:divBdr>
    </w:div>
    <w:div w:id="2005425108">
      <w:bodyDiv w:val="1"/>
      <w:marLeft w:val="0"/>
      <w:marRight w:val="0"/>
      <w:marTop w:val="0"/>
      <w:marBottom w:val="0"/>
      <w:divBdr>
        <w:top w:val="none" w:sz="0" w:space="0" w:color="auto"/>
        <w:left w:val="none" w:sz="0" w:space="0" w:color="auto"/>
        <w:bottom w:val="none" w:sz="0" w:space="0" w:color="auto"/>
        <w:right w:val="none" w:sz="0" w:space="0" w:color="auto"/>
      </w:divBdr>
    </w:div>
    <w:div w:id="2010015179">
      <w:bodyDiv w:val="1"/>
      <w:marLeft w:val="0"/>
      <w:marRight w:val="0"/>
      <w:marTop w:val="0"/>
      <w:marBottom w:val="0"/>
      <w:divBdr>
        <w:top w:val="none" w:sz="0" w:space="0" w:color="auto"/>
        <w:left w:val="none" w:sz="0" w:space="0" w:color="auto"/>
        <w:bottom w:val="none" w:sz="0" w:space="0" w:color="auto"/>
        <w:right w:val="none" w:sz="0" w:space="0" w:color="auto"/>
      </w:divBdr>
    </w:div>
    <w:div w:id="2011172856">
      <w:bodyDiv w:val="1"/>
      <w:marLeft w:val="0"/>
      <w:marRight w:val="0"/>
      <w:marTop w:val="0"/>
      <w:marBottom w:val="0"/>
      <w:divBdr>
        <w:top w:val="none" w:sz="0" w:space="0" w:color="auto"/>
        <w:left w:val="none" w:sz="0" w:space="0" w:color="auto"/>
        <w:bottom w:val="none" w:sz="0" w:space="0" w:color="auto"/>
        <w:right w:val="none" w:sz="0" w:space="0" w:color="auto"/>
      </w:divBdr>
    </w:div>
    <w:div w:id="2012415112">
      <w:bodyDiv w:val="1"/>
      <w:marLeft w:val="0"/>
      <w:marRight w:val="0"/>
      <w:marTop w:val="0"/>
      <w:marBottom w:val="0"/>
      <w:divBdr>
        <w:top w:val="none" w:sz="0" w:space="0" w:color="auto"/>
        <w:left w:val="none" w:sz="0" w:space="0" w:color="auto"/>
        <w:bottom w:val="none" w:sz="0" w:space="0" w:color="auto"/>
        <w:right w:val="none" w:sz="0" w:space="0" w:color="auto"/>
      </w:divBdr>
    </w:div>
    <w:div w:id="2013994239">
      <w:bodyDiv w:val="1"/>
      <w:marLeft w:val="0"/>
      <w:marRight w:val="0"/>
      <w:marTop w:val="0"/>
      <w:marBottom w:val="0"/>
      <w:divBdr>
        <w:top w:val="none" w:sz="0" w:space="0" w:color="auto"/>
        <w:left w:val="none" w:sz="0" w:space="0" w:color="auto"/>
        <w:bottom w:val="none" w:sz="0" w:space="0" w:color="auto"/>
        <w:right w:val="none" w:sz="0" w:space="0" w:color="auto"/>
      </w:divBdr>
    </w:div>
    <w:div w:id="2016182115">
      <w:bodyDiv w:val="1"/>
      <w:marLeft w:val="0"/>
      <w:marRight w:val="0"/>
      <w:marTop w:val="0"/>
      <w:marBottom w:val="0"/>
      <w:divBdr>
        <w:top w:val="none" w:sz="0" w:space="0" w:color="auto"/>
        <w:left w:val="none" w:sz="0" w:space="0" w:color="auto"/>
        <w:bottom w:val="none" w:sz="0" w:space="0" w:color="auto"/>
        <w:right w:val="none" w:sz="0" w:space="0" w:color="auto"/>
      </w:divBdr>
    </w:div>
    <w:div w:id="2018339691">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119005">
      <w:bodyDiv w:val="1"/>
      <w:marLeft w:val="0"/>
      <w:marRight w:val="0"/>
      <w:marTop w:val="0"/>
      <w:marBottom w:val="0"/>
      <w:divBdr>
        <w:top w:val="none" w:sz="0" w:space="0" w:color="auto"/>
        <w:left w:val="none" w:sz="0" w:space="0" w:color="auto"/>
        <w:bottom w:val="none" w:sz="0" w:space="0" w:color="auto"/>
        <w:right w:val="none" w:sz="0" w:space="0" w:color="auto"/>
      </w:divBdr>
    </w:div>
    <w:div w:id="2023126766">
      <w:bodyDiv w:val="1"/>
      <w:marLeft w:val="0"/>
      <w:marRight w:val="0"/>
      <w:marTop w:val="0"/>
      <w:marBottom w:val="0"/>
      <w:divBdr>
        <w:top w:val="none" w:sz="0" w:space="0" w:color="auto"/>
        <w:left w:val="none" w:sz="0" w:space="0" w:color="auto"/>
        <w:bottom w:val="none" w:sz="0" w:space="0" w:color="auto"/>
        <w:right w:val="none" w:sz="0" w:space="0" w:color="auto"/>
      </w:divBdr>
    </w:div>
    <w:div w:id="2023584225">
      <w:bodyDiv w:val="1"/>
      <w:marLeft w:val="0"/>
      <w:marRight w:val="0"/>
      <w:marTop w:val="0"/>
      <w:marBottom w:val="0"/>
      <w:divBdr>
        <w:top w:val="none" w:sz="0" w:space="0" w:color="auto"/>
        <w:left w:val="none" w:sz="0" w:space="0" w:color="auto"/>
        <w:bottom w:val="none" w:sz="0" w:space="0" w:color="auto"/>
        <w:right w:val="none" w:sz="0" w:space="0" w:color="auto"/>
      </w:divBdr>
    </w:div>
    <w:div w:id="2023587832">
      <w:bodyDiv w:val="1"/>
      <w:marLeft w:val="0"/>
      <w:marRight w:val="0"/>
      <w:marTop w:val="0"/>
      <w:marBottom w:val="0"/>
      <w:divBdr>
        <w:top w:val="none" w:sz="0" w:space="0" w:color="auto"/>
        <w:left w:val="none" w:sz="0" w:space="0" w:color="auto"/>
        <w:bottom w:val="none" w:sz="0" w:space="0" w:color="auto"/>
        <w:right w:val="none" w:sz="0" w:space="0" w:color="auto"/>
      </w:divBdr>
    </w:div>
    <w:div w:id="2023897556">
      <w:bodyDiv w:val="1"/>
      <w:marLeft w:val="0"/>
      <w:marRight w:val="0"/>
      <w:marTop w:val="0"/>
      <w:marBottom w:val="0"/>
      <w:divBdr>
        <w:top w:val="none" w:sz="0" w:space="0" w:color="auto"/>
        <w:left w:val="none" w:sz="0" w:space="0" w:color="auto"/>
        <w:bottom w:val="none" w:sz="0" w:space="0" w:color="auto"/>
        <w:right w:val="none" w:sz="0" w:space="0" w:color="auto"/>
      </w:divBdr>
    </w:div>
    <w:div w:id="2024823309">
      <w:bodyDiv w:val="1"/>
      <w:marLeft w:val="0"/>
      <w:marRight w:val="0"/>
      <w:marTop w:val="0"/>
      <w:marBottom w:val="0"/>
      <w:divBdr>
        <w:top w:val="none" w:sz="0" w:space="0" w:color="auto"/>
        <w:left w:val="none" w:sz="0" w:space="0" w:color="auto"/>
        <w:bottom w:val="none" w:sz="0" w:space="0" w:color="auto"/>
        <w:right w:val="none" w:sz="0" w:space="0" w:color="auto"/>
      </w:divBdr>
    </w:div>
    <w:div w:id="2025085310">
      <w:bodyDiv w:val="1"/>
      <w:marLeft w:val="0"/>
      <w:marRight w:val="0"/>
      <w:marTop w:val="0"/>
      <w:marBottom w:val="0"/>
      <w:divBdr>
        <w:top w:val="none" w:sz="0" w:space="0" w:color="auto"/>
        <w:left w:val="none" w:sz="0" w:space="0" w:color="auto"/>
        <w:bottom w:val="none" w:sz="0" w:space="0" w:color="auto"/>
        <w:right w:val="none" w:sz="0" w:space="0" w:color="auto"/>
      </w:divBdr>
    </w:div>
    <w:div w:id="2025395311">
      <w:bodyDiv w:val="1"/>
      <w:marLeft w:val="0"/>
      <w:marRight w:val="0"/>
      <w:marTop w:val="0"/>
      <w:marBottom w:val="0"/>
      <w:divBdr>
        <w:top w:val="none" w:sz="0" w:space="0" w:color="auto"/>
        <w:left w:val="none" w:sz="0" w:space="0" w:color="auto"/>
        <w:bottom w:val="none" w:sz="0" w:space="0" w:color="auto"/>
        <w:right w:val="none" w:sz="0" w:space="0" w:color="auto"/>
      </w:divBdr>
    </w:div>
    <w:div w:id="2025864994">
      <w:bodyDiv w:val="1"/>
      <w:marLeft w:val="0"/>
      <w:marRight w:val="0"/>
      <w:marTop w:val="0"/>
      <w:marBottom w:val="0"/>
      <w:divBdr>
        <w:top w:val="none" w:sz="0" w:space="0" w:color="auto"/>
        <w:left w:val="none" w:sz="0" w:space="0" w:color="auto"/>
        <w:bottom w:val="none" w:sz="0" w:space="0" w:color="auto"/>
        <w:right w:val="none" w:sz="0" w:space="0" w:color="auto"/>
      </w:divBdr>
    </w:div>
    <w:div w:id="2032607914">
      <w:bodyDiv w:val="1"/>
      <w:marLeft w:val="0"/>
      <w:marRight w:val="0"/>
      <w:marTop w:val="0"/>
      <w:marBottom w:val="0"/>
      <w:divBdr>
        <w:top w:val="none" w:sz="0" w:space="0" w:color="auto"/>
        <w:left w:val="none" w:sz="0" w:space="0" w:color="auto"/>
        <w:bottom w:val="none" w:sz="0" w:space="0" w:color="auto"/>
        <w:right w:val="none" w:sz="0" w:space="0" w:color="auto"/>
      </w:divBdr>
    </w:div>
    <w:div w:id="2032797566">
      <w:bodyDiv w:val="1"/>
      <w:marLeft w:val="0"/>
      <w:marRight w:val="0"/>
      <w:marTop w:val="0"/>
      <w:marBottom w:val="0"/>
      <w:divBdr>
        <w:top w:val="none" w:sz="0" w:space="0" w:color="auto"/>
        <w:left w:val="none" w:sz="0" w:space="0" w:color="auto"/>
        <w:bottom w:val="none" w:sz="0" w:space="0" w:color="auto"/>
        <w:right w:val="none" w:sz="0" w:space="0" w:color="auto"/>
      </w:divBdr>
    </w:div>
    <w:div w:id="2033526841">
      <w:bodyDiv w:val="1"/>
      <w:marLeft w:val="0"/>
      <w:marRight w:val="0"/>
      <w:marTop w:val="0"/>
      <w:marBottom w:val="0"/>
      <w:divBdr>
        <w:top w:val="none" w:sz="0" w:space="0" w:color="auto"/>
        <w:left w:val="none" w:sz="0" w:space="0" w:color="auto"/>
        <w:bottom w:val="none" w:sz="0" w:space="0" w:color="auto"/>
        <w:right w:val="none" w:sz="0" w:space="0" w:color="auto"/>
      </w:divBdr>
    </w:div>
    <w:div w:id="2033609771">
      <w:bodyDiv w:val="1"/>
      <w:marLeft w:val="0"/>
      <w:marRight w:val="0"/>
      <w:marTop w:val="0"/>
      <w:marBottom w:val="0"/>
      <w:divBdr>
        <w:top w:val="none" w:sz="0" w:space="0" w:color="auto"/>
        <w:left w:val="none" w:sz="0" w:space="0" w:color="auto"/>
        <w:bottom w:val="none" w:sz="0" w:space="0" w:color="auto"/>
        <w:right w:val="none" w:sz="0" w:space="0" w:color="auto"/>
      </w:divBdr>
    </w:div>
    <w:div w:id="2034381179">
      <w:bodyDiv w:val="1"/>
      <w:marLeft w:val="0"/>
      <w:marRight w:val="0"/>
      <w:marTop w:val="0"/>
      <w:marBottom w:val="0"/>
      <w:divBdr>
        <w:top w:val="none" w:sz="0" w:space="0" w:color="auto"/>
        <w:left w:val="none" w:sz="0" w:space="0" w:color="auto"/>
        <w:bottom w:val="none" w:sz="0" w:space="0" w:color="auto"/>
        <w:right w:val="none" w:sz="0" w:space="0" w:color="auto"/>
      </w:divBdr>
    </w:div>
    <w:div w:id="2035499029">
      <w:bodyDiv w:val="1"/>
      <w:marLeft w:val="0"/>
      <w:marRight w:val="0"/>
      <w:marTop w:val="0"/>
      <w:marBottom w:val="0"/>
      <w:divBdr>
        <w:top w:val="none" w:sz="0" w:space="0" w:color="auto"/>
        <w:left w:val="none" w:sz="0" w:space="0" w:color="auto"/>
        <w:bottom w:val="none" w:sz="0" w:space="0" w:color="auto"/>
        <w:right w:val="none" w:sz="0" w:space="0" w:color="auto"/>
      </w:divBdr>
    </w:div>
    <w:div w:id="2039042951">
      <w:bodyDiv w:val="1"/>
      <w:marLeft w:val="0"/>
      <w:marRight w:val="0"/>
      <w:marTop w:val="0"/>
      <w:marBottom w:val="0"/>
      <w:divBdr>
        <w:top w:val="none" w:sz="0" w:space="0" w:color="auto"/>
        <w:left w:val="none" w:sz="0" w:space="0" w:color="auto"/>
        <w:bottom w:val="none" w:sz="0" w:space="0" w:color="auto"/>
        <w:right w:val="none" w:sz="0" w:space="0" w:color="auto"/>
      </w:divBdr>
    </w:div>
    <w:div w:id="2041516453">
      <w:bodyDiv w:val="1"/>
      <w:marLeft w:val="0"/>
      <w:marRight w:val="0"/>
      <w:marTop w:val="0"/>
      <w:marBottom w:val="0"/>
      <w:divBdr>
        <w:top w:val="none" w:sz="0" w:space="0" w:color="auto"/>
        <w:left w:val="none" w:sz="0" w:space="0" w:color="auto"/>
        <w:bottom w:val="none" w:sz="0" w:space="0" w:color="auto"/>
        <w:right w:val="none" w:sz="0" w:space="0" w:color="auto"/>
      </w:divBdr>
    </w:div>
    <w:div w:id="20419342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473007">
      <w:bodyDiv w:val="1"/>
      <w:marLeft w:val="0"/>
      <w:marRight w:val="0"/>
      <w:marTop w:val="0"/>
      <w:marBottom w:val="0"/>
      <w:divBdr>
        <w:top w:val="none" w:sz="0" w:space="0" w:color="auto"/>
        <w:left w:val="none" w:sz="0" w:space="0" w:color="auto"/>
        <w:bottom w:val="none" w:sz="0" w:space="0" w:color="auto"/>
        <w:right w:val="none" w:sz="0" w:space="0" w:color="auto"/>
      </w:divBdr>
    </w:div>
    <w:div w:id="2045788313">
      <w:bodyDiv w:val="1"/>
      <w:marLeft w:val="0"/>
      <w:marRight w:val="0"/>
      <w:marTop w:val="0"/>
      <w:marBottom w:val="0"/>
      <w:divBdr>
        <w:top w:val="none" w:sz="0" w:space="0" w:color="auto"/>
        <w:left w:val="none" w:sz="0" w:space="0" w:color="auto"/>
        <w:bottom w:val="none" w:sz="0" w:space="0" w:color="auto"/>
        <w:right w:val="none" w:sz="0" w:space="0" w:color="auto"/>
      </w:divBdr>
    </w:div>
    <w:div w:id="2046446578">
      <w:bodyDiv w:val="1"/>
      <w:marLeft w:val="0"/>
      <w:marRight w:val="0"/>
      <w:marTop w:val="0"/>
      <w:marBottom w:val="0"/>
      <w:divBdr>
        <w:top w:val="none" w:sz="0" w:space="0" w:color="auto"/>
        <w:left w:val="none" w:sz="0" w:space="0" w:color="auto"/>
        <w:bottom w:val="none" w:sz="0" w:space="0" w:color="auto"/>
        <w:right w:val="none" w:sz="0" w:space="0" w:color="auto"/>
      </w:divBdr>
    </w:div>
    <w:div w:id="2050717536">
      <w:bodyDiv w:val="1"/>
      <w:marLeft w:val="0"/>
      <w:marRight w:val="0"/>
      <w:marTop w:val="0"/>
      <w:marBottom w:val="0"/>
      <w:divBdr>
        <w:top w:val="none" w:sz="0" w:space="0" w:color="auto"/>
        <w:left w:val="none" w:sz="0" w:space="0" w:color="auto"/>
        <w:bottom w:val="none" w:sz="0" w:space="0" w:color="auto"/>
        <w:right w:val="none" w:sz="0" w:space="0" w:color="auto"/>
      </w:divBdr>
    </w:div>
    <w:div w:id="2056735318">
      <w:bodyDiv w:val="1"/>
      <w:marLeft w:val="0"/>
      <w:marRight w:val="0"/>
      <w:marTop w:val="0"/>
      <w:marBottom w:val="0"/>
      <w:divBdr>
        <w:top w:val="none" w:sz="0" w:space="0" w:color="auto"/>
        <w:left w:val="none" w:sz="0" w:space="0" w:color="auto"/>
        <w:bottom w:val="none" w:sz="0" w:space="0" w:color="auto"/>
        <w:right w:val="none" w:sz="0" w:space="0" w:color="auto"/>
      </w:divBdr>
    </w:div>
    <w:div w:id="2057316871">
      <w:bodyDiv w:val="1"/>
      <w:marLeft w:val="0"/>
      <w:marRight w:val="0"/>
      <w:marTop w:val="0"/>
      <w:marBottom w:val="0"/>
      <w:divBdr>
        <w:top w:val="none" w:sz="0" w:space="0" w:color="auto"/>
        <w:left w:val="none" w:sz="0" w:space="0" w:color="auto"/>
        <w:bottom w:val="none" w:sz="0" w:space="0" w:color="auto"/>
        <w:right w:val="none" w:sz="0" w:space="0" w:color="auto"/>
      </w:divBdr>
    </w:div>
    <w:div w:id="2057849510">
      <w:bodyDiv w:val="1"/>
      <w:marLeft w:val="0"/>
      <w:marRight w:val="0"/>
      <w:marTop w:val="0"/>
      <w:marBottom w:val="0"/>
      <w:divBdr>
        <w:top w:val="none" w:sz="0" w:space="0" w:color="auto"/>
        <w:left w:val="none" w:sz="0" w:space="0" w:color="auto"/>
        <w:bottom w:val="none" w:sz="0" w:space="0" w:color="auto"/>
        <w:right w:val="none" w:sz="0" w:space="0" w:color="auto"/>
      </w:divBdr>
    </w:div>
    <w:div w:id="2058242864">
      <w:bodyDiv w:val="1"/>
      <w:marLeft w:val="0"/>
      <w:marRight w:val="0"/>
      <w:marTop w:val="0"/>
      <w:marBottom w:val="0"/>
      <w:divBdr>
        <w:top w:val="none" w:sz="0" w:space="0" w:color="auto"/>
        <w:left w:val="none" w:sz="0" w:space="0" w:color="auto"/>
        <w:bottom w:val="none" w:sz="0" w:space="0" w:color="auto"/>
        <w:right w:val="none" w:sz="0" w:space="0" w:color="auto"/>
      </w:divBdr>
    </w:div>
    <w:div w:id="2059429853">
      <w:bodyDiv w:val="1"/>
      <w:marLeft w:val="0"/>
      <w:marRight w:val="0"/>
      <w:marTop w:val="0"/>
      <w:marBottom w:val="0"/>
      <w:divBdr>
        <w:top w:val="none" w:sz="0" w:space="0" w:color="auto"/>
        <w:left w:val="none" w:sz="0" w:space="0" w:color="auto"/>
        <w:bottom w:val="none" w:sz="0" w:space="0" w:color="auto"/>
        <w:right w:val="none" w:sz="0" w:space="0" w:color="auto"/>
      </w:divBdr>
    </w:div>
    <w:div w:id="2060937930">
      <w:bodyDiv w:val="1"/>
      <w:marLeft w:val="0"/>
      <w:marRight w:val="0"/>
      <w:marTop w:val="0"/>
      <w:marBottom w:val="0"/>
      <w:divBdr>
        <w:top w:val="none" w:sz="0" w:space="0" w:color="auto"/>
        <w:left w:val="none" w:sz="0" w:space="0" w:color="auto"/>
        <w:bottom w:val="none" w:sz="0" w:space="0" w:color="auto"/>
        <w:right w:val="none" w:sz="0" w:space="0" w:color="auto"/>
      </w:divBdr>
    </w:div>
    <w:div w:id="2061173164">
      <w:bodyDiv w:val="1"/>
      <w:marLeft w:val="0"/>
      <w:marRight w:val="0"/>
      <w:marTop w:val="0"/>
      <w:marBottom w:val="0"/>
      <w:divBdr>
        <w:top w:val="none" w:sz="0" w:space="0" w:color="auto"/>
        <w:left w:val="none" w:sz="0" w:space="0" w:color="auto"/>
        <w:bottom w:val="none" w:sz="0" w:space="0" w:color="auto"/>
        <w:right w:val="none" w:sz="0" w:space="0" w:color="auto"/>
      </w:divBdr>
    </w:div>
    <w:div w:id="2062705074">
      <w:bodyDiv w:val="1"/>
      <w:marLeft w:val="0"/>
      <w:marRight w:val="0"/>
      <w:marTop w:val="0"/>
      <w:marBottom w:val="0"/>
      <w:divBdr>
        <w:top w:val="none" w:sz="0" w:space="0" w:color="auto"/>
        <w:left w:val="none" w:sz="0" w:space="0" w:color="auto"/>
        <w:bottom w:val="none" w:sz="0" w:space="0" w:color="auto"/>
        <w:right w:val="none" w:sz="0" w:space="0" w:color="auto"/>
      </w:divBdr>
    </w:div>
    <w:div w:id="2068340172">
      <w:bodyDiv w:val="1"/>
      <w:marLeft w:val="0"/>
      <w:marRight w:val="0"/>
      <w:marTop w:val="0"/>
      <w:marBottom w:val="0"/>
      <w:divBdr>
        <w:top w:val="none" w:sz="0" w:space="0" w:color="auto"/>
        <w:left w:val="none" w:sz="0" w:space="0" w:color="auto"/>
        <w:bottom w:val="none" w:sz="0" w:space="0" w:color="auto"/>
        <w:right w:val="none" w:sz="0" w:space="0" w:color="auto"/>
      </w:divBdr>
    </w:div>
    <w:div w:id="2068868297">
      <w:bodyDiv w:val="1"/>
      <w:marLeft w:val="0"/>
      <w:marRight w:val="0"/>
      <w:marTop w:val="0"/>
      <w:marBottom w:val="0"/>
      <w:divBdr>
        <w:top w:val="none" w:sz="0" w:space="0" w:color="auto"/>
        <w:left w:val="none" w:sz="0" w:space="0" w:color="auto"/>
        <w:bottom w:val="none" w:sz="0" w:space="0" w:color="auto"/>
        <w:right w:val="none" w:sz="0" w:space="0" w:color="auto"/>
      </w:divBdr>
    </w:div>
    <w:div w:id="2071465237">
      <w:bodyDiv w:val="1"/>
      <w:marLeft w:val="0"/>
      <w:marRight w:val="0"/>
      <w:marTop w:val="0"/>
      <w:marBottom w:val="0"/>
      <w:divBdr>
        <w:top w:val="none" w:sz="0" w:space="0" w:color="auto"/>
        <w:left w:val="none" w:sz="0" w:space="0" w:color="auto"/>
        <w:bottom w:val="none" w:sz="0" w:space="0" w:color="auto"/>
        <w:right w:val="none" w:sz="0" w:space="0" w:color="auto"/>
      </w:divBdr>
    </w:div>
    <w:div w:id="2075930368">
      <w:bodyDiv w:val="1"/>
      <w:marLeft w:val="0"/>
      <w:marRight w:val="0"/>
      <w:marTop w:val="0"/>
      <w:marBottom w:val="0"/>
      <w:divBdr>
        <w:top w:val="none" w:sz="0" w:space="0" w:color="auto"/>
        <w:left w:val="none" w:sz="0" w:space="0" w:color="auto"/>
        <w:bottom w:val="none" w:sz="0" w:space="0" w:color="auto"/>
        <w:right w:val="none" w:sz="0" w:space="0" w:color="auto"/>
      </w:divBdr>
    </w:div>
    <w:div w:id="2076471596">
      <w:bodyDiv w:val="1"/>
      <w:marLeft w:val="0"/>
      <w:marRight w:val="0"/>
      <w:marTop w:val="0"/>
      <w:marBottom w:val="0"/>
      <w:divBdr>
        <w:top w:val="none" w:sz="0" w:space="0" w:color="auto"/>
        <w:left w:val="none" w:sz="0" w:space="0" w:color="auto"/>
        <w:bottom w:val="none" w:sz="0" w:space="0" w:color="auto"/>
        <w:right w:val="none" w:sz="0" w:space="0" w:color="auto"/>
      </w:divBdr>
    </w:div>
    <w:div w:id="2076925946">
      <w:bodyDiv w:val="1"/>
      <w:marLeft w:val="0"/>
      <w:marRight w:val="0"/>
      <w:marTop w:val="0"/>
      <w:marBottom w:val="0"/>
      <w:divBdr>
        <w:top w:val="none" w:sz="0" w:space="0" w:color="auto"/>
        <w:left w:val="none" w:sz="0" w:space="0" w:color="auto"/>
        <w:bottom w:val="none" w:sz="0" w:space="0" w:color="auto"/>
        <w:right w:val="none" w:sz="0" w:space="0" w:color="auto"/>
      </w:divBdr>
    </w:div>
    <w:div w:id="2077509710">
      <w:bodyDiv w:val="1"/>
      <w:marLeft w:val="0"/>
      <w:marRight w:val="0"/>
      <w:marTop w:val="0"/>
      <w:marBottom w:val="0"/>
      <w:divBdr>
        <w:top w:val="none" w:sz="0" w:space="0" w:color="auto"/>
        <w:left w:val="none" w:sz="0" w:space="0" w:color="auto"/>
        <w:bottom w:val="none" w:sz="0" w:space="0" w:color="auto"/>
        <w:right w:val="none" w:sz="0" w:space="0" w:color="auto"/>
      </w:divBdr>
    </w:div>
    <w:div w:id="2078164080">
      <w:bodyDiv w:val="1"/>
      <w:marLeft w:val="0"/>
      <w:marRight w:val="0"/>
      <w:marTop w:val="0"/>
      <w:marBottom w:val="0"/>
      <w:divBdr>
        <w:top w:val="none" w:sz="0" w:space="0" w:color="auto"/>
        <w:left w:val="none" w:sz="0" w:space="0" w:color="auto"/>
        <w:bottom w:val="none" w:sz="0" w:space="0" w:color="auto"/>
        <w:right w:val="none" w:sz="0" w:space="0" w:color="auto"/>
      </w:divBdr>
    </w:div>
    <w:div w:id="2080974994">
      <w:bodyDiv w:val="1"/>
      <w:marLeft w:val="0"/>
      <w:marRight w:val="0"/>
      <w:marTop w:val="0"/>
      <w:marBottom w:val="0"/>
      <w:divBdr>
        <w:top w:val="none" w:sz="0" w:space="0" w:color="auto"/>
        <w:left w:val="none" w:sz="0" w:space="0" w:color="auto"/>
        <w:bottom w:val="none" w:sz="0" w:space="0" w:color="auto"/>
        <w:right w:val="none" w:sz="0" w:space="0" w:color="auto"/>
      </w:divBdr>
    </w:div>
    <w:div w:id="2081757130">
      <w:bodyDiv w:val="1"/>
      <w:marLeft w:val="0"/>
      <w:marRight w:val="0"/>
      <w:marTop w:val="0"/>
      <w:marBottom w:val="0"/>
      <w:divBdr>
        <w:top w:val="none" w:sz="0" w:space="0" w:color="auto"/>
        <w:left w:val="none" w:sz="0" w:space="0" w:color="auto"/>
        <w:bottom w:val="none" w:sz="0" w:space="0" w:color="auto"/>
        <w:right w:val="none" w:sz="0" w:space="0" w:color="auto"/>
      </w:divBdr>
    </w:div>
    <w:div w:id="2082479420">
      <w:bodyDiv w:val="1"/>
      <w:marLeft w:val="0"/>
      <w:marRight w:val="0"/>
      <w:marTop w:val="0"/>
      <w:marBottom w:val="0"/>
      <w:divBdr>
        <w:top w:val="none" w:sz="0" w:space="0" w:color="auto"/>
        <w:left w:val="none" w:sz="0" w:space="0" w:color="auto"/>
        <w:bottom w:val="none" w:sz="0" w:space="0" w:color="auto"/>
        <w:right w:val="none" w:sz="0" w:space="0" w:color="auto"/>
      </w:divBdr>
    </w:div>
    <w:div w:id="2084640038">
      <w:bodyDiv w:val="1"/>
      <w:marLeft w:val="0"/>
      <w:marRight w:val="0"/>
      <w:marTop w:val="0"/>
      <w:marBottom w:val="0"/>
      <w:divBdr>
        <w:top w:val="none" w:sz="0" w:space="0" w:color="auto"/>
        <w:left w:val="none" w:sz="0" w:space="0" w:color="auto"/>
        <w:bottom w:val="none" w:sz="0" w:space="0" w:color="auto"/>
        <w:right w:val="none" w:sz="0" w:space="0" w:color="auto"/>
      </w:divBdr>
    </w:div>
    <w:div w:id="2086563285">
      <w:bodyDiv w:val="1"/>
      <w:marLeft w:val="0"/>
      <w:marRight w:val="0"/>
      <w:marTop w:val="0"/>
      <w:marBottom w:val="0"/>
      <w:divBdr>
        <w:top w:val="none" w:sz="0" w:space="0" w:color="auto"/>
        <w:left w:val="none" w:sz="0" w:space="0" w:color="auto"/>
        <w:bottom w:val="none" w:sz="0" w:space="0" w:color="auto"/>
        <w:right w:val="none" w:sz="0" w:space="0" w:color="auto"/>
      </w:divBdr>
    </w:div>
    <w:div w:id="2088647860">
      <w:bodyDiv w:val="1"/>
      <w:marLeft w:val="0"/>
      <w:marRight w:val="0"/>
      <w:marTop w:val="0"/>
      <w:marBottom w:val="0"/>
      <w:divBdr>
        <w:top w:val="none" w:sz="0" w:space="0" w:color="auto"/>
        <w:left w:val="none" w:sz="0" w:space="0" w:color="auto"/>
        <w:bottom w:val="none" w:sz="0" w:space="0" w:color="auto"/>
        <w:right w:val="none" w:sz="0" w:space="0" w:color="auto"/>
      </w:divBdr>
    </w:div>
    <w:div w:id="2088844982">
      <w:bodyDiv w:val="1"/>
      <w:marLeft w:val="0"/>
      <w:marRight w:val="0"/>
      <w:marTop w:val="0"/>
      <w:marBottom w:val="0"/>
      <w:divBdr>
        <w:top w:val="none" w:sz="0" w:space="0" w:color="auto"/>
        <w:left w:val="none" w:sz="0" w:space="0" w:color="auto"/>
        <w:bottom w:val="none" w:sz="0" w:space="0" w:color="auto"/>
        <w:right w:val="none" w:sz="0" w:space="0" w:color="auto"/>
      </w:divBdr>
    </w:div>
    <w:div w:id="2093117032">
      <w:bodyDiv w:val="1"/>
      <w:marLeft w:val="0"/>
      <w:marRight w:val="0"/>
      <w:marTop w:val="0"/>
      <w:marBottom w:val="0"/>
      <w:divBdr>
        <w:top w:val="none" w:sz="0" w:space="0" w:color="auto"/>
        <w:left w:val="none" w:sz="0" w:space="0" w:color="auto"/>
        <w:bottom w:val="none" w:sz="0" w:space="0" w:color="auto"/>
        <w:right w:val="none" w:sz="0" w:space="0" w:color="auto"/>
      </w:divBdr>
    </w:div>
    <w:div w:id="2095011593">
      <w:bodyDiv w:val="1"/>
      <w:marLeft w:val="0"/>
      <w:marRight w:val="0"/>
      <w:marTop w:val="0"/>
      <w:marBottom w:val="0"/>
      <w:divBdr>
        <w:top w:val="none" w:sz="0" w:space="0" w:color="auto"/>
        <w:left w:val="none" w:sz="0" w:space="0" w:color="auto"/>
        <w:bottom w:val="none" w:sz="0" w:space="0" w:color="auto"/>
        <w:right w:val="none" w:sz="0" w:space="0" w:color="auto"/>
      </w:divBdr>
    </w:div>
    <w:div w:id="2095203863">
      <w:bodyDiv w:val="1"/>
      <w:marLeft w:val="0"/>
      <w:marRight w:val="0"/>
      <w:marTop w:val="0"/>
      <w:marBottom w:val="0"/>
      <w:divBdr>
        <w:top w:val="none" w:sz="0" w:space="0" w:color="auto"/>
        <w:left w:val="none" w:sz="0" w:space="0" w:color="auto"/>
        <w:bottom w:val="none" w:sz="0" w:space="0" w:color="auto"/>
        <w:right w:val="none" w:sz="0" w:space="0" w:color="auto"/>
      </w:divBdr>
    </w:div>
    <w:div w:id="209723832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7604757">
      <w:bodyDiv w:val="1"/>
      <w:marLeft w:val="0"/>
      <w:marRight w:val="0"/>
      <w:marTop w:val="0"/>
      <w:marBottom w:val="0"/>
      <w:divBdr>
        <w:top w:val="none" w:sz="0" w:space="0" w:color="auto"/>
        <w:left w:val="none" w:sz="0" w:space="0" w:color="auto"/>
        <w:bottom w:val="none" w:sz="0" w:space="0" w:color="auto"/>
        <w:right w:val="none" w:sz="0" w:space="0" w:color="auto"/>
      </w:divBdr>
    </w:div>
    <w:div w:id="2108846023">
      <w:bodyDiv w:val="1"/>
      <w:marLeft w:val="0"/>
      <w:marRight w:val="0"/>
      <w:marTop w:val="0"/>
      <w:marBottom w:val="0"/>
      <w:divBdr>
        <w:top w:val="none" w:sz="0" w:space="0" w:color="auto"/>
        <w:left w:val="none" w:sz="0" w:space="0" w:color="auto"/>
        <w:bottom w:val="none" w:sz="0" w:space="0" w:color="auto"/>
        <w:right w:val="none" w:sz="0" w:space="0" w:color="auto"/>
      </w:divBdr>
    </w:div>
    <w:div w:id="2109422799">
      <w:bodyDiv w:val="1"/>
      <w:marLeft w:val="0"/>
      <w:marRight w:val="0"/>
      <w:marTop w:val="0"/>
      <w:marBottom w:val="0"/>
      <w:divBdr>
        <w:top w:val="none" w:sz="0" w:space="0" w:color="auto"/>
        <w:left w:val="none" w:sz="0" w:space="0" w:color="auto"/>
        <w:bottom w:val="none" w:sz="0" w:space="0" w:color="auto"/>
        <w:right w:val="none" w:sz="0" w:space="0" w:color="auto"/>
      </w:divBdr>
    </w:div>
    <w:div w:id="2111581117">
      <w:bodyDiv w:val="1"/>
      <w:marLeft w:val="0"/>
      <w:marRight w:val="0"/>
      <w:marTop w:val="0"/>
      <w:marBottom w:val="0"/>
      <w:divBdr>
        <w:top w:val="none" w:sz="0" w:space="0" w:color="auto"/>
        <w:left w:val="none" w:sz="0" w:space="0" w:color="auto"/>
        <w:bottom w:val="none" w:sz="0" w:space="0" w:color="auto"/>
        <w:right w:val="none" w:sz="0" w:space="0" w:color="auto"/>
      </w:divBdr>
    </w:div>
    <w:div w:id="2115392296">
      <w:bodyDiv w:val="1"/>
      <w:marLeft w:val="0"/>
      <w:marRight w:val="0"/>
      <w:marTop w:val="0"/>
      <w:marBottom w:val="0"/>
      <w:divBdr>
        <w:top w:val="none" w:sz="0" w:space="0" w:color="auto"/>
        <w:left w:val="none" w:sz="0" w:space="0" w:color="auto"/>
        <w:bottom w:val="none" w:sz="0" w:space="0" w:color="auto"/>
        <w:right w:val="none" w:sz="0" w:space="0" w:color="auto"/>
      </w:divBdr>
    </w:div>
    <w:div w:id="2117628848">
      <w:bodyDiv w:val="1"/>
      <w:marLeft w:val="0"/>
      <w:marRight w:val="0"/>
      <w:marTop w:val="0"/>
      <w:marBottom w:val="0"/>
      <w:divBdr>
        <w:top w:val="none" w:sz="0" w:space="0" w:color="auto"/>
        <w:left w:val="none" w:sz="0" w:space="0" w:color="auto"/>
        <w:bottom w:val="none" w:sz="0" w:space="0" w:color="auto"/>
        <w:right w:val="none" w:sz="0" w:space="0" w:color="auto"/>
      </w:divBdr>
    </w:div>
    <w:div w:id="2117672053">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2916111">
      <w:bodyDiv w:val="1"/>
      <w:marLeft w:val="0"/>
      <w:marRight w:val="0"/>
      <w:marTop w:val="0"/>
      <w:marBottom w:val="0"/>
      <w:divBdr>
        <w:top w:val="none" w:sz="0" w:space="0" w:color="auto"/>
        <w:left w:val="none" w:sz="0" w:space="0" w:color="auto"/>
        <w:bottom w:val="none" w:sz="0" w:space="0" w:color="auto"/>
        <w:right w:val="none" w:sz="0" w:space="0" w:color="auto"/>
      </w:divBdr>
    </w:div>
    <w:div w:id="2129003107">
      <w:bodyDiv w:val="1"/>
      <w:marLeft w:val="0"/>
      <w:marRight w:val="0"/>
      <w:marTop w:val="0"/>
      <w:marBottom w:val="0"/>
      <w:divBdr>
        <w:top w:val="none" w:sz="0" w:space="0" w:color="auto"/>
        <w:left w:val="none" w:sz="0" w:space="0" w:color="auto"/>
        <w:bottom w:val="none" w:sz="0" w:space="0" w:color="auto"/>
        <w:right w:val="none" w:sz="0" w:space="0" w:color="auto"/>
      </w:divBdr>
    </w:div>
    <w:div w:id="2129229765">
      <w:bodyDiv w:val="1"/>
      <w:marLeft w:val="0"/>
      <w:marRight w:val="0"/>
      <w:marTop w:val="0"/>
      <w:marBottom w:val="0"/>
      <w:divBdr>
        <w:top w:val="none" w:sz="0" w:space="0" w:color="auto"/>
        <w:left w:val="none" w:sz="0" w:space="0" w:color="auto"/>
        <w:bottom w:val="none" w:sz="0" w:space="0" w:color="auto"/>
        <w:right w:val="none" w:sz="0" w:space="0" w:color="auto"/>
      </w:divBdr>
    </w:div>
    <w:div w:id="2130850588">
      <w:bodyDiv w:val="1"/>
      <w:marLeft w:val="0"/>
      <w:marRight w:val="0"/>
      <w:marTop w:val="0"/>
      <w:marBottom w:val="0"/>
      <w:divBdr>
        <w:top w:val="none" w:sz="0" w:space="0" w:color="auto"/>
        <w:left w:val="none" w:sz="0" w:space="0" w:color="auto"/>
        <w:bottom w:val="none" w:sz="0" w:space="0" w:color="auto"/>
        <w:right w:val="none" w:sz="0" w:space="0" w:color="auto"/>
      </w:divBdr>
    </w:div>
    <w:div w:id="2131590329">
      <w:bodyDiv w:val="1"/>
      <w:marLeft w:val="0"/>
      <w:marRight w:val="0"/>
      <w:marTop w:val="0"/>
      <w:marBottom w:val="0"/>
      <w:divBdr>
        <w:top w:val="none" w:sz="0" w:space="0" w:color="auto"/>
        <w:left w:val="none" w:sz="0" w:space="0" w:color="auto"/>
        <w:bottom w:val="none" w:sz="0" w:space="0" w:color="auto"/>
        <w:right w:val="none" w:sz="0" w:space="0" w:color="auto"/>
      </w:divBdr>
    </w:div>
    <w:div w:id="2132625855">
      <w:bodyDiv w:val="1"/>
      <w:marLeft w:val="0"/>
      <w:marRight w:val="0"/>
      <w:marTop w:val="0"/>
      <w:marBottom w:val="0"/>
      <w:divBdr>
        <w:top w:val="none" w:sz="0" w:space="0" w:color="auto"/>
        <w:left w:val="none" w:sz="0" w:space="0" w:color="auto"/>
        <w:bottom w:val="none" w:sz="0" w:space="0" w:color="auto"/>
        <w:right w:val="none" w:sz="0" w:space="0" w:color="auto"/>
      </w:divBdr>
    </w:div>
    <w:div w:id="2134670670">
      <w:bodyDiv w:val="1"/>
      <w:marLeft w:val="0"/>
      <w:marRight w:val="0"/>
      <w:marTop w:val="0"/>
      <w:marBottom w:val="0"/>
      <w:divBdr>
        <w:top w:val="none" w:sz="0" w:space="0" w:color="auto"/>
        <w:left w:val="none" w:sz="0" w:space="0" w:color="auto"/>
        <w:bottom w:val="none" w:sz="0" w:space="0" w:color="auto"/>
        <w:right w:val="none" w:sz="0" w:space="0" w:color="auto"/>
      </w:divBdr>
    </w:div>
    <w:div w:id="2134864880">
      <w:bodyDiv w:val="1"/>
      <w:marLeft w:val="0"/>
      <w:marRight w:val="0"/>
      <w:marTop w:val="0"/>
      <w:marBottom w:val="0"/>
      <w:divBdr>
        <w:top w:val="none" w:sz="0" w:space="0" w:color="auto"/>
        <w:left w:val="none" w:sz="0" w:space="0" w:color="auto"/>
        <w:bottom w:val="none" w:sz="0" w:space="0" w:color="auto"/>
        <w:right w:val="none" w:sz="0" w:space="0" w:color="auto"/>
      </w:divBdr>
    </w:div>
    <w:div w:id="2135097848">
      <w:bodyDiv w:val="1"/>
      <w:marLeft w:val="0"/>
      <w:marRight w:val="0"/>
      <w:marTop w:val="0"/>
      <w:marBottom w:val="0"/>
      <w:divBdr>
        <w:top w:val="none" w:sz="0" w:space="0" w:color="auto"/>
        <w:left w:val="none" w:sz="0" w:space="0" w:color="auto"/>
        <w:bottom w:val="none" w:sz="0" w:space="0" w:color="auto"/>
        <w:right w:val="none" w:sz="0" w:space="0" w:color="auto"/>
      </w:divBdr>
    </w:div>
    <w:div w:id="213544283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028285">
      <w:bodyDiv w:val="1"/>
      <w:marLeft w:val="0"/>
      <w:marRight w:val="0"/>
      <w:marTop w:val="0"/>
      <w:marBottom w:val="0"/>
      <w:divBdr>
        <w:top w:val="none" w:sz="0" w:space="0" w:color="auto"/>
        <w:left w:val="none" w:sz="0" w:space="0" w:color="auto"/>
        <w:bottom w:val="none" w:sz="0" w:space="0" w:color="auto"/>
        <w:right w:val="none" w:sz="0" w:space="0" w:color="auto"/>
      </w:divBdr>
    </w:div>
    <w:div w:id="2145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5.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chart" Target="charts/chart1.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image" Target="media/image41.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6.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93278159326079"/>
          <c:y val="0.10610056095929211"/>
          <c:w val="0.859597331583554"/>
          <c:h val="0.79155905511811064"/>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layout>
                <c:manualLayout>
                  <c:x val="0"/>
                  <c:y val="2.72158921311306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B8-43F7-88E5-C766E60404F6}"/>
                </c:ext>
              </c:extLst>
            </c:dLbl>
            <c:dLbl>
              <c:idx val="1"/>
              <c:layout>
                <c:manualLayout>
                  <c:x val="0"/>
                  <c:y val="2.60655653337450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B8-43F7-88E5-C766E60404F6}"/>
                </c:ext>
              </c:extLst>
            </c:dLbl>
            <c:dLbl>
              <c:idx val="2"/>
              <c:layout>
                <c:manualLayout>
                  <c:x val="0"/>
                  <c:y val="2.6065565333744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B8-43F7-88E5-C766E60404F6}"/>
                </c:ext>
              </c:extLst>
            </c:dLbl>
            <c:dLbl>
              <c:idx val="3"/>
              <c:layout>
                <c:manualLayout>
                  <c:x val="-7.9737231788321808E-17"/>
                  <c:y val="2.60655653337450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B8-43F7-88E5-C766E60404F6}"/>
                </c:ext>
              </c:extLst>
            </c:dLbl>
            <c:dLbl>
              <c:idx val="4"/>
              <c:layout>
                <c:manualLayout>
                  <c:x val="0"/>
                  <c:y val="2.60655653337450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FB8-43F7-88E5-C766E60404F6}"/>
                </c:ext>
              </c:extLst>
            </c:dLbl>
            <c:dLbl>
              <c:idx val="5"/>
              <c:layout>
                <c:manualLayout>
                  <c:x val="-7.9737231788321808E-17"/>
                  <c:y val="5.15053265400648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B8-43F7-88E5-C766E60404F6}"/>
                </c:ext>
              </c:extLst>
            </c:dLbl>
            <c:dLbl>
              <c:idx val="6"/>
              <c:layout>
                <c:manualLayout>
                  <c:x val="-2.1746768978080752E-3"/>
                  <c:y val="1.5608048993875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B8-43F7-88E5-C766E60404F6}"/>
                </c:ext>
              </c:extLst>
            </c:dLbl>
            <c:dLbl>
              <c:idx val="7"/>
              <c:layout>
                <c:manualLayout>
                  <c:x val="-1.5947446357664302E-16"/>
                  <c:y val="2.606556533374504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B8-43F7-88E5-C766E60404F6}"/>
                </c:ext>
              </c:extLst>
            </c:dLbl>
            <c:dLbl>
              <c:idx val="8"/>
              <c:layout>
                <c:manualLayout>
                  <c:x val="0"/>
                  <c:y val="2.6065565333744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B8-43F7-88E5-C766E60404F6}"/>
                </c:ext>
              </c:extLst>
            </c:dLbl>
            <c:dLbl>
              <c:idx val="9"/>
              <c:layout>
                <c:manualLayout>
                  <c:x val="0"/>
                  <c:y val="2.6065565333744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FB8-43F7-88E5-C766E60404F6}"/>
                </c:ext>
              </c:extLst>
            </c:dLbl>
            <c:dLbl>
              <c:idx val="10"/>
              <c:layout>
                <c:manualLayout>
                  <c:x val="-1.5947446357664302E-16"/>
                  <c:y val="2.60655653337449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FB8-43F7-88E5-C766E60404F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'wykresy 1,3-5'!$I$15:$T$15</c:f>
              <c:strCache>
                <c:ptCount val="11"/>
                <c:pt idx="0">
                  <c:v>2011</c:v>
                </c:pt>
                <c:pt idx="1">
                  <c:v>2012</c:v>
                </c:pt>
                <c:pt idx="2">
                  <c:v>2013</c:v>
                </c:pt>
                <c:pt idx="3">
                  <c:v>2014</c:v>
                </c:pt>
                <c:pt idx="4">
                  <c:v>2015</c:v>
                </c:pt>
                <c:pt idx="5">
                  <c:v>2016</c:v>
                </c:pt>
                <c:pt idx="6">
                  <c:v>2017</c:v>
                </c:pt>
                <c:pt idx="7">
                  <c:v>2018</c:v>
                </c:pt>
                <c:pt idx="8">
                  <c:v>2019</c:v>
                </c:pt>
                <c:pt idx="9">
                  <c:v>2020</c:v>
                </c:pt>
                <c:pt idx="10">
                  <c:v>III kw 2021</c:v>
                </c:pt>
              </c:strCache>
              <c:extLst/>
            </c:strRef>
          </c:cat>
          <c:val>
            <c:numRef>
              <c:f>'wykresy 1,3-5'!$I$16:$T$16</c:f>
              <c:numCache>
                <c:formatCode>_-* #\ ##0\ _z_ł_-;\-* #\ ##0\ _z_ł_-;_-* "-"??\ _z_ł_-;_-@_-</c:formatCode>
                <c:ptCount val="11"/>
                <c:pt idx="0">
                  <c:v>5966430197</c:v>
                </c:pt>
                <c:pt idx="1">
                  <c:v>5695542324</c:v>
                </c:pt>
                <c:pt idx="2">
                  <c:v>5925200031.4799881</c:v>
                </c:pt>
                <c:pt idx="3">
                  <c:v>6037695386.2399883</c:v>
                </c:pt>
                <c:pt idx="4">
                  <c:v>5858189151.1499996</c:v>
                </c:pt>
                <c:pt idx="5">
                  <c:v>5677258765.0200014</c:v>
                </c:pt>
                <c:pt idx="6">
                  <c:v>5126282469.29</c:v>
                </c:pt>
                <c:pt idx="7">
                  <c:v>4569251864.79</c:v>
                </c:pt>
                <c:pt idx="8">
                  <c:v>3895705252.7399998</c:v>
                </c:pt>
                <c:pt idx="9" formatCode="#,##0">
                  <c:v>5652807854.1499996</c:v>
                </c:pt>
                <c:pt idx="10" formatCode="#,##0">
                  <c:v>5299923036.7700005</c:v>
                </c:pt>
              </c:numCache>
              <c:extLst/>
            </c:numRef>
          </c:val>
          <c:extLst>
            <c:ext xmlns:c16="http://schemas.microsoft.com/office/drawing/2014/chart" uri="{C3380CC4-5D6E-409C-BE32-E72D297353CC}">
              <c16:uniqueId val="{0000000B-8FB8-43F7-88E5-C766E60404F6}"/>
            </c:ext>
          </c:extLst>
        </c:ser>
        <c:dLbls>
          <c:showLegendKey val="0"/>
          <c:showVal val="1"/>
          <c:showCatName val="0"/>
          <c:showSerName val="0"/>
          <c:showPercent val="0"/>
          <c:showBubbleSize val="0"/>
        </c:dLbls>
        <c:gapWidth val="100"/>
        <c:overlap val="-24"/>
        <c:axId val="95903104"/>
        <c:axId val="95929472"/>
      </c:barChart>
      <c:catAx>
        <c:axId val="95903104"/>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l-PL"/>
          </a:p>
        </c:txPr>
        <c:crossAx val="95929472"/>
        <c:crosses val="autoZero"/>
        <c:auto val="1"/>
        <c:lblAlgn val="ctr"/>
        <c:lblOffset val="100"/>
        <c:noMultiLvlLbl val="0"/>
      </c:catAx>
      <c:valAx>
        <c:axId val="95929472"/>
        <c:scaling>
          <c:orientation val="minMax"/>
        </c:scaling>
        <c:delete val="0"/>
        <c:axPos val="l"/>
        <c:majorGridlines>
          <c:spPr>
            <a:ln w="9525" cap="flat" cmpd="sng" algn="ctr">
              <a:solidFill>
                <a:schemeClr val="tx2">
                  <a:lumMod val="15000"/>
                  <a:lumOff val="85000"/>
                </a:schemeClr>
              </a:solidFill>
              <a:round/>
            </a:ln>
            <a:effectLst/>
          </c:spPr>
        </c:majorGridlines>
        <c:numFmt formatCode="#,##0;#,##0;&quot;&quot;"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l-PL"/>
          </a:p>
        </c:txPr>
        <c:crossAx val="95903104"/>
        <c:crosses val="autoZero"/>
        <c:crossBetween val="between"/>
        <c:majorUnit val="1000000000"/>
        <c:dispUnits>
          <c:builtInUnit val="millions"/>
          <c:dispUnitsLbl>
            <c:layout>
              <c:manualLayout>
                <c:xMode val="edge"/>
                <c:yMode val="edge"/>
                <c:x val="1.6165161677483175E-2"/>
                <c:y val="9.083279471912193E-3"/>
              </c:manualLayout>
            </c:layout>
            <c:tx>
              <c:rich>
                <a:bodyPr rot="0" spcFirstLastPara="1" vertOverflow="ellipsis" wrap="square" anchor="ctr" anchorCtr="1"/>
                <a:lstStyle/>
                <a:p>
                  <a:pPr>
                    <a:defRPr sz="900" b="1" i="0" u="none" strike="noStrike" kern="1200" baseline="0">
                      <a:solidFill>
                        <a:sysClr val="windowText" lastClr="000000"/>
                      </a:solidFill>
                      <a:latin typeface="+mn-lt"/>
                      <a:ea typeface="+mn-ea"/>
                      <a:cs typeface="+mn-cs"/>
                    </a:defRPr>
                  </a:pPr>
                  <a:r>
                    <a:rPr lang="pl-PL">
                      <a:solidFill>
                        <a:sysClr val="windowText" lastClr="000000"/>
                      </a:solidFill>
                    </a:rPr>
                    <a:t>mln PLN </a:t>
                  </a:r>
                </a:p>
              </c:rich>
            </c:tx>
            <c:spPr>
              <a:noFill/>
              <a:ln>
                <a:noFill/>
              </a:ln>
              <a:effectLst/>
            </c:spPr>
          </c:dispUnitsLbl>
        </c:dispUnits>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'wykresy 1,3-5'!$A$96</c:f>
              <c:strCache>
                <c:ptCount val="1"/>
                <c:pt idx="0">
                  <c:v>Limit obsługi długu (art. 243 ufp) z uwzględnieniem ustawowych wyłączeń </c:v>
                </c:pt>
              </c:strCache>
            </c:strRef>
          </c:tx>
          <c:spPr>
            <a:ln w="38100">
              <a:solidFill>
                <a:srgbClr val="FF0000"/>
              </a:solidFill>
              <a:prstDash val="sysDash"/>
            </a:ln>
          </c:spPr>
          <c:marker>
            <c:symbol val="none"/>
          </c:marker>
          <c:cat>
            <c:numRef>
              <c:f>'wykresy 1,3-5'!$D$95:$M$95</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'wykresy 1,3-5'!$D$96:$M$96</c:f>
              <c:numCache>
                <c:formatCode>0.00%</c:formatCode>
                <c:ptCount val="10"/>
                <c:pt idx="0">
                  <c:v>8.1799999999999998E-2</c:v>
                </c:pt>
                <c:pt idx="1">
                  <c:v>0.1065</c:v>
                </c:pt>
                <c:pt idx="2">
                  <c:v>8.2799999999999999E-2</c:v>
                </c:pt>
                <c:pt idx="3">
                  <c:v>6.7199999999999996E-2</c:v>
                </c:pt>
                <c:pt idx="4">
                  <c:v>5.74E-2</c:v>
                </c:pt>
                <c:pt idx="5">
                  <c:v>3.7199999999999997E-2</c:v>
                </c:pt>
                <c:pt idx="6">
                  <c:v>3.73E-2</c:v>
                </c:pt>
                <c:pt idx="7">
                  <c:v>5.11E-2</c:v>
                </c:pt>
                <c:pt idx="8">
                  <c:v>6.5699999999999995E-2</c:v>
                </c:pt>
                <c:pt idx="9">
                  <c:v>8.14E-2</c:v>
                </c:pt>
              </c:numCache>
            </c:numRef>
          </c:val>
          <c:smooth val="0"/>
          <c:extLst>
            <c:ext xmlns:c16="http://schemas.microsoft.com/office/drawing/2014/chart" uri="{C3380CC4-5D6E-409C-BE32-E72D297353CC}">
              <c16:uniqueId val="{00000000-CBA0-457B-84CD-5CD74245618C}"/>
            </c:ext>
          </c:extLst>
        </c:ser>
        <c:ser>
          <c:idx val="1"/>
          <c:order val="1"/>
          <c:tx>
            <c:strRef>
              <c:f>'wykresy 1,3-5'!$A$97</c:f>
              <c:strCache>
                <c:ptCount val="1"/>
                <c:pt idx="0">
                  <c:v>Wskaźnik obsługi długu z uwzględnieniem ustawowych wyłączeń </c:v>
                </c:pt>
              </c:strCache>
            </c:strRef>
          </c:tx>
          <c:spPr>
            <a:ln w="38100">
              <a:solidFill>
                <a:schemeClr val="tx2">
                  <a:lumMod val="75000"/>
                </a:schemeClr>
              </a:solidFill>
            </a:ln>
          </c:spPr>
          <c:marker>
            <c:symbol val="none"/>
          </c:marker>
          <c:cat>
            <c:numRef>
              <c:f>'wykresy 1,3-5'!$D$95:$M$95</c:f>
              <c:numCache>
                <c:formatCode>General</c:formatCode>
                <c:ptCount val="10"/>
                <c:pt idx="0">
                  <c:v>2021</c:v>
                </c:pt>
                <c:pt idx="1">
                  <c:v>2022</c:v>
                </c:pt>
                <c:pt idx="2">
                  <c:v>2023</c:v>
                </c:pt>
                <c:pt idx="3">
                  <c:v>2024</c:v>
                </c:pt>
                <c:pt idx="4">
                  <c:v>2025</c:v>
                </c:pt>
                <c:pt idx="5">
                  <c:v>2026</c:v>
                </c:pt>
                <c:pt idx="6">
                  <c:v>2027</c:v>
                </c:pt>
                <c:pt idx="7">
                  <c:v>2028</c:v>
                </c:pt>
                <c:pt idx="8">
                  <c:v>2029</c:v>
                </c:pt>
                <c:pt idx="9">
                  <c:v>2030</c:v>
                </c:pt>
              </c:numCache>
            </c:numRef>
          </c:cat>
          <c:val>
            <c:numRef>
              <c:f>'wykresy 1,3-5'!$D$97:$M$97</c:f>
              <c:numCache>
                <c:formatCode>0.00%</c:formatCode>
                <c:ptCount val="10"/>
                <c:pt idx="0">
                  <c:v>3.4700000000000002E-2</c:v>
                </c:pt>
                <c:pt idx="1">
                  <c:v>4.1599999999999998E-2</c:v>
                </c:pt>
                <c:pt idx="2">
                  <c:v>2.29E-2</c:v>
                </c:pt>
                <c:pt idx="3">
                  <c:v>2.5399999999999999E-2</c:v>
                </c:pt>
                <c:pt idx="4">
                  <c:v>3.5400000000000001E-2</c:v>
                </c:pt>
                <c:pt idx="5">
                  <c:v>3.0200000000000001E-2</c:v>
                </c:pt>
                <c:pt idx="6">
                  <c:v>3.4799999999999998E-2</c:v>
                </c:pt>
                <c:pt idx="7">
                  <c:v>4.1399999999999999E-2</c:v>
                </c:pt>
                <c:pt idx="8">
                  <c:v>3.9E-2</c:v>
                </c:pt>
                <c:pt idx="9">
                  <c:v>4.2500000000000003E-2</c:v>
                </c:pt>
              </c:numCache>
            </c:numRef>
          </c:val>
          <c:smooth val="0"/>
          <c:extLst>
            <c:ext xmlns:c16="http://schemas.microsoft.com/office/drawing/2014/chart" uri="{C3380CC4-5D6E-409C-BE32-E72D297353CC}">
              <c16:uniqueId val="{00000001-CBA0-457B-84CD-5CD74245618C}"/>
            </c:ext>
          </c:extLst>
        </c:ser>
        <c:dLbls>
          <c:showLegendKey val="0"/>
          <c:showVal val="0"/>
          <c:showCatName val="0"/>
          <c:showSerName val="0"/>
          <c:showPercent val="0"/>
          <c:showBubbleSize val="0"/>
        </c:dLbls>
        <c:smooth val="0"/>
        <c:axId val="79583104"/>
        <c:axId val="79584640"/>
      </c:lineChart>
      <c:catAx>
        <c:axId val="79583104"/>
        <c:scaling>
          <c:orientation val="minMax"/>
        </c:scaling>
        <c:delete val="0"/>
        <c:axPos val="b"/>
        <c:numFmt formatCode="General" sourceLinked="1"/>
        <c:majorTickMark val="out"/>
        <c:minorTickMark val="none"/>
        <c:tickLblPos val="nextTo"/>
        <c:txPr>
          <a:bodyPr rot="-5400000" vert="horz"/>
          <a:lstStyle/>
          <a:p>
            <a:pPr>
              <a:defRPr/>
            </a:pPr>
            <a:endParaRPr lang="pl-PL"/>
          </a:p>
        </c:txPr>
        <c:crossAx val="79584640"/>
        <c:crosses val="autoZero"/>
        <c:auto val="1"/>
        <c:lblAlgn val="ctr"/>
        <c:lblOffset val="100"/>
        <c:noMultiLvlLbl val="0"/>
      </c:catAx>
      <c:valAx>
        <c:axId val="79584640"/>
        <c:scaling>
          <c:orientation val="minMax"/>
        </c:scaling>
        <c:delete val="0"/>
        <c:axPos val="l"/>
        <c:majorGridlines/>
        <c:numFmt formatCode="0%" sourceLinked="0"/>
        <c:majorTickMark val="out"/>
        <c:minorTickMark val="none"/>
        <c:tickLblPos val="nextTo"/>
        <c:crossAx val="795831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0C9A-7779-4273-9A55-BD56FE44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3379</TotalTime>
  <Pages>85</Pages>
  <Words>26495</Words>
  <Characters>158973</Characters>
  <Application>Microsoft Office Word</Application>
  <DocSecurity>0</DocSecurity>
  <Lines>1324</Lines>
  <Paragraphs>370</Paragraphs>
  <ScaleCrop>false</ScaleCrop>
  <HeadingPairs>
    <vt:vector size="2" baseType="variant">
      <vt:variant>
        <vt:lpstr>Tytuł</vt:lpstr>
      </vt:variant>
      <vt:variant>
        <vt:i4>1</vt:i4>
      </vt:variant>
    </vt:vector>
  </HeadingPairs>
  <TitlesOfParts>
    <vt:vector size="1" baseType="lpstr">
      <vt:lpstr>WPF 2022-2050 cz. I</vt:lpstr>
    </vt:vector>
  </TitlesOfParts>
  <Company>UMSTW</Company>
  <LinksUpToDate>false</LinksUpToDate>
  <CharactersWithSpaces>185098</CharactersWithSpaces>
  <SharedDoc>false</SharedDoc>
  <HLinks>
    <vt:vector size="948" baseType="variant">
      <vt:variant>
        <vt:i4>4522071</vt:i4>
      </vt:variant>
      <vt:variant>
        <vt:i4>948</vt:i4>
      </vt:variant>
      <vt:variant>
        <vt:i4>0</vt:i4>
      </vt:variant>
      <vt:variant>
        <vt:i4>5</vt:i4>
      </vt:variant>
      <vt:variant>
        <vt:lpwstr>http://www.mf.gov.pl/</vt:lpwstr>
      </vt:variant>
      <vt:variant>
        <vt:lpwstr/>
      </vt:variant>
      <vt:variant>
        <vt:i4>1048633</vt:i4>
      </vt:variant>
      <vt:variant>
        <vt:i4>938</vt:i4>
      </vt:variant>
      <vt:variant>
        <vt:i4>0</vt:i4>
      </vt:variant>
      <vt:variant>
        <vt:i4>5</vt:i4>
      </vt:variant>
      <vt:variant>
        <vt:lpwstr/>
      </vt:variant>
      <vt:variant>
        <vt:lpwstr>_Toc528331771</vt:lpwstr>
      </vt:variant>
      <vt:variant>
        <vt:i4>1048633</vt:i4>
      </vt:variant>
      <vt:variant>
        <vt:i4>932</vt:i4>
      </vt:variant>
      <vt:variant>
        <vt:i4>0</vt:i4>
      </vt:variant>
      <vt:variant>
        <vt:i4>5</vt:i4>
      </vt:variant>
      <vt:variant>
        <vt:lpwstr/>
      </vt:variant>
      <vt:variant>
        <vt:lpwstr>_Toc528331770</vt:lpwstr>
      </vt:variant>
      <vt:variant>
        <vt:i4>1114169</vt:i4>
      </vt:variant>
      <vt:variant>
        <vt:i4>926</vt:i4>
      </vt:variant>
      <vt:variant>
        <vt:i4>0</vt:i4>
      </vt:variant>
      <vt:variant>
        <vt:i4>5</vt:i4>
      </vt:variant>
      <vt:variant>
        <vt:lpwstr/>
      </vt:variant>
      <vt:variant>
        <vt:lpwstr>_Toc528331769</vt:lpwstr>
      </vt:variant>
      <vt:variant>
        <vt:i4>1114169</vt:i4>
      </vt:variant>
      <vt:variant>
        <vt:i4>920</vt:i4>
      </vt:variant>
      <vt:variant>
        <vt:i4>0</vt:i4>
      </vt:variant>
      <vt:variant>
        <vt:i4>5</vt:i4>
      </vt:variant>
      <vt:variant>
        <vt:lpwstr/>
      </vt:variant>
      <vt:variant>
        <vt:lpwstr>_Toc528331768</vt:lpwstr>
      </vt:variant>
      <vt:variant>
        <vt:i4>1114169</vt:i4>
      </vt:variant>
      <vt:variant>
        <vt:i4>914</vt:i4>
      </vt:variant>
      <vt:variant>
        <vt:i4>0</vt:i4>
      </vt:variant>
      <vt:variant>
        <vt:i4>5</vt:i4>
      </vt:variant>
      <vt:variant>
        <vt:lpwstr/>
      </vt:variant>
      <vt:variant>
        <vt:lpwstr>_Toc528331767</vt:lpwstr>
      </vt:variant>
      <vt:variant>
        <vt:i4>1114169</vt:i4>
      </vt:variant>
      <vt:variant>
        <vt:i4>908</vt:i4>
      </vt:variant>
      <vt:variant>
        <vt:i4>0</vt:i4>
      </vt:variant>
      <vt:variant>
        <vt:i4>5</vt:i4>
      </vt:variant>
      <vt:variant>
        <vt:lpwstr/>
      </vt:variant>
      <vt:variant>
        <vt:lpwstr>_Toc528331766</vt:lpwstr>
      </vt:variant>
      <vt:variant>
        <vt:i4>1114169</vt:i4>
      </vt:variant>
      <vt:variant>
        <vt:i4>902</vt:i4>
      </vt:variant>
      <vt:variant>
        <vt:i4>0</vt:i4>
      </vt:variant>
      <vt:variant>
        <vt:i4>5</vt:i4>
      </vt:variant>
      <vt:variant>
        <vt:lpwstr/>
      </vt:variant>
      <vt:variant>
        <vt:lpwstr>_Toc528331765</vt:lpwstr>
      </vt:variant>
      <vt:variant>
        <vt:i4>1114169</vt:i4>
      </vt:variant>
      <vt:variant>
        <vt:i4>896</vt:i4>
      </vt:variant>
      <vt:variant>
        <vt:i4>0</vt:i4>
      </vt:variant>
      <vt:variant>
        <vt:i4>5</vt:i4>
      </vt:variant>
      <vt:variant>
        <vt:lpwstr/>
      </vt:variant>
      <vt:variant>
        <vt:lpwstr>_Toc528331764</vt:lpwstr>
      </vt:variant>
      <vt:variant>
        <vt:i4>1114169</vt:i4>
      </vt:variant>
      <vt:variant>
        <vt:i4>890</vt:i4>
      </vt:variant>
      <vt:variant>
        <vt:i4>0</vt:i4>
      </vt:variant>
      <vt:variant>
        <vt:i4>5</vt:i4>
      </vt:variant>
      <vt:variant>
        <vt:lpwstr/>
      </vt:variant>
      <vt:variant>
        <vt:lpwstr>_Toc528331763</vt:lpwstr>
      </vt:variant>
      <vt:variant>
        <vt:i4>1114169</vt:i4>
      </vt:variant>
      <vt:variant>
        <vt:i4>884</vt:i4>
      </vt:variant>
      <vt:variant>
        <vt:i4>0</vt:i4>
      </vt:variant>
      <vt:variant>
        <vt:i4>5</vt:i4>
      </vt:variant>
      <vt:variant>
        <vt:lpwstr/>
      </vt:variant>
      <vt:variant>
        <vt:lpwstr>_Toc528331762</vt:lpwstr>
      </vt:variant>
      <vt:variant>
        <vt:i4>1114169</vt:i4>
      </vt:variant>
      <vt:variant>
        <vt:i4>878</vt:i4>
      </vt:variant>
      <vt:variant>
        <vt:i4>0</vt:i4>
      </vt:variant>
      <vt:variant>
        <vt:i4>5</vt:i4>
      </vt:variant>
      <vt:variant>
        <vt:lpwstr/>
      </vt:variant>
      <vt:variant>
        <vt:lpwstr>_Toc528331761</vt:lpwstr>
      </vt:variant>
      <vt:variant>
        <vt:i4>1114169</vt:i4>
      </vt:variant>
      <vt:variant>
        <vt:i4>872</vt:i4>
      </vt:variant>
      <vt:variant>
        <vt:i4>0</vt:i4>
      </vt:variant>
      <vt:variant>
        <vt:i4>5</vt:i4>
      </vt:variant>
      <vt:variant>
        <vt:lpwstr/>
      </vt:variant>
      <vt:variant>
        <vt:lpwstr>_Toc528331760</vt:lpwstr>
      </vt:variant>
      <vt:variant>
        <vt:i4>1179705</vt:i4>
      </vt:variant>
      <vt:variant>
        <vt:i4>866</vt:i4>
      </vt:variant>
      <vt:variant>
        <vt:i4>0</vt:i4>
      </vt:variant>
      <vt:variant>
        <vt:i4>5</vt:i4>
      </vt:variant>
      <vt:variant>
        <vt:lpwstr/>
      </vt:variant>
      <vt:variant>
        <vt:lpwstr>_Toc528331759</vt:lpwstr>
      </vt:variant>
      <vt:variant>
        <vt:i4>1179705</vt:i4>
      </vt:variant>
      <vt:variant>
        <vt:i4>860</vt:i4>
      </vt:variant>
      <vt:variant>
        <vt:i4>0</vt:i4>
      </vt:variant>
      <vt:variant>
        <vt:i4>5</vt:i4>
      </vt:variant>
      <vt:variant>
        <vt:lpwstr/>
      </vt:variant>
      <vt:variant>
        <vt:lpwstr>_Toc528331758</vt:lpwstr>
      </vt:variant>
      <vt:variant>
        <vt:i4>1179705</vt:i4>
      </vt:variant>
      <vt:variant>
        <vt:i4>854</vt:i4>
      </vt:variant>
      <vt:variant>
        <vt:i4>0</vt:i4>
      </vt:variant>
      <vt:variant>
        <vt:i4>5</vt:i4>
      </vt:variant>
      <vt:variant>
        <vt:lpwstr/>
      </vt:variant>
      <vt:variant>
        <vt:lpwstr>_Toc528331757</vt:lpwstr>
      </vt:variant>
      <vt:variant>
        <vt:i4>1179705</vt:i4>
      </vt:variant>
      <vt:variant>
        <vt:i4>848</vt:i4>
      </vt:variant>
      <vt:variant>
        <vt:i4>0</vt:i4>
      </vt:variant>
      <vt:variant>
        <vt:i4>5</vt:i4>
      </vt:variant>
      <vt:variant>
        <vt:lpwstr/>
      </vt:variant>
      <vt:variant>
        <vt:lpwstr>_Toc528331756</vt:lpwstr>
      </vt:variant>
      <vt:variant>
        <vt:i4>1179705</vt:i4>
      </vt:variant>
      <vt:variant>
        <vt:i4>842</vt:i4>
      </vt:variant>
      <vt:variant>
        <vt:i4>0</vt:i4>
      </vt:variant>
      <vt:variant>
        <vt:i4>5</vt:i4>
      </vt:variant>
      <vt:variant>
        <vt:lpwstr/>
      </vt:variant>
      <vt:variant>
        <vt:lpwstr>_Toc528331755</vt:lpwstr>
      </vt:variant>
      <vt:variant>
        <vt:i4>1179705</vt:i4>
      </vt:variant>
      <vt:variant>
        <vt:i4>836</vt:i4>
      </vt:variant>
      <vt:variant>
        <vt:i4>0</vt:i4>
      </vt:variant>
      <vt:variant>
        <vt:i4>5</vt:i4>
      </vt:variant>
      <vt:variant>
        <vt:lpwstr/>
      </vt:variant>
      <vt:variant>
        <vt:lpwstr>_Toc528331754</vt:lpwstr>
      </vt:variant>
      <vt:variant>
        <vt:i4>1179705</vt:i4>
      </vt:variant>
      <vt:variant>
        <vt:i4>830</vt:i4>
      </vt:variant>
      <vt:variant>
        <vt:i4>0</vt:i4>
      </vt:variant>
      <vt:variant>
        <vt:i4>5</vt:i4>
      </vt:variant>
      <vt:variant>
        <vt:lpwstr/>
      </vt:variant>
      <vt:variant>
        <vt:lpwstr>_Toc528331753</vt:lpwstr>
      </vt:variant>
      <vt:variant>
        <vt:i4>1179705</vt:i4>
      </vt:variant>
      <vt:variant>
        <vt:i4>824</vt:i4>
      </vt:variant>
      <vt:variant>
        <vt:i4>0</vt:i4>
      </vt:variant>
      <vt:variant>
        <vt:i4>5</vt:i4>
      </vt:variant>
      <vt:variant>
        <vt:lpwstr/>
      </vt:variant>
      <vt:variant>
        <vt:lpwstr>_Toc528331752</vt:lpwstr>
      </vt:variant>
      <vt:variant>
        <vt:i4>1179705</vt:i4>
      </vt:variant>
      <vt:variant>
        <vt:i4>818</vt:i4>
      </vt:variant>
      <vt:variant>
        <vt:i4>0</vt:i4>
      </vt:variant>
      <vt:variant>
        <vt:i4>5</vt:i4>
      </vt:variant>
      <vt:variant>
        <vt:lpwstr/>
      </vt:variant>
      <vt:variant>
        <vt:lpwstr>_Toc528331751</vt:lpwstr>
      </vt:variant>
      <vt:variant>
        <vt:i4>1179705</vt:i4>
      </vt:variant>
      <vt:variant>
        <vt:i4>812</vt:i4>
      </vt:variant>
      <vt:variant>
        <vt:i4>0</vt:i4>
      </vt:variant>
      <vt:variant>
        <vt:i4>5</vt:i4>
      </vt:variant>
      <vt:variant>
        <vt:lpwstr/>
      </vt:variant>
      <vt:variant>
        <vt:lpwstr>_Toc528331750</vt:lpwstr>
      </vt:variant>
      <vt:variant>
        <vt:i4>1245241</vt:i4>
      </vt:variant>
      <vt:variant>
        <vt:i4>806</vt:i4>
      </vt:variant>
      <vt:variant>
        <vt:i4>0</vt:i4>
      </vt:variant>
      <vt:variant>
        <vt:i4>5</vt:i4>
      </vt:variant>
      <vt:variant>
        <vt:lpwstr/>
      </vt:variant>
      <vt:variant>
        <vt:lpwstr>_Toc528331749</vt:lpwstr>
      </vt:variant>
      <vt:variant>
        <vt:i4>1245241</vt:i4>
      </vt:variant>
      <vt:variant>
        <vt:i4>800</vt:i4>
      </vt:variant>
      <vt:variant>
        <vt:i4>0</vt:i4>
      </vt:variant>
      <vt:variant>
        <vt:i4>5</vt:i4>
      </vt:variant>
      <vt:variant>
        <vt:lpwstr/>
      </vt:variant>
      <vt:variant>
        <vt:lpwstr>_Toc528331748</vt:lpwstr>
      </vt:variant>
      <vt:variant>
        <vt:i4>1245241</vt:i4>
      </vt:variant>
      <vt:variant>
        <vt:i4>794</vt:i4>
      </vt:variant>
      <vt:variant>
        <vt:i4>0</vt:i4>
      </vt:variant>
      <vt:variant>
        <vt:i4>5</vt:i4>
      </vt:variant>
      <vt:variant>
        <vt:lpwstr/>
      </vt:variant>
      <vt:variant>
        <vt:lpwstr>_Toc528331747</vt:lpwstr>
      </vt:variant>
      <vt:variant>
        <vt:i4>1245241</vt:i4>
      </vt:variant>
      <vt:variant>
        <vt:i4>788</vt:i4>
      </vt:variant>
      <vt:variant>
        <vt:i4>0</vt:i4>
      </vt:variant>
      <vt:variant>
        <vt:i4>5</vt:i4>
      </vt:variant>
      <vt:variant>
        <vt:lpwstr/>
      </vt:variant>
      <vt:variant>
        <vt:lpwstr>_Toc528331746</vt:lpwstr>
      </vt:variant>
      <vt:variant>
        <vt:i4>1245241</vt:i4>
      </vt:variant>
      <vt:variant>
        <vt:i4>782</vt:i4>
      </vt:variant>
      <vt:variant>
        <vt:i4>0</vt:i4>
      </vt:variant>
      <vt:variant>
        <vt:i4>5</vt:i4>
      </vt:variant>
      <vt:variant>
        <vt:lpwstr/>
      </vt:variant>
      <vt:variant>
        <vt:lpwstr>_Toc528331745</vt:lpwstr>
      </vt:variant>
      <vt:variant>
        <vt:i4>1245241</vt:i4>
      </vt:variant>
      <vt:variant>
        <vt:i4>776</vt:i4>
      </vt:variant>
      <vt:variant>
        <vt:i4>0</vt:i4>
      </vt:variant>
      <vt:variant>
        <vt:i4>5</vt:i4>
      </vt:variant>
      <vt:variant>
        <vt:lpwstr/>
      </vt:variant>
      <vt:variant>
        <vt:lpwstr>_Toc528331744</vt:lpwstr>
      </vt:variant>
      <vt:variant>
        <vt:i4>1245241</vt:i4>
      </vt:variant>
      <vt:variant>
        <vt:i4>770</vt:i4>
      </vt:variant>
      <vt:variant>
        <vt:i4>0</vt:i4>
      </vt:variant>
      <vt:variant>
        <vt:i4>5</vt:i4>
      </vt:variant>
      <vt:variant>
        <vt:lpwstr/>
      </vt:variant>
      <vt:variant>
        <vt:lpwstr>_Toc528331743</vt:lpwstr>
      </vt:variant>
      <vt:variant>
        <vt:i4>1245241</vt:i4>
      </vt:variant>
      <vt:variant>
        <vt:i4>764</vt:i4>
      </vt:variant>
      <vt:variant>
        <vt:i4>0</vt:i4>
      </vt:variant>
      <vt:variant>
        <vt:i4>5</vt:i4>
      </vt:variant>
      <vt:variant>
        <vt:lpwstr/>
      </vt:variant>
      <vt:variant>
        <vt:lpwstr>_Toc528331742</vt:lpwstr>
      </vt:variant>
      <vt:variant>
        <vt:i4>1245241</vt:i4>
      </vt:variant>
      <vt:variant>
        <vt:i4>758</vt:i4>
      </vt:variant>
      <vt:variant>
        <vt:i4>0</vt:i4>
      </vt:variant>
      <vt:variant>
        <vt:i4>5</vt:i4>
      </vt:variant>
      <vt:variant>
        <vt:lpwstr/>
      </vt:variant>
      <vt:variant>
        <vt:lpwstr>_Toc528331741</vt:lpwstr>
      </vt:variant>
      <vt:variant>
        <vt:i4>1245241</vt:i4>
      </vt:variant>
      <vt:variant>
        <vt:i4>752</vt:i4>
      </vt:variant>
      <vt:variant>
        <vt:i4>0</vt:i4>
      </vt:variant>
      <vt:variant>
        <vt:i4>5</vt:i4>
      </vt:variant>
      <vt:variant>
        <vt:lpwstr/>
      </vt:variant>
      <vt:variant>
        <vt:lpwstr>_Toc528331740</vt:lpwstr>
      </vt:variant>
      <vt:variant>
        <vt:i4>1310777</vt:i4>
      </vt:variant>
      <vt:variant>
        <vt:i4>746</vt:i4>
      </vt:variant>
      <vt:variant>
        <vt:i4>0</vt:i4>
      </vt:variant>
      <vt:variant>
        <vt:i4>5</vt:i4>
      </vt:variant>
      <vt:variant>
        <vt:lpwstr/>
      </vt:variant>
      <vt:variant>
        <vt:lpwstr>_Toc528331739</vt:lpwstr>
      </vt:variant>
      <vt:variant>
        <vt:i4>1310777</vt:i4>
      </vt:variant>
      <vt:variant>
        <vt:i4>740</vt:i4>
      </vt:variant>
      <vt:variant>
        <vt:i4>0</vt:i4>
      </vt:variant>
      <vt:variant>
        <vt:i4>5</vt:i4>
      </vt:variant>
      <vt:variant>
        <vt:lpwstr/>
      </vt:variant>
      <vt:variant>
        <vt:lpwstr>_Toc528331738</vt:lpwstr>
      </vt:variant>
      <vt:variant>
        <vt:i4>1310777</vt:i4>
      </vt:variant>
      <vt:variant>
        <vt:i4>734</vt:i4>
      </vt:variant>
      <vt:variant>
        <vt:i4>0</vt:i4>
      </vt:variant>
      <vt:variant>
        <vt:i4>5</vt:i4>
      </vt:variant>
      <vt:variant>
        <vt:lpwstr/>
      </vt:variant>
      <vt:variant>
        <vt:lpwstr>_Toc528331737</vt:lpwstr>
      </vt:variant>
      <vt:variant>
        <vt:i4>1310777</vt:i4>
      </vt:variant>
      <vt:variant>
        <vt:i4>728</vt:i4>
      </vt:variant>
      <vt:variant>
        <vt:i4>0</vt:i4>
      </vt:variant>
      <vt:variant>
        <vt:i4>5</vt:i4>
      </vt:variant>
      <vt:variant>
        <vt:lpwstr/>
      </vt:variant>
      <vt:variant>
        <vt:lpwstr>_Toc528331736</vt:lpwstr>
      </vt:variant>
      <vt:variant>
        <vt:i4>1310777</vt:i4>
      </vt:variant>
      <vt:variant>
        <vt:i4>722</vt:i4>
      </vt:variant>
      <vt:variant>
        <vt:i4>0</vt:i4>
      </vt:variant>
      <vt:variant>
        <vt:i4>5</vt:i4>
      </vt:variant>
      <vt:variant>
        <vt:lpwstr/>
      </vt:variant>
      <vt:variant>
        <vt:lpwstr>_Toc528331735</vt:lpwstr>
      </vt:variant>
      <vt:variant>
        <vt:i4>1310777</vt:i4>
      </vt:variant>
      <vt:variant>
        <vt:i4>716</vt:i4>
      </vt:variant>
      <vt:variant>
        <vt:i4>0</vt:i4>
      </vt:variant>
      <vt:variant>
        <vt:i4>5</vt:i4>
      </vt:variant>
      <vt:variant>
        <vt:lpwstr/>
      </vt:variant>
      <vt:variant>
        <vt:lpwstr>_Toc528331734</vt:lpwstr>
      </vt:variant>
      <vt:variant>
        <vt:i4>1310777</vt:i4>
      </vt:variant>
      <vt:variant>
        <vt:i4>710</vt:i4>
      </vt:variant>
      <vt:variant>
        <vt:i4>0</vt:i4>
      </vt:variant>
      <vt:variant>
        <vt:i4>5</vt:i4>
      </vt:variant>
      <vt:variant>
        <vt:lpwstr/>
      </vt:variant>
      <vt:variant>
        <vt:lpwstr>_Toc528331733</vt:lpwstr>
      </vt:variant>
      <vt:variant>
        <vt:i4>1310777</vt:i4>
      </vt:variant>
      <vt:variant>
        <vt:i4>704</vt:i4>
      </vt:variant>
      <vt:variant>
        <vt:i4>0</vt:i4>
      </vt:variant>
      <vt:variant>
        <vt:i4>5</vt:i4>
      </vt:variant>
      <vt:variant>
        <vt:lpwstr/>
      </vt:variant>
      <vt:variant>
        <vt:lpwstr>_Toc528331732</vt:lpwstr>
      </vt:variant>
      <vt:variant>
        <vt:i4>1310777</vt:i4>
      </vt:variant>
      <vt:variant>
        <vt:i4>698</vt:i4>
      </vt:variant>
      <vt:variant>
        <vt:i4>0</vt:i4>
      </vt:variant>
      <vt:variant>
        <vt:i4>5</vt:i4>
      </vt:variant>
      <vt:variant>
        <vt:lpwstr/>
      </vt:variant>
      <vt:variant>
        <vt:lpwstr>_Toc528331731</vt:lpwstr>
      </vt:variant>
      <vt:variant>
        <vt:i4>1310777</vt:i4>
      </vt:variant>
      <vt:variant>
        <vt:i4>692</vt:i4>
      </vt:variant>
      <vt:variant>
        <vt:i4>0</vt:i4>
      </vt:variant>
      <vt:variant>
        <vt:i4>5</vt:i4>
      </vt:variant>
      <vt:variant>
        <vt:lpwstr/>
      </vt:variant>
      <vt:variant>
        <vt:lpwstr>_Toc528331730</vt:lpwstr>
      </vt:variant>
      <vt:variant>
        <vt:i4>1376313</vt:i4>
      </vt:variant>
      <vt:variant>
        <vt:i4>686</vt:i4>
      </vt:variant>
      <vt:variant>
        <vt:i4>0</vt:i4>
      </vt:variant>
      <vt:variant>
        <vt:i4>5</vt:i4>
      </vt:variant>
      <vt:variant>
        <vt:lpwstr/>
      </vt:variant>
      <vt:variant>
        <vt:lpwstr>_Toc528331729</vt:lpwstr>
      </vt:variant>
      <vt:variant>
        <vt:i4>1376313</vt:i4>
      </vt:variant>
      <vt:variant>
        <vt:i4>680</vt:i4>
      </vt:variant>
      <vt:variant>
        <vt:i4>0</vt:i4>
      </vt:variant>
      <vt:variant>
        <vt:i4>5</vt:i4>
      </vt:variant>
      <vt:variant>
        <vt:lpwstr/>
      </vt:variant>
      <vt:variant>
        <vt:lpwstr>_Toc528331728</vt:lpwstr>
      </vt:variant>
      <vt:variant>
        <vt:i4>1376313</vt:i4>
      </vt:variant>
      <vt:variant>
        <vt:i4>674</vt:i4>
      </vt:variant>
      <vt:variant>
        <vt:i4>0</vt:i4>
      </vt:variant>
      <vt:variant>
        <vt:i4>5</vt:i4>
      </vt:variant>
      <vt:variant>
        <vt:lpwstr/>
      </vt:variant>
      <vt:variant>
        <vt:lpwstr>_Toc528331727</vt:lpwstr>
      </vt:variant>
      <vt:variant>
        <vt:i4>1376313</vt:i4>
      </vt:variant>
      <vt:variant>
        <vt:i4>668</vt:i4>
      </vt:variant>
      <vt:variant>
        <vt:i4>0</vt:i4>
      </vt:variant>
      <vt:variant>
        <vt:i4>5</vt:i4>
      </vt:variant>
      <vt:variant>
        <vt:lpwstr/>
      </vt:variant>
      <vt:variant>
        <vt:lpwstr>_Toc528331726</vt:lpwstr>
      </vt:variant>
      <vt:variant>
        <vt:i4>1376313</vt:i4>
      </vt:variant>
      <vt:variant>
        <vt:i4>662</vt:i4>
      </vt:variant>
      <vt:variant>
        <vt:i4>0</vt:i4>
      </vt:variant>
      <vt:variant>
        <vt:i4>5</vt:i4>
      </vt:variant>
      <vt:variant>
        <vt:lpwstr/>
      </vt:variant>
      <vt:variant>
        <vt:lpwstr>_Toc528331725</vt:lpwstr>
      </vt:variant>
      <vt:variant>
        <vt:i4>1376313</vt:i4>
      </vt:variant>
      <vt:variant>
        <vt:i4>656</vt:i4>
      </vt:variant>
      <vt:variant>
        <vt:i4>0</vt:i4>
      </vt:variant>
      <vt:variant>
        <vt:i4>5</vt:i4>
      </vt:variant>
      <vt:variant>
        <vt:lpwstr/>
      </vt:variant>
      <vt:variant>
        <vt:lpwstr>_Toc528331724</vt:lpwstr>
      </vt:variant>
      <vt:variant>
        <vt:i4>1376313</vt:i4>
      </vt:variant>
      <vt:variant>
        <vt:i4>650</vt:i4>
      </vt:variant>
      <vt:variant>
        <vt:i4>0</vt:i4>
      </vt:variant>
      <vt:variant>
        <vt:i4>5</vt:i4>
      </vt:variant>
      <vt:variant>
        <vt:lpwstr/>
      </vt:variant>
      <vt:variant>
        <vt:lpwstr>_Toc528331723</vt:lpwstr>
      </vt:variant>
      <vt:variant>
        <vt:i4>1376313</vt:i4>
      </vt:variant>
      <vt:variant>
        <vt:i4>644</vt:i4>
      </vt:variant>
      <vt:variant>
        <vt:i4>0</vt:i4>
      </vt:variant>
      <vt:variant>
        <vt:i4>5</vt:i4>
      </vt:variant>
      <vt:variant>
        <vt:lpwstr/>
      </vt:variant>
      <vt:variant>
        <vt:lpwstr>_Toc528331722</vt:lpwstr>
      </vt:variant>
      <vt:variant>
        <vt:i4>1376313</vt:i4>
      </vt:variant>
      <vt:variant>
        <vt:i4>638</vt:i4>
      </vt:variant>
      <vt:variant>
        <vt:i4>0</vt:i4>
      </vt:variant>
      <vt:variant>
        <vt:i4>5</vt:i4>
      </vt:variant>
      <vt:variant>
        <vt:lpwstr/>
      </vt:variant>
      <vt:variant>
        <vt:lpwstr>_Toc528331721</vt:lpwstr>
      </vt:variant>
      <vt:variant>
        <vt:i4>1376313</vt:i4>
      </vt:variant>
      <vt:variant>
        <vt:i4>632</vt:i4>
      </vt:variant>
      <vt:variant>
        <vt:i4>0</vt:i4>
      </vt:variant>
      <vt:variant>
        <vt:i4>5</vt:i4>
      </vt:variant>
      <vt:variant>
        <vt:lpwstr/>
      </vt:variant>
      <vt:variant>
        <vt:lpwstr>_Toc528331720</vt:lpwstr>
      </vt:variant>
      <vt:variant>
        <vt:i4>1441849</vt:i4>
      </vt:variant>
      <vt:variant>
        <vt:i4>626</vt:i4>
      </vt:variant>
      <vt:variant>
        <vt:i4>0</vt:i4>
      </vt:variant>
      <vt:variant>
        <vt:i4>5</vt:i4>
      </vt:variant>
      <vt:variant>
        <vt:lpwstr/>
      </vt:variant>
      <vt:variant>
        <vt:lpwstr>_Toc528331719</vt:lpwstr>
      </vt:variant>
      <vt:variant>
        <vt:i4>1441849</vt:i4>
      </vt:variant>
      <vt:variant>
        <vt:i4>620</vt:i4>
      </vt:variant>
      <vt:variant>
        <vt:i4>0</vt:i4>
      </vt:variant>
      <vt:variant>
        <vt:i4>5</vt:i4>
      </vt:variant>
      <vt:variant>
        <vt:lpwstr/>
      </vt:variant>
      <vt:variant>
        <vt:lpwstr>_Toc528331718</vt:lpwstr>
      </vt:variant>
      <vt:variant>
        <vt:i4>1441849</vt:i4>
      </vt:variant>
      <vt:variant>
        <vt:i4>614</vt:i4>
      </vt:variant>
      <vt:variant>
        <vt:i4>0</vt:i4>
      </vt:variant>
      <vt:variant>
        <vt:i4>5</vt:i4>
      </vt:variant>
      <vt:variant>
        <vt:lpwstr/>
      </vt:variant>
      <vt:variant>
        <vt:lpwstr>_Toc528331717</vt:lpwstr>
      </vt:variant>
      <vt:variant>
        <vt:i4>1441849</vt:i4>
      </vt:variant>
      <vt:variant>
        <vt:i4>608</vt:i4>
      </vt:variant>
      <vt:variant>
        <vt:i4>0</vt:i4>
      </vt:variant>
      <vt:variant>
        <vt:i4>5</vt:i4>
      </vt:variant>
      <vt:variant>
        <vt:lpwstr/>
      </vt:variant>
      <vt:variant>
        <vt:lpwstr>_Toc528331716</vt:lpwstr>
      </vt:variant>
      <vt:variant>
        <vt:i4>1441849</vt:i4>
      </vt:variant>
      <vt:variant>
        <vt:i4>602</vt:i4>
      </vt:variant>
      <vt:variant>
        <vt:i4>0</vt:i4>
      </vt:variant>
      <vt:variant>
        <vt:i4>5</vt:i4>
      </vt:variant>
      <vt:variant>
        <vt:lpwstr/>
      </vt:variant>
      <vt:variant>
        <vt:lpwstr>_Toc528331715</vt:lpwstr>
      </vt:variant>
      <vt:variant>
        <vt:i4>1441849</vt:i4>
      </vt:variant>
      <vt:variant>
        <vt:i4>596</vt:i4>
      </vt:variant>
      <vt:variant>
        <vt:i4>0</vt:i4>
      </vt:variant>
      <vt:variant>
        <vt:i4>5</vt:i4>
      </vt:variant>
      <vt:variant>
        <vt:lpwstr/>
      </vt:variant>
      <vt:variant>
        <vt:lpwstr>_Toc528331714</vt:lpwstr>
      </vt:variant>
      <vt:variant>
        <vt:i4>1441849</vt:i4>
      </vt:variant>
      <vt:variant>
        <vt:i4>590</vt:i4>
      </vt:variant>
      <vt:variant>
        <vt:i4>0</vt:i4>
      </vt:variant>
      <vt:variant>
        <vt:i4>5</vt:i4>
      </vt:variant>
      <vt:variant>
        <vt:lpwstr/>
      </vt:variant>
      <vt:variant>
        <vt:lpwstr>_Toc528331713</vt:lpwstr>
      </vt:variant>
      <vt:variant>
        <vt:i4>1441849</vt:i4>
      </vt:variant>
      <vt:variant>
        <vt:i4>584</vt:i4>
      </vt:variant>
      <vt:variant>
        <vt:i4>0</vt:i4>
      </vt:variant>
      <vt:variant>
        <vt:i4>5</vt:i4>
      </vt:variant>
      <vt:variant>
        <vt:lpwstr/>
      </vt:variant>
      <vt:variant>
        <vt:lpwstr>_Toc528331712</vt:lpwstr>
      </vt:variant>
      <vt:variant>
        <vt:i4>1441849</vt:i4>
      </vt:variant>
      <vt:variant>
        <vt:i4>578</vt:i4>
      </vt:variant>
      <vt:variant>
        <vt:i4>0</vt:i4>
      </vt:variant>
      <vt:variant>
        <vt:i4>5</vt:i4>
      </vt:variant>
      <vt:variant>
        <vt:lpwstr/>
      </vt:variant>
      <vt:variant>
        <vt:lpwstr>_Toc528331711</vt:lpwstr>
      </vt:variant>
      <vt:variant>
        <vt:i4>1441849</vt:i4>
      </vt:variant>
      <vt:variant>
        <vt:i4>572</vt:i4>
      </vt:variant>
      <vt:variant>
        <vt:i4>0</vt:i4>
      </vt:variant>
      <vt:variant>
        <vt:i4>5</vt:i4>
      </vt:variant>
      <vt:variant>
        <vt:lpwstr/>
      </vt:variant>
      <vt:variant>
        <vt:lpwstr>_Toc528331710</vt:lpwstr>
      </vt:variant>
      <vt:variant>
        <vt:i4>1507385</vt:i4>
      </vt:variant>
      <vt:variant>
        <vt:i4>566</vt:i4>
      </vt:variant>
      <vt:variant>
        <vt:i4>0</vt:i4>
      </vt:variant>
      <vt:variant>
        <vt:i4>5</vt:i4>
      </vt:variant>
      <vt:variant>
        <vt:lpwstr/>
      </vt:variant>
      <vt:variant>
        <vt:lpwstr>_Toc528331709</vt:lpwstr>
      </vt:variant>
      <vt:variant>
        <vt:i4>1507385</vt:i4>
      </vt:variant>
      <vt:variant>
        <vt:i4>560</vt:i4>
      </vt:variant>
      <vt:variant>
        <vt:i4>0</vt:i4>
      </vt:variant>
      <vt:variant>
        <vt:i4>5</vt:i4>
      </vt:variant>
      <vt:variant>
        <vt:lpwstr/>
      </vt:variant>
      <vt:variant>
        <vt:lpwstr>_Toc528331708</vt:lpwstr>
      </vt:variant>
      <vt:variant>
        <vt:i4>1507385</vt:i4>
      </vt:variant>
      <vt:variant>
        <vt:i4>554</vt:i4>
      </vt:variant>
      <vt:variant>
        <vt:i4>0</vt:i4>
      </vt:variant>
      <vt:variant>
        <vt:i4>5</vt:i4>
      </vt:variant>
      <vt:variant>
        <vt:lpwstr/>
      </vt:variant>
      <vt:variant>
        <vt:lpwstr>_Toc528331707</vt:lpwstr>
      </vt:variant>
      <vt:variant>
        <vt:i4>1507385</vt:i4>
      </vt:variant>
      <vt:variant>
        <vt:i4>548</vt:i4>
      </vt:variant>
      <vt:variant>
        <vt:i4>0</vt:i4>
      </vt:variant>
      <vt:variant>
        <vt:i4>5</vt:i4>
      </vt:variant>
      <vt:variant>
        <vt:lpwstr/>
      </vt:variant>
      <vt:variant>
        <vt:lpwstr>_Toc528331706</vt:lpwstr>
      </vt:variant>
      <vt:variant>
        <vt:i4>1507385</vt:i4>
      </vt:variant>
      <vt:variant>
        <vt:i4>542</vt:i4>
      </vt:variant>
      <vt:variant>
        <vt:i4>0</vt:i4>
      </vt:variant>
      <vt:variant>
        <vt:i4>5</vt:i4>
      </vt:variant>
      <vt:variant>
        <vt:lpwstr/>
      </vt:variant>
      <vt:variant>
        <vt:lpwstr>_Toc528331705</vt:lpwstr>
      </vt:variant>
      <vt:variant>
        <vt:i4>1507385</vt:i4>
      </vt:variant>
      <vt:variant>
        <vt:i4>536</vt:i4>
      </vt:variant>
      <vt:variant>
        <vt:i4>0</vt:i4>
      </vt:variant>
      <vt:variant>
        <vt:i4>5</vt:i4>
      </vt:variant>
      <vt:variant>
        <vt:lpwstr/>
      </vt:variant>
      <vt:variant>
        <vt:lpwstr>_Toc528331704</vt:lpwstr>
      </vt:variant>
      <vt:variant>
        <vt:i4>1507385</vt:i4>
      </vt:variant>
      <vt:variant>
        <vt:i4>530</vt:i4>
      </vt:variant>
      <vt:variant>
        <vt:i4>0</vt:i4>
      </vt:variant>
      <vt:variant>
        <vt:i4>5</vt:i4>
      </vt:variant>
      <vt:variant>
        <vt:lpwstr/>
      </vt:variant>
      <vt:variant>
        <vt:lpwstr>_Toc528331703</vt:lpwstr>
      </vt:variant>
      <vt:variant>
        <vt:i4>1507385</vt:i4>
      </vt:variant>
      <vt:variant>
        <vt:i4>524</vt:i4>
      </vt:variant>
      <vt:variant>
        <vt:i4>0</vt:i4>
      </vt:variant>
      <vt:variant>
        <vt:i4>5</vt:i4>
      </vt:variant>
      <vt:variant>
        <vt:lpwstr/>
      </vt:variant>
      <vt:variant>
        <vt:lpwstr>_Toc528331702</vt:lpwstr>
      </vt:variant>
      <vt:variant>
        <vt:i4>1507385</vt:i4>
      </vt:variant>
      <vt:variant>
        <vt:i4>518</vt:i4>
      </vt:variant>
      <vt:variant>
        <vt:i4>0</vt:i4>
      </vt:variant>
      <vt:variant>
        <vt:i4>5</vt:i4>
      </vt:variant>
      <vt:variant>
        <vt:lpwstr/>
      </vt:variant>
      <vt:variant>
        <vt:lpwstr>_Toc528331701</vt:lpwstr>
      </vt:variant>
      <vt:variant>
        <vt:i4>1507385</vt:i4>
      </vt:variant>
      <vt:variant>
        <vt:i4>512</vt:i4>
      </vt:variant>
      <vt:variant>
        <vt:i4>0</vt:i4>
      </vt:variant>
      <vt:variant>
        <vt:i4>5</vt:i4>
      </vt:variant>
      <vt:variant>
        <vt:lpwstr/>
      </vt:variant>
      <vt:variant>
        <vt:lpwstr>_Toc528331700</vt:lpwstr>
      </vt:variant>
      <vt:variant>
        <vt:i4>1966136</vt:i4>
      </vt:variant>
      <vt:variant>
        <vt:i4>506</vt:i4>
      </vt:variant>
      <vt:variant>
        <vt:i4>0</vt:i4>
      </vt:variant>
      <vt:variant>
        <vt:i4>5</vt:i4>
      </vt:variant>
      <vt:variant>
        <vt:lpwstr/>
      </vt:variant>
      <vt:variant>
        <vt:lpwstr>_Toc528331699</vt:lpwstr>
      </vt:variant>
      <vt:variant>
        <vt:i4>1966136</vt:i4>
      </vt:variant>
      <vt:variant>
        <vt:i4>500</vt:i4>
      </vt:variant>
      <vt:variant>
        <vt:i4>0</vt:i4>
      </vt:variant>
      <vt:variant>
        <vt:i4>5</vt:i4>
      </vt:variant>
      <vt:variant>
        <vt:lpwstr/>
      </vt:variant>
      <vt:variant>
        <vt:lpwstr>_Toc528331698</vt:lpwstr>
      </vt:variant>
      <vt:variant>
        <vt:i4>1966136</vt:i4>
      </vt:variant>
      <vt:variant>
        <vt:i4>494</vt:i4>
      </vt:variant>
      <vt:variant>
        <vt:i4>0</vt:i4>
      </vt:variant>
      <vt:variant>
        <vt:i4>5</vt:i4>
      </vt:variant>
      <vt:variant>
        <vt:lpwstr/>
      </vt:variant>
      <vt:variant>
        <vt:lpwstr>_Toc528331697</vt:lpwstr>
      </vt:variant>
      <vt:variant>
        <vt:i4>1966136</vt:i4>
      </vt:variant>
      <vt:variant>
        <vt:i4>488</vt:i4>
      </vt:variant>
      <vt:variant>
        <vt:i4>0</vt:i4>
      </vt:variant>
      <vt:variant>
        <vt:i4>5</vt:i4>
      </vt:variant>
      <vt:variant>
        <vt:lpwstr/>
      </vt:variant>
      <vt:variant>
        <vt:lpwstr>_Toc528331696</vt:lpwstr>
      </vt:variant>
      <vt:variant>
        <vt:i4>1966136</vt:i4>
      </vt:variant>
      <vt:variant>
        <vt:i4>482</vt:i4>
      </vt:variant>
      <vt:variant>
        <vt:i4>0</vt:i4>
      </vt:variant>
      <vt:variant>
        <vt:i4>5</vt:i4>
      </vt:variant>
      <vt:variant>
        <vt:lpwstr/>
      </vt:variant>
      <vt:variant>
        <vt:lpwstr>_Toc528331695</vt:lpwstr>
      </vt:variant>
      <vt:variant>
        <vt:i4>1966136</vt:i4>
      </vt:variant>
      <vt:variant>
        <vt:i4>476</vt:i4>
      </vt:variant>
      <vt:variant>
        <vt:i4>0</vt:i4>
      </vt:variant>
      <vt:variant>
        <vt:i4>5</vt:i4>
      </vt:variant>
      <vt:variant>
        <vt:lpwstr/>
      </vt:variant>
      <vt:variant>
        <vt:lpwstr>_Toc528331694</vt:lpwstr>
      </vt:variant>
      <vt:variant>
        <vt:i4>1966136</vt:i4>
      </vt:variant>
      <vt:variant>
        <vt:i4>470</vt:i4>
      </vt:variant>
      <vt:variant>
        <vt:i4>0</vt:i4>
      </vt:variant>
      <vt:variant>
        <vt:i4>5</vt:i4>
      </vt:variant>
      <vt:variant>
        <vt:lpwstr/>
      </vt:variant>
      <vt:variant>
        <vt:lpwstr>_Toc528331693</vt:lpwstr>
      </vt:variant>
      <vt:variant>
        <vt:i4>1966136</vt:i4>
      </vt:variant>
      <vt:variant>
        <vt:i4>464</vt:i4>
      </vt:variant>
      <vt:variant>
        <vt:i4>0</vt:i4>
      </vt:variant>
      <vt:variant>
        <vt:i4>5</vt:i4>
      </vt:variant>
      <vt:variant>
        <vt:lpwstr/>
      </vt:variant>
      <vt:variant>
        <vt:lpwstr>_Toc528331692</vt:lpwstr>
      </vt:variant>
      <vt:variant>
        <vt:i4>1966136</vt:i4>
      </vt:variant>
      <vt:variant>
        <vt:i4>458</vt:i4>
      </vt:variant>
      <vt:variant>
        <vt:i4>0</vt:i4>
      </vt:variant>
      <vt:variant>
        <vt:i4>5</vt:i4>
      </vt:variant>
      <vt:variant>
        <vt:lpwstr/>
      </vt:variant>
      <vt:variant>
        <vt:lpwstr>_Toc528331691</vt:lpwstr>
      </vt:variant>
      <vt:variant>
        <vt:i4>1966136</vt:i4>
      </vt:variant>
      <vt:variant>
        <vt:i4>452</vt:i4>
      </vt:variant>
      <vt:variant>
        <vt:i4>0</vt:i4>
      </vt:variant>
      <vt:variant>
        <vt:i4>5</vt:i4>
      </vt:variant>
      <vt:variant>
        <vt:lpwstr/>
      </vt:variant>
      <vt:variant>
        <vt:lpwstr>_Toc528331690</vt:lpwstr>
      </vt:variant>
      <vt:variant>
        <vt:i4>2031672</vt:i4>
      </vt:variant>
      <vt:variant>
        <vt:i4>446</vt:i4>
      </vt:variant>
      <vt:variant>
        <vt:i4>0</vt:i4>
      </vt:variant>
      <vt:variant>
        <vt:i4>5</vt:i4>
      </vt:variant>
      <vt:variant>
        <vt:lpwstr/>
      </vt:variant>
      <vt:variant>
        <vt:lpwstr>_Toc528331689</vt:lpwstr>
      </vt:variant>
      <vt:variant>
        <vt:i4>2031672</vt:i4>
      </vt:variant>
      <vt:variant>
        <vt:i4>440</vt:i4>
      </vt:variant>
      <vt:variant>
        <vt:i4>0</vt:i4>
      </vt:variant>
      <vt:variant>
        <vt:i4>5</vt:i4>
      </vt:variant>
      <vt:variant>
        <vt:lpwstr/>
      </vt:variant>
      <vt:variant>
        <vt:lpwstr>_Toc528331688</vt:lpwstr>
      </vt:variant>
      <vt:variant>
        <vt:i4>2031672</vt:i4>
      </vt:variant>
      <vt:variant>
        <vt:i4>434</vt:i4>
      </vt:variant>
      <vt:variant>
        <vt:i4>0</vt:i4>
      </vt:variant>
      <vt:variant>
        <vt:i4>5</vt:i4>
      </vt:variant>
      <vt:variant>
        <vt:lpwstr/>
      </vt:variant>
      <vt:variant>
        <vt:lpwstr>_Toc528331687</vt:lpwstr>
      </vt:variant>
      <vt:variant>
        <vt:i4>2031672</vt:i4>
      </vt:variant>
      <vt:variant>
        <vt:i4>428</vt:i4>
      </vt:variant>
      <vt:variant>
        <vt:i4>0</vt:i4>
      </vt:variant>
      <vt:variant>
        <vt:i4>5</vt:i4>
      </vt:variant>
      <vt:variant>
        <vt:lpwstr/>
      </vt:variant>
      <vt:variant>
        <vt:lpwstr>_Toc528331686</vt:lpwstr>
      </vt:variant>
      <vt:variant>
        <vt:i4>2031672</vt:i4>
      </vt:variant>
      <vt:variant>
        <vt:i4>422</vt:i4>
      </vt:variant>
      <vt:variant>
        <vt:i4>0</vt:i4>
      </vt:variant>
      <vt:variant>
        <vt:i4>5</vt:i4>
      </vt:variant>
      <vt:variant>
        <vt:lpwstr/>
      </vt:variant>
      <vt:variant>
        <vt:lpwstr>_Toc528331685</vt:lpwstr>
      </vt:variant>
      <vt:variant>
        <vt:i4>2031672</vt:i4>
      </vt:variant>
      <vt:variant>
        <vt:i4>416</vt:i4>
      </vt:variant>
      <vt:variant>
        <vt:i4>0</vt:i4>
      </vt:variant>
      <vt:variant>
        <vt:i4>5</vt:i4>
      </vt:variant>
      <vt:variant>
        <vt:lpwstr/>
      </vt:variant>
      <vt:variant>
        <vt:lpwstr>_Toc528331684</vt:lpwstr>
      </vt:variant>
      <vt:variant>
        <vt:i4>2031672</vt:i4>
      </vt:variant>
      <vt:variant>
        <vt:i4>410</vt:i4>
      </vt:variant>
      <vt:variant>
        <vt:i4>0</vt:i4>
      </vt:variant>
      <vt:variant>
        <vt:i4>5</vt:i4>
      </vt:variant>
      <vt:variant>
        <vt:lpwstr/>
      </vt:variant>
      <vt:variant>
        <vt:lpwstr>_Toc528331683</vt:lpwstr>
      </vt:variant>
      <vt:variant>
        <vt:i4>2031672</vt:i4>
      </vt:variant>
      <vt:variant>
        <vt:i4>404</vt:i4>
      </vt:variant>
      <vt:variant>
        <vt:i4>0</vt:i4>
      </vt:variant>
      <vt:variant>
        <vt:i4>5</vt:i4>
      </vt:variant>
      <vt:variant>
        <vt:lpwstr/>
      </vt:variant>
      <vt:variant>
        <vt:lpwstr>_Toc528331682</vt:lpwstr>
      </vt:variant>
      <vt:variant>
        <vt:i4>2031672</vt:i4>
      </vt:variant>
      <vt:variant>
        <vt:i4>398</vt:i4>
      </vt:variant>
      <vt:variant>
        <vt:i4>0</vt:i4>
      </vt:variant>
      <vt:variant>
        <vt:i4>5</vt:i4>
      </vt:variant>
      <vt:variant>
        <vt:lpwstr/>
      </vt:variant>
      <vt:variant>
        <vt:lpwstr>_Toc528331681</vt:lpwstr>
      </vt:variant>
      <vt:variant>
        <vt:i4>2031672</vt:i4>
      </vt:variant>
      <vt:variant>
        <vt:i4>392</vt:i4>
      </vt:variant>
      <vt:variant>
        <vt:i4>0</vt:i4>
      </vt:variant>
      <vt:variant>
        <vt:i4>5</vt:i4>
      </vt:variant>
      <vt:variant>
        <vt:lpwstr/>
      </vt:variant>
      <vt:variant>
        <vt:lpwstr>_Toc528331680</vt:lpwstr>
      </vt:variant>
      <vt:variant>
        <vt:i4>1048632</vt:i4>
      </vt:variant>
      <vt:variant>
        <vt:i4>386</vt:i4>
      </vt:variant>
      <vt:variant>
        <vt:i4>0</vt:i4>
      </vt:variant>
      <vt:variant>
        <vt:i4>5</vt:i4>
      </vt:variant>
      <vt:variant>
        <vt:lpwstr/>
      </vt:variant>
      <vt:variant>
        <vt:lpwstr>_Toc528331679</vt:lpwstr>
      </vt:variant>
      <vt:variant>
        <vt:i4>1048632</vt:i4>
      </vt:variant>
      <vt:variant>
        <vt:i4>380</vt:i4>
      </vt:variant>
      <vt:variant>
        <vt:i4>0</vt:i4>
      </vt:variant>
      <vt:variant>
        <vt:i4>5</vt:i4>
      </vt:variant>
      <vt:variant>
        <vt:lpwstr/>
      </vt:variant>
      <vt:variant>
        <vt:lpwstr>_Toc528331678</vt:lpwstr>
      </vt:variant>
      <vt:variant>
        <vt:i4>1048632</vt:i4>
      </vt:variant>
      <vt:variant>
        <vt:i4>374</vt:i4>
      </vt:variant>
      <vt:variant>
        <vt:i4>0</vt:i4>
      </vt:variant>
      <vt:variant>
        <vt:i4>5</vt:i4>
      </vt:variant>
      <vt:variant>
        <vt:lpwstr/>
      </vt:variant>
      <vt:variant>
        <vt:lpwstr>_Toc528331677</vt:lpwstr>
      </vt:variant>
      <vt:variant>
        <vt:i4>1048632</vt:i4>
      </vt:variant>
      <vt:variant>
        <vt:i4>368</vt:i4>
      </vt:variant>
      <vt:variant>
        <vt:i4>0</vt:i4>
      </vt:variant>
      <vt:variant>
        <vt:i4>5</vt:i4>
      </vt:variant>
      <vt:variant>
        <vt:lpwstr/>
      </vt:variant>
      <vt:variant>
        <vt:lpwstr>_Toc528331676</vt:lpwstr>
      </vt:variant>
      <vt:variant>
        <vt:i4>1048632</vt:i4>
      </vt:variant>
      <vt:variant>
        <vt:i4>362</vt:i4>
      </vt:variant>
      <vt:variant>
        <vt:i4>0</vt:i4>
      </vt:variant>
      <vt:variant>
        <vt:i4>5</vt:i4>
      </vt:variant>
      <vt:variant>
        <vt:lpwstr/>
      </vt:variant>
      <vt:variant>
        <vt:lpwstr>_Toc528331675</vt:lpwstr>
      </vt:variant>
      <vt:variant>
        <vt:i4>1048632</vt:i4>
      </vt:variant>
      <vt:variant>
        <vt:i4>356</vt:i4>
      </vt:variant>
      <vt:variant>
        <vt:i4>0</vt:i4>
      </vt:variant>
      <vt:variant>
        <vt:i4>5</vt:i4>
      </vt:variant>
      <vt:variant>
        <vt:lpwstr/>
      </vt:variant>
      <vt:variant>
        <vt:lpwstr>_Toc528331674</vt:lpwstr>
      </vt:variant>
      <vt:variant>
        <vt:i4>1048632</vt:i4>
      </vt:variant>
      <vt:variant>
        <vt:i4>350</vt:i4>
      </vt:variant>
      <vt:variant>
        <vt:i4>0</vt:i4>
      </vt:variant>
      <vt:variant>
        <vt:i4>5</vt:i4>
      </vt:variant>
      <vt:variant>
        <vt:lpwstr/>
      </vt:variant>
      <vt:variant>
        <vt:lpwstr>_Toc528331673</vt:lpwstr>
      </vt:variant>
      <vt:variant>
        <vt:i4>1048632</vt:i4>
      </vt:variant>
      <vt:variant>
        <vt:i4>344</vt:i4>
      </vt:variant>
      <vt:variant>
        <vt:i4>0</vt:i4>
      </vt:variant>
      <vt:variant>
        <vt:i4>5</vt:i4>
      </vt:variant>
      <vt:variant>
        <vt:lpwstr/>
      </vt:variant>
      <vt:variant>
        <vt:lpwstr>_Toc528331672</vt:lpwstr>
      </vt:variant>
      <vt:variant>
        <vt:i4>1048632</vt:i4>
      </vt:variant>
      <vt:variant>
        <vt:i4>338</vt:i4>
      </vt:variant>
      <vt:variant>
        <vt:i4>0</vt:i4>
      </vt:variant>
      <vt:variant>
        <vt:i4>5</vt:i4>
      </vt:variant>
      <vt:variant>
        <vt:lpwstr/>
      </vt:variant>
      <vt:variant>
        <vt:lpwstr>_Toc528331671</vt:lpwstr>
      </vt:variant>
      <vt:variant>
        <vt:i4>1048632</vt:i4>
      </vt:variant>
      <vt:variant>
        <vt:i4>332</vt:i4>
      </vt:variant>
      <vt:variant>
        <vt:i4>0</vt:i4>
      </vt:variant>
      <vt:variant>
        <vt:i4>5</vt:i4>
      </vt:variant>
      <vt:variant>
        <vt:lpwstr/>
      </vt:variant>
      <vt:variant>
        <vt:lpwstr>_Toc528331670</vt:lpwstr>
      </vt:variant>
      <vt:variant>
        <vt:i4>1114168</vt:i4>
      </vt:variant>
      <vt:variant>
        <vt:i4>326</vt:i4>
      </vt:variant>
      <vt:variant>
        <vt:i4>0</vt:i4>
      </vt:variant>
      <vt:variant>
        <vt:i4>5</vt:i4>
      </vt:variant>
      <vt:variant>
        <vt:lpwstr/>
      </vt:variant>
      <vt:variant>
        <vt:lpwstr>_Toc528331669</vt:lpwstr>
      </vt:variant>
      <vt:variant>
        <vt:i4>1114168</vt:i4>
      </vt:variant>
      <vt:variant>
        <vt:i4>320</vt:i4>
      </vt:variant>
      <vt:variant>
        <vt:i4>0</vt:i4>
      </vt:variant>
      <vt:variant>
        <vt:i4>5</vt:i4>
      </vt:variant>
      <vt:variant>
        <vt:lpwstr/>
      </vt:variant>
      <vt:variant>
        <vt:lpwstr>_Toc528331668</vt:lpwstr>
      </vt:variant>
      <vt:variant>
        <vt:i4>1114168</vt:i4>
      </vt:variant>
      <vt:variant>
        <vt:i4>314</vt:i4>
      </vt:variant>
      <vt:variant>
        <vt:i4>0</vt:i4>
      </vt:variant>
      <vt:variant>
        <vt:i4>5</vt:i4>
      </vt:variant>
      <vt:variant>
        <vt:lpwstr/>
      </vt:variant>
      <vt:variant>
        <vt:lpwstr>_Toc528331667</vt:lpwstr>
      </vt:variant>
      <vt:variant>
        <vt:i4>1114168</vt:i4>
      </vt:variant>
      <vt:variant>
        <vt:i4>308</vt:i4>
      </vt:variant>
      <vt:variant>
        <vt:i4>0</vt:i4>
      </vt:variant>
      <vt:variant>
        <vt:i4>5</vt:i4>
      </vt:variant>
      <vt:variant>
        <vt:lpwstr/>
      </vt:variant>
      <vt:variant>
        <vt:lpwstr>_Toc528331666</vt:lpwstr>
      </vt:variant>
      <vt:variant>
        <vt:i4>1114168</vt:i4>
      </vt:variant>
      <vt:variant>
        <vt:i4>302</vt:i4>
      </vt:variant>
      <vt:variant>
        <vt:i4>0</vt:i4>
      </vt:variant>
      <vt:variant>
        <vt:i4>5</vt:i4>
      </vt:variant>
      <vt:variant>
        <vt:lpwstr/>
      </vt:variant>
      <vt:variant>
        <vt:lpwstr>_Toc528331665</vt:lpwstr>
      </vt:variant>
      <vt:variant>
        <vt:i4>1114168</vt:i4>
      </vt:variant>
      <vt:variant>
        <vt:i4>296</vt:i4>
      </vt:variant>
      <vt:variant>
        <vt:i4>0</vt:i4>
      </vt:variant>
      <vt:variant>
        <vt:i4>5</vt:i4>
      </vt:variant>
      <vt:variant>
        <vt:lpwstr/>
      </vt:variant>
      <vt:variant>
        <vt:lpwstr>_Toc528331664</vt:lpwstr>
      </vt:variant>
      <vt:variant>
        <vt:i4>1114168</vt:i4>
      </vt:variant>
      <vt:variant>
        <vt:i4>290</vt:i4>
      </vt:variant>
      <vt:variant>
        <vt:i4>0</vt:i4>
      </vt:variant>
      <vt:variant>
        <vt:i4>5</vt:i4>
      </vt:variant>
      <vt:variant>
        <vt:lpwstr/>
      </vt:variant>
      <vt:variant>
        <vt:lpwstr>_Toc528331663</vt:lpwstr>
      </vt:variant>
      <vt:variant>
        <vt:i4>1114168</vt:i4>
      </vt:variant>
      <vt:variant>
        <vt:i4>284</vt:i4>
      </vt:variant>
      <vt:variant>
        <vt:i4>0</vt:i4>
      </vt:variant>
      <vt:variant>
        <vt:i4>5</vt:i4>
      </vt:variant>
      <vt:variant>
        <vt:lpwstr/>
      </vt:variant>
      <vt:variant>
        <vt:lpwstr>_Toc528331662</vt:lpwstr>
      </vt:variant>
      <vt:variant>
        <vt:i4>1114168</vt:i4>
      </vt:variant>
      <vt:variant>
        <vt:i4>278</vt:i4>
      </vt:variant>
      <vt:variant>
        <vt:i4>0</vt:i4>
      </vt:variant>
      <vt:variant>
        <vt:i4>5</vt:i4>
      </vt:variant>
      <vt:variant>
        <vt:lpwstr/>
      </vt:variant>
      <vt:variant>
        <vt:lpwstr>_Toc528331661</vt:lpwstr>
      </vt:variant>
      <vt:variant>
        <vt:i4>1114168</vt:i4>
      </vt:variant>
      <vt:variant>
        <vt:i4>272</vt:i4>
      </vt:variant>
      <vt:variant>
        <vt:i4>0</vt:i4>
      </vt:variant>
      <vt:variant>
        <vt:i4>5</vt:i4>
      </vt:variant>
      <vt:variant>
        <vt:lpwstr/>
      </vt:variant>
      <vt:variant>
        <vt:lpwstr>_Toc528331660</vt:lpwstr>
      </vt:variant>
      <vt:variant>
        <vt:i4>1179704</vt:i4>
      </vt:variant>
      <vt:variant>
        <vt:i4>266</vt:i4>
      </vt:variant>
      <vt:variant>
        <vt:i4>0</vt:i4>
      </vt:variant>
      <vt:variant>
        <vt:i4>5</vt:i4>
      </vt:variant>
      <vt:variant>
        <vt:lpwstr/>
      </vt:variant>
      <vt:variant>
        <vt:lpwstr>_Toc528331659</vt:lpwstr>
      </vt:variant>
      <vt:variant>
        <vt:i4>1179704</vt:i4>
      </vt:variant>
      <vt:variant>
        <vt:i4>260</vt:i4>
      </vt:variant>
      <vt:variant>
        <vt:i4>0</vt:i4>
      </vt:variant>
      <vt:variant>
        <vt:i4>5</vt:i4>
      </vt:variant>
      <vt:variant>
        <vt:lpwstr/>
      </vt:variant>
      <vt:variant>
        <vt:lpwstr>_Toc528331658</vt:lpwstr>
      </vt:variant>
      <vt:variant>
        <vt:i4>1179704</vt:i4>
      </vt:variant>
      <vt:variant>
        <vt:i4>254</vt:i4>
      </vt:variant>
      <vt:variant>
        <vt:i4>0</vt:i4>
      </vt:variant>
      <vt:variant>
        <vt:i4>5</vt:i4>
      </vt:variant>
      <vt:variant>
        <vt:lpwstr/>
      </vt:variant>
      <vt:variant>
        <vt:lpwstr>_Toc528331657</vt:lpwstr>
      </vt:variant>
      <vt:variant>
        <vt:i4>1179704</vt:i4>
      </vt:variant>
      <vt:variant>
        <vt:i4>248</vt:i4>
      </vt:variant>
      <vt:variant>
        <vt:i4>0</vt:i4>
      </vt:variant>
      <vt:variant>
        <vt:i4>5</vt:i4>
      </vt:variant>
      <vt:variant>
        <vt:lpwstr/>
      </vt:variant>
      <vt:variant>
        <vt:lpwstr>_Toc528331656</vt:lpwstr>
      </vt:variant>
      <vt:variant>
        <vt:i4>1179704</vt:i4>
      </vt:variant>
      <vt:variant>
        <vt:i4>242</vt:i4>
      </vt:variant>
      <vt:variant>
        <vt:i4>0</vt:i4>
      </vt:variant>
      <vt:variant>
        <vt:i4>5</vt:i4>
      </vt:variant>
      <vt:variant>
        <vt:lpwstr/>
      </vt:variant>
      <vt:variant>
        <vt:lpwstr>_Toc528331655</vt:lpwstr>
      </vt:variant>
      <vt:variant>
        <vt:i4>1179704</vt:i4>
      </vt:variant>
      <vt:variant>
        <vt:i4>236</vt:i4>
      </vt:variant>
      <vt:variant>
        <vt:i4>0</vt:i4>
      </vt:variant>
      <vt:variant>
        <vt:i4>5</vt:i4>
      </vt:variant>
      <vt:variant>
        <vt:lpwstr/>
      </vt:variant>
      <vt:variant>
        <vt:lpwstr>_Toc528331654</vt:lpwstr>
      </vt:variant>
      <vt:variant>
        <vt:i4>1179704</vt:i4>
      </vt:variant>
      <vt:variant>
        <vt:i4>230</vt:i4>
      </vt:variant>
      <vt:variant>
        <vt:i4>0</vt:i4>
      </vt:variant>
      <vt:variant>
        <vt:i4>5</vt:i4>
      </vt:variant>
      <vt:variant>
        <vt:lpwstr/>
      </vt:variant>
      <vt:variant>
        <vt:lpwstr>_Toc528331653</vt:lpwstr>
      </vt:variant>
      <vt:variant>
        <vt:i4>1179704</vt:i4>
      </vt:variant>
      <vt:variant>
        <vt:i4>224</vt:i4>
      </vt:variant>
      <vt:variant>
        <vt:i4>0</vt:i4>
      </vt:variant>
      <vt:variant>
        <vt:i4>5</vt:i4>
      </vt:variant>
      <vt:variant>
        <vt:lpwstr/>
      </vt:variant>
      <vt:variant>
        <vt:lpwstr>_Toc528331652</vt:lpwstr>
      </vt:variant>
      <vt:variant>
        <vt:i4>1179704</vt:i4>
      </vt:variant>
      <vt:variant>
        <vt:i4>218</vt:i4>
      </vt:variant>
      <vt:variant>
        <vt:i4>0</vt:i4>
      </vt:variant>
      <vt:variant>
        <vt:i4>5</vt:i4>
      </vt:variant>
      <vt:variant>
        <vt:lpwstr/>
      </vt:variant>
      <vt:variant>
        <vt:lpwstr>_Toc528331651</vt:lpwstr>
      </vt:variant>
      <vt:variant>
        <vt:i4>1179704</vt:i4>
      </vt:variant>
      <vt:variant>
        <vt:i4>212</vt:i4>
      </vt:variant>
      <vt:variant>
        <vt:i4>0</vt:i4>
      </vt:variant>
      <vt:variant>
        <vt:i4>5</vt:i4>
      </vt:variant>
      <vt:variant>
        <vt:lpwstr/>
      </vt:variant>
      <vt:variant>
        <vt:lpwstr>_Toc528331650</vt:lpwstr>
      </vt:variant>
      <vt:variant>
        <vt:i4>1245240</vt:i4>
      </vt:variant>
      <vt:variant>
        <vt:i4>206</vt:i4>
      </vt:variant>
      <vt:variant>
        <vt:i4>0</vt:i4>
      </vt:variant>
      <vt:variant>
        <vt:i4>5</vt:i4>
      </vt:variant>
      <vt:variant>
        <vt:lpwstr/>
      </vt:variant>
      <vt:variant>
        <vt:lpwstr>_Toc528331649</vt:lpwstr>
      </vt:variant>
      <vt:variant>
        <vt:i4>1245240</vt:i4>
      </vt:variant>
      <vt:variant>
        <vt:i4>200</vt:i4>
      </vt:variant>
      <vt:variant>
        <vt:i4>0</vt:i4>
      </vt:variant>
      <vt:variant>
        <vt:i4>5</vt:i4>
      </vt:variant>
      <vt:variant>
        <vt:lpwstr/>
      </vt:variant>
      <vt:variant>
        <vt:lpwstr>_Toc528331648</vt:lpwstr>
      </vt:variant>
      <vt:variant>
        <vt:i4>1245240</vt:i4>
      </vt:variant>
      <vt:variant>
        <vt:i4>194</vt:i4>
      </vt:variant>
      <vt:variant>
        <vt:i4>0</vt:i4>
      </vt:variant>
      <vt:variant>
        <vt:i4>5</vt:i4>
      </vt:variant>
      <vt:variant>
        <vt:lpwstr/>
      </vt:variant>
      <vt:variant>
        <vt:lpwstr>_Toc528331647</vt:lpwstr>
      </vt:variant>
      <vt:variant>
        <vt:i4>1245240</vt:i4>
      </vt:variant>
      <vt:variant>
        <vt:i4>188</vt:i4>
      </vt:variant>
      <vt:variant>
        <vt:i4>0</vt:i4>
      </vt:variant>
      <vt:variant>
        <vt:i4>5</vt:i4>
      </vt:variant>
      <vt:variant>
        <vt:lpwstr/>
      </vt:variant>
      <vt:variant>
        <vt:lpwstr>_Toc528331646</vt:lpwstr>
      </vt:variant>
      <vt:variant>
        <vt:i4>1245240</vt:i4>
      </vt:variant>
      <vt:variant>
        <vt:i4>182</vt:i4>
      </vt:variant>
      <vt:variant>
        <vt:i4>0</vt:i4>
      </vt:variant>
      <vt:variant>
        <vt:i4>5</vt:i4>
      </vt:variant>
      <vt:variant>
        <vt:lpwstr/>
      </vt:variant>
      <vt:variant>
        <vt:lpwstr>_Toc528331645</vt:lpwstr>
      </vt:variant>
      <vt:variant>
        <vt:i4>1245240</vt:i4>
      </vt:variant>
      <vt:variant>
        <vt:i4>176</vt:i4>
      </vt:variant>
      <vt:variant>
        <vt:i4>0</vt:i4>
      </vt:variant>
      <vt:variant>
        <vt:i4>5</vt:i4>
      </vt:variant>
      <vt:variant>
        <vt:lpwstr/>
      </vt:variant>
      <vt:variant>
        <vt:lpwstr>_Toc528331644</vt:lpwstr>
      </vt:variant>
      <vt:variant>
        <vt:i4>1245240</vt:i4>
      </vt:variant>
      <vt:variant>
        <vt:i4>170</vt:i4>
      </vt:variant>
      <vt:variant>
        <vt:i4>0</vt:i4>
      </vt:variant>
      <vt:variant>
        <vt:i4>5</vt:i4>
      </vt:variant>
      <vt:variant>
        <vt:lpwstr/>
      </vt:variant>
      <vt:variant>
        <vt:lpwstr>_Toc528331643</vt:lpwstr>
      </vt:variant>
      <vt:variant>
        <vt:i4>1245240</vt:i4>
      </vt:variant>
      <vt:variant>
        <vt:i4>164</vt:i4>
      </vt:variant>
      <vt:variant>
        <vt:i4>0</vt:i4>
      </vt:variant>
      <vt:variant>
        <vt:i4>5</vt:i4>
      </vt:variant>
      <vt:variant>
        <vt:lpwstr/>
      </vt:variant>
      <vt:variant>
        <vt:lpwstr>_Toc528331642</vt:lpwstr>
      </vt:variant>
      <vt:variant>
        <vt:i4>1245240</vt:i4>
      </vt:variant>
      <vt:variant>
        <vt:i4>158</vt:i4>
      </vt:variant>
      <vt:variant>
        <vt:i4>0</vt:i4>
      </vt:variant>
      <vt:variant>
        <vt:i4>5</vt:i4>
      </vt:variant>
      <vt:variant>
        <vt:lpwstr/>
      </vt:variant>
      <vt:variant>
        <vt:lpwstr>_Toc528331641</vt:lpwstr>
      </vt:variant>
      <vt:variant>
        <vt:i4>1245240</vt:i4>
      </vt:variant>
      <vt:variant>
        <vt:i4>152</vt:i4>
      </vt:variant>
      <vt:variant>
        <vt:i4>0</vt:i4>
      </vt:variant>
      <vt:variant>
        <vt:i4>5</vt:i4>
      </vt:variant>
      <vt:variant>
        <vt:lpwstr/>
      </vt:variant>
      <vt:variant>
        <vt:lpwstr>_Toc528331640</vt:lpwstr>
      </vt:variant>
      <vt:variant>
        <vt:i4>1310776</vt:i4>
      </vt:variant>
      <vt:variant>
        <vt:i4>146</vt:i4>
      </vt:variant>
      <vt:variant>
        <vt:i4>0</vt:i4>
      </vt:variant>
      <vt:variant>
        <vt:i4>5</vt:i4>
      </vt:variant>
      <vt:variant>
        <vt:lpwstr/>
      </vt:variant>
      <vt:variant>
        <vt:lpwstr>_Toc528331639</vt:lpwstr>
      </vt:variant>
      <vt:variant>
        <vt:i4>1310776</vt:i4>
      </vt:variant>
      <vt:variant>
        <vt:i4>140</vt:i4>
      </vt:variant>
      <vt:variant>
        <vt:i4>0</vt:i4>
      </vt:variant>
      <vt:variant>
        <vt:i4>5</vt:i4>
      </vt:variant>
      <vt:variant>
        <vt:lpwstr/>
      </vt:variant>
      <vt:variant>
        <vt:lpwstr>_Toc528331638</vt:lpwstr>
      </vt:variant>
      <vt:variant>
        <vt:i4>1310776</vt:i4>
      </vt:variant>
      <vt:variant>
        <vt:i4>134</vt:i4>
      </vt:variant>
      <vt:variant>
        <vt:i4>0</vt:i4>
      </vt:variant>
      <vt:variant>
        <vt:i4>5</vt:i4>
      </vt:variant>
      <vt:variant>
        <vt:lpwstr/>
      </vt:variant>
      <vt:variant>
        <vt:lpwstr>_Toc528331637</vt:lpwstr>
      </vt:variant>
      <vt:variant>
        <vt:i4>1310776</vt:i4>
      </vt:variant>
      <vt:variant>
        <vt:i4>128</vt:i4>
      </vt:variant>
      <vt:variant>
        <vt:i4>0</vt:i4>
      </vt:variant>
      <vt:variant>
        <vt:i4>5</vt:i4>
      </vt:variant>
      <vt:variant>
        <vt:lpwstr/>
      </vt:variant>
      <vt:variant>
        <vt:lpwstr>_Toc528331636</vt:lpwstr>
      </vt:variant>
      <vt:variant>
        <vt:i4>1310776</vt:i4>
      </vt:variant>
      <vt:variant>
        <vt:i4>122</vt:i4>
      </vt:variant>
      <vt:variant>
        <vt:i4>0</vt:i4>
      </vt:variant>
      <vt:variant>
        <vt:i4>5</vt:i4>
      </vt:variant>
      <vt:variant>
        <vt:lpwstr/>
      </vt:variant>
      <vt:variant>
        <vt:lpwstr>_Toc528331635</vt:lpwstr>
      </vt:variant>
      <vt:variant>
        <vt:i4>1310776</vt:i4>
      </vt:variant>
      <vt:variant>
        <vt:i4>116</vt:i4>
      </vt:variant>
      <vt:variant>
        <vt:i4>0</vt:i4>
      </vt:variant>
      <vt:variant>
        <vt:i4>5</vt:i4>
      </vt:variant>
      <vt:variant>
        <vt:lpwstr/>
      </vt:variant>
      <vt:variant>
        <vt:lpwstr>_Toc528331634</vt:lpwstr>
      </vt:variant>
      <vt:variant>
        <vt:i4>1310776</vt:i4>
      </vt:variant>
      <vt:variant>
        <vt:i4>110</vt:i4>
      </vt:variant>
      <vt:variant>
        <vt:i4>0</vt:i4>
      </vt:variant>
      <vt:variant>
        <vt:i4>5</vt:i4>
      </vt:variant>
      <vt:variant>
        <vt:lpwstr/>
      </vt:variant>
      <vt:variant>
        <vt:lpwstr>_Toc528331633</vt:lpwstr>
      </vt:variant>
      <vt:variant>
        <vt:i4>1310776</vt:i4>
      </vt:variant>
      <vt:variant>
        <vt:i4>104</vt:i4>
      </vt:variant>
      <vt:variant>
        <vt:i4>0</vt:i4>
      </vt:variant>
      <vt:variant>
        <vt:i4>5</vt:i4>
      </vt:variant>
      <vt:variant>
        <vt:lpwstr/>
      </vt:variant>
      <vt:variant>
        <vt:lpwstr>_Toc528331632</vt:lpwstr>
      </vt:variant>
      <vt:variant>
        <vt:i4>1310776</vt:i4>
      </vt:variant>
      <vt:variant>
        <vt:i4>98</vt:i4>
      </vt:variant>
      <vt:variant>
        <vt:i4>0</vt:i4>
      </vt:variant>
      <vt:variant>
        <vt:i4>5</vt:i4>
      </vt:variant>
      <vt:variant>
        <vt:lpwstr/>
      </vt:variant>
      <vt:variant>
        <vt:lpwstr>_Toc528331631</vt:lpwstr>
      </vt:variant>
      <vt:variant>
        <vt:i4>1310776</vt:i4>
      </vt:variant>
      <vt:variant>
        <vt:i4>92</vt:i4>
      </vt:variant>
      <vt:variant>
        <vt:i4>0</vt:i4>
      </vt:variant>
      <vt:variant>
        <vt:i4>5</vt:i4>
      </vt:variant>
      <vt:variant>
        <vt:lpwstr/>
      </vt:variant>
      <vt:variant>
        <vt:lpwstr>_Toc528331630</vt:lpwstr>
      </vt:variant>
      <vt:variant>
        <vt:i4>1376312</vt:i4>
      </vt:variant>
      <vt:variant>
        <vt:i4>86</vt:i4>
      </vt:variant>
      <vt:variant>
        <vt:i4>0</vt:i4>
      </vt:variant>
      <vt:variant>
        <vt:i4>5</vt:i4>
      </vt:variant>
      <vt:variant>
        <vt:lpwstr/>
      </vt:variant>
      <vt:variant>
        <vt:lpwstr>_Toc528331629</vt:lpwstr>
      </vt:variant>
      <vt:variant>
        <vt:i4>1376312</vt:i4>
      </vt:variant>
      <vt:variant>
        <vt:i4>80</vt:i4>
      </vt:variant>
      <vt:variant>
        <vt:i4>0</vt:i4>
      </vt:variant>
      <vt:variant>
        <vt:i4>5</vt:i4>
      </vt:variant>
      <vt:variant>
        <vt:lpwstr/>
      </vt:variant>
      <vt:variant>
        <vt:lpwstr>_Toc528331628</vt:lpwstr>
      </vt:variant>
      <vt:variant>
        <vt:i4>1376312</vt:i4>
      </vt:variant>
      <vt:variant>
        <vt:i4>74</vt:i4>
      </vt:variant>
      <vt:variant>
        <vt:i4>0</vt:i4>
      </vt:variant>
      <vt:variant>
        <vt:i4>5</vt:i4>
      </vt:variant>
      <vt:variant>
        <vt:lpwstr/>
      </vt:variant>
      <vt:variant>
        <vt:lpwstr>_Toc528331627</vt:lpwstr>
      </vt:variant>
      <vt:variant>
        <vt:i4>1376312</vt:i4>
      </vt:variant>
      <vt:variant>
        <vt:i4>68</vt:i4>
      </vt:variant>
      <vt:variant>
        <vt:i4>0</vt:i4>
      </vt:variant>
      <vt:variant>
        <vt:i4>5</vt:i4>
      </vt:variant>
      <vt:variant>
        <vt:lpwstr/>
      </vt:variant>
      <vt:variant>
        <vt:lpwstr>_Toc528331626</vt:lpwstr>
      </vt:variant>
      <vt:variant>
        <vt:i4>1376312</vt:i4>
      </vt:variant>
      <vt:variant>
        <vt:i4>62</vt:i4>
      </vt:variant>
      <vt:variant>
        <vt:i4>0</vt:i4>
      </vt:variant>
      <vt:variant>
        <vt:i4>5</vt:i4>
      </vt:variant>
      <vt:variant>
        <vt:lpwstr/>
      </vt:variant>
      <vt:variant>
        <vt:lpwstr>_Toc528331625</vt:lpwstr>
      </vt:variant>
      <vt:variant>
        <vt:i4>1376312</vt:i4>
      </vt:variant>
      <vt:variant>
        <vt:i4>56</vt:i4>
      </vt:variant>
      <vt:variant>
        <vt:i4>0</vt:i4>
      </vt:variant>
      <vt:variant>
        <vt:i4>5</vt:i4>
      </vt:variant>
      <vt:variant>
        <vt:lpwstr/>
      </vt:variant>
      <vt:variant>
        <vt:lpwstr>_Toc528331624</vt:lpwstr>
      </vt:variant>
      <vt:variant>
        <vt:i4>1376312</vt:i4>
      </vt:variant>
      <vt:variant>
        <vt:i4>50</vt:i4>
      </vt:variant>
      <vt:variant>
        <vt:i4>0</vt:i4>
      </vt:variant>
      <vt:variant>
        <vt:i4>5</vt:i4>
      </vt:variant>
      <vt:variant>
        <vt:lpwstr/>
      </vt:variant>
      <vt:variant>
        <vt:lpwstr>_Toc528331623</vt:lpwstr>
      </vt:variant>
      <vt:variant>
        <vt:i4>1376312</vt:i4>
      </vt:variant>
      <vt:variant>
        <vt:i4>44</vt:i4>
      </vt:variant>
      <vt:variant>
        <vt:i4>0</vt:i4>
      </vt:variant>
      <vt:variant>
        <vt:i4>5</vt:i4>
      </vt:variant>
      <vt:variant>
        <vt:lpwstr/>
      </vt:variant>
      <vt:variant>
        <vt:lpwstr>_Toc528331622</vt:lpwstr>
      </vt:variant>
      <vt:variant>
        <vt:i4>1376312</vt:i4>
      </vt:variant>
      <vt:variant>
        <vt:i4>38</vt:i4>
      </vt:variant>
      <vt:variant>
        <vt:i4>0</vt:i4>
      </vt:variant>
      <vt:variant>
        <vt:i4>5</vt:i4>
      </vt:variant>
      <vt:variant>
        <vt:lpwstr/>
      </vt:variant>
      <vt:variant>
        <vt:lpwstr>_Toc528331621</vt:lpwstr>
      </vt:variant>
      <vt:variant>
        <vt:i4>1376312</vt:i4>
      </vt:variant>
      <vt:variant>
        <vt:i4>32</vt:i4>
      </vt:variant>
      <vt:variant>
        <vt:i4>0</vt:i4>
      </vt:variant>
      <vt:variant>
        <vt:i4>5</vt:i4>
      </vt:variant>
      <vt:variant>
        <vt:lpwstr/>
      </vt:variant>
      <vt:variant>
        <vt:lpwstr>_Toc528331620</vt:lpwstr>
      </vt:variant>
      <vt:variant>
        <vt:i4>1441848</vt:i4>
      </vt:variant>
      <vt:variant>
        <vt:i4>26</vt:i4>
      </vt:variant>
      <vt:variant>
        <vt:i4>0</vt:i4>
      </vt:variant>
      <vt:variant>
        <vt:i4>5</vt:i4>
      </vt:variant>
      <vt:variant>
        <vt:lpwstr/>
      </vt:variant>
      <vt:variant>
        <vt:lpwstr>_Toc528331619</vt:lpwstr>
      </vt:variant>
      <vt:variant>
        <vt:i4>1441848</vt:i4>
      </vt:variant>
      <vt:variant>
        <vt:i4>20</vt:i4>
      </vt:variant>
      <vt:variant>
        <vt:i4>0</vt:i4>
      </vt:variant>
      <vt:variant>
        <vt:i4>5</vt:i4>
      </vt:variant>
      <vt:variant>
        <vt:lpwstr/>
      </vt:variant>
      <vt:variant>
        <vt:lpwstr>_Toc528331618</vt:lpwstr>
      </vt:variant>
      <vt:variant>
        <vt:i4>1441848</vt:i4>
      </vt:variant>
      <vt:variant>
        <vt:i4>14</vt:i4>
      </vt:variant>
      <vt:variant>
        <vt:i4>0</vt:i4>
      </vt:variant>
      <vt:variant>
        <vt:i4>5</vt:i4>
      </vt:variant>
      <vt:variant>
        <vt:lpwstr/>
      </vt:variant>
      <vt:variant>
        <vt:lpwstr>_Toc528331617</vt:lpwstr>
      </vt:variant>
      <vt:variant>
        <vt:i4>1441848</vt:i4>
      </vt:variant>
      <vt:variant>
        <vt:i4>8</vt:i4>
      </vt:variant>
      <vt:variant>
        <vt:i4>0</vt:i4>
      </vt:variant>
      <vt:variant>
        <vt:i4>5</vt:i4>
      </vt:variant>
      <vt:variant>
        <vt:lpwstr/>
      </vt:variant>
      <vt:variant>
        <vt:lpwstr>_Toc528331616</vt:lpwstr>
      </vt:variant>
      <vt:variant>
        <vt:i4>1441848</vt:i4>
      </vt:variant>
      <vt:variant>
        <vt:i4>2</vt:i4>
      </vt:variant>
      <vt:variant>
        <vt:i4>0</vt:i4>
      </vt:variant>
      <vt:variant>
        <vt:i4>5</vt:i4>
      </vt:variant>
      <vt:variant>
        <vt:lpwstr/>
      </vt:variant>
      <vt:variant>
        <vt:lpwstr>_Toc528331615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Objaśnienia 2022-2050</dc:title>
  <dc:subject/>
  <dc:creator>Biuro Planowania Budżetowego</dc:creator>
  <cp:keywords/>
  <dc:description/>
  <cp:lastModifiedBy>Zieliński Zbigniew</cp:lastModifiedBy>
  <cp:revision>134</cp:revision>
  <cp:lastPrinted>2021-12-21T14:56:00Z</cp:lastPrinted>
  <dcterms:created xsi:type="dcterms:W3CDTF">2018-10-29T10:27:00Z</dcterms:created>
  <dcterms:modified xsi:type="dcterms:W3CDTF">2021-12-23T07:26:00Z</dcterms:modified>
</cp:coreProperties>
</file>