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1F11D9">
        <w:rPr>
          <w:rFonts w:ascii="Calibri" w:hAnsi="Calibri"/>
        </w:rPr>
        <w:t>19</w:t>
      </w:r>
      <w:r w:rsidR="00BE4EFB">
        <w:rPr>
          <w:rFonts w:ascii="Calibri" w:hAnsi="Calibri"/>
        </w:rPr>
        <w:t>.</w:t>
      </w:r>
      <w:r w:rsidR="001F11D9">
        <w:rPr>
          <w:rFonts w:ascii="Calibri" w:hAnsi="Calibri"/>
        </w:rPr>
        <w:t xml:space="preserve"> 02</w:t>
      </w:r>
      <w:bookmarkStart w:id="0" w:name="_GoBack"/>
      <w:bookmarkEnd w:id="0"/>
      <w:r w:rsidR="00D02C81">
        <w:rPr>
          <w:rFonts w:ascii="Calibri" w:hAnsi="Calibri"/>
        </w:rPr>
        <w:t>.2020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 xml:space="preserve">PROTOKÓŁ </w:t>
      </w:r>
      <w:r w:rsidR="00A84143">
        <w:rPr>
          <w:rFonts w:asciiTheme="minorHAnsi" w:hAnsiTheme="minorHAnsi"/>
          <w:b/>
          <w:szCs w:val="24"/>
        </w:rPr>
        <w:t>…</w:t>
      </w:r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proofErr w:type="gramStart"/>
      <w:r w:rsidRPr="00425CED">
        <w:rPr>
          <w:rFonts w:asciiTheme="minorHAnsi" w:hAnsiTheme="minorHAnsi"/>
          <w:b/>
          <w:szCs w:val="24"/>
        </w:rPr>
        <w:t>z</w:t>
      </w:r>
      <w:proofErr w:type="gramEnd"/>
      <w:r w:rsidRPr="00425CED">
        <w:rPr>
          <w:rFonts w:asciiTheme="minorHAnsi" w:hAnsiTheme="minorHAnsi"/>
          <w:b/>
          <w:szCs w:val="24"/>
        </w:rPr>
        <w:t xml:space="preserve"> przeprowadzonego konkursu nr 0</w:t>
      </w:r>
      <w:r w:rsidR="00020CFA">
        <w:rPr>
          <w:rFonts w:asciiTheme="minorHAnsi" w:hAnsiTheme="minorHAnsi"/>
          <w:b/>
          <w:szCs w:val="24"/>
        </w:rPr>
        <w:t>1</w:t>
      </w:r>
      <w:r w:rsidRPr="00425CED">
        <w:rPr>
          <w:rFonts w:asciiTheme="minorHAnsi" w:hAnsiTheme="minorHAnsi"/>
          <w:b/>
          <w:szCs w:val="24"/>
        </w:rPr>
        <w:t>/</w:t>
      </w:r>
      <w:r w:rsidR="00D02C81">
        <w:rPr>
          <w:rFonts w:asciiTheme="minorHAnsi" w:hAnsiTheme="minorHAnsi"/>
          <w:b/>
          <w:szCs w:val="24"/>
        </w:rPr>
        <w:t>01/20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D02C81">
        <w:rPr>
          <w:rFonts w:asciiTheme="minorHAnsi" w:hAnsiTheme="minorHAnsi"/>
          <w:szCs w:val="24"/>
        </w:rPr>
        <w:t>24.01.2020</w:t>
      </w:r>
      <w:r w:rsidRPr="00425CED">
        <w:rPr>
          <w:rFonts w:asciiTheme="minorHAnsi" w:hAnsiTheme="minorHAnsi"/>
          <w:szCs w:val="24"/>
        </w:rPr>
        <w:t xml:space="preserve"> </w:t>
      </w:r>
      <w:proofErr w:type="gramStart"/>
      <w:r w:rsidRPr="00425CED">
        <w:rPr>
          <w:rFonts w:asciiTheme="minorHAnsi" w:hAnsiTheme="minorHAnsi"/>
          <w:szCs w:val="24"/>
        </w:rPr>
        <w:t>r</w:t>
      </w:r>
      <w:proofErr w:type="gramEnd"/>
      <w:r w:rsidRPr="00425CED">
        <w:rPr>
          <w:rFonts w:asciiTheme="minorHAnsi" w:hAnsiTheme="minorHAnsi"/>
          <w:szCs w:val="24"/>
        </w:rPr>
        <w:t xml:space="preserve">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020CFA" w:rsidRDefault="002A156B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8F7051" w:rsidRPr="007C103C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https://bip.warszawa.pl/Menu_przedmiotowe/ogloszenia/fundusze_europejskie/Miasto_stoleczne_Warszawa_oglasza_konkurs_01_01_20__.htm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020CFA" w:rsidRDefault="002A156B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F7051" w:rsidRPr="007C103C">
          <w:rPr>
            <w:rStyle w:val="Hipercze"/>
            <w:rFonts w:asciiTheme="minorHAnsi" w:hAnsiTheme="minorHAnsi"/>
            <w:szCs w:val="24"/>
          </w:rPr>
          <w:t>http://europa.um.warszawa.pl/aktualnosci/miasto-sto-eczne-warszawa-og-asza-konkurs-010120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2A156B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2A156B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037D13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037D13">
        <w:rPr>
          <w:rStyle w:val="Pogrubienie"/>
          <w:rFonts w:asciiTheme="minorHAnsi" w:hAnsiTheme="minorHAnsi"/>
          <w:szCs w:val="24"/>
          <w:u w:val="single"/>
        </w:rPr>
        <w:t>06.2020</w:t>
      </w:r>
      <w:r>
        <w:rPr>
          <w:rStyle w:val="Pogrubienie"/>
          <w:rFonts w:asciiTheme="minorHAnsi" w:hAnsiTheme="minorHAnsi"/>
          <w:szCs w:val="24"/>
          <w:u w:val="single"/>
        </w:rPr>
        <w:t xml:space="preserve"> </w:t>
      </w:r>
      <w:proofErr w:type="gramStart"/>
      <w:r>
        <w:rPr>
          <w:rStyle w:val="Pogrubienie"/>
          <w:rFonts w:asciiTheme="minorHAnsi" w:hAnsiTheme="minorHAnsi"/>
          <w:szCs w:val="24"/>
          <w:u w:val="single"/>
        </w:rPr>
        <w:t>r</w:t>
      </w:r>
      <w:proofErr w:type="gramEnd"/>
      <w:r>
        <w:rPr>
          <w:rStyle w:val="Pogrubienie"/>
          <w:rFonts w:asciiTheme="minorHAnsi" w:hAnsiTheme="minorHAnsi"/>
          <w:szCs w:val="24"/>
          <w:u w:val="single"/>
        </w:rPr>
        <w:t>.,</w:t>
      </w:r>
      <w:r w:rsidRPr="00E639C3">
        <w:rPr>
          <w:rFonts w:asciiTheme="minorHAnsi" w:hAnsiTheme="minorHAnsi"/>
          <w:szCs w:val="24"/>
        </w:rPr>
        <w:t xml:space="preserve"> w godzinach 8.00 - 16:00 </w:t>
      </w:r>
      <w:proofErr w:type="gramStart"/>
      <w:r w:rsidRPr="00E639C3">
        <w:rPr>
          <w:rFonts w:asciiTheme="minorHAnsi" w:hAnsiTheme="minorHAnsi"/>
          <w:szCs w:val="24"/>
        </w:rPr>
        <w:t>w</w:t>
      </w:r>
      <w:proofErr w:type="gramEnd"/>
      <w:r w:rsidRPr="00E639C3">
        <w:rPr>
          <w:rFonts w:asciiTheme="minorHAnsi" w:hAnsiTheme="minorHAnsi"/>
          <w:szCs w:val="24"/>
        </w:rPr>
        <w:t xml:space="preserve">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lastRenderedPageBreak/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</w:t>
      </w:r>
      <w:proofErr w:type="gramStart"/>
      <w:r w:rsidRPr="00425CED">
        <w:rPr>
          <w:rFonts w:asciiTheme="minorHAnsi" w:hAnsiTheme="minorHAnsi"/>
          <w:bCs/>
          <w:szCs w:val="24"/>
        </w:rPr>
        <w:t>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>, w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terminie i miejscu wskazanym w ogłoszeniu i dostępnym na stronach: </w:t>
      </w:r>
    </w:p>
    <w:p w:rsidR="000533CE" w:rsidRPr="00BE4EFB" w:rsidRDefault="002A156B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proofErr w:type="gramStart"/>
      <w:r w:rsidRPr="00425CED">
        <w:rPr>
          <w:rFonts w:asciiTheme="minorHAnsi" w:hAnsiTheme="minorHAnsi"/>
          <w:bCs/>
          <w:szCs w:val="24"/>
        </w:rPr>
        <w:t>oraz</w:t>
      </w:r>
      <w:proofErr w:type="gramEnd"/>
    </w:p>
    <w:p w:rsidR="000533CE" w:rsidRPr="00BE4EFB" w:rsidRDefault="002A156B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wypełnione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i podpisane oświadczenie oferenta (załącznik nr 2), dostępne na </w:t>
      </w:r>
      <w:proofErr w:type="gramStart"/>
      <w:r w:rsidRPr="00425CED">
        <w:rPr>
          <w:rFonts w:asciiTheme="minorHAnsi" w:hAnsiTheme="minorHAnsi"/>
          <w:bCs/>
          <w:szCs w:val="24"/>
        </w:rPr>
        <w:t>stronach</w:t>
      </w:r>
      <w:proofErr w:type="gramEnd"/>
      <w:r w:rsidRPr="00425CED">
        <w:rPr>
          <w:rFonts w:asciiTheme="minorHAnsi" w:hAnsiTheme="minorHAnsi"/>
          <w:bCs/>
          <w:szCs w:val="24"/>
        </w:rPr>
        <w:t>:</w:t>
      </w:r>
    </w:p>
    <w:p w:rsidR="000533CE" w:rsidRPr="00BE4EFB" w:rsidRDefault="002A156B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wypełnione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i podpisane oświadczenie oferenta (załącznik nr 3), dostępne na stronach:</w:t>
      </w:r>
    </w:p>
    <w:p w:rsidR="000533CE" w:rsidRPr="00BE4EFB" w:rsidRDefault="002A156B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wskazanie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krótki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planowany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zgodność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Innowacyjną Warszawą 2020. Programem wspierania przedsiębiorczości:  </w:t>
      </w:r>
    </w:p>
    <w:p w:rsidR="001D611C" w:rsidRPr="00BE4EFB" w:rsidRDefault="002A156B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wskazanie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dysponowanie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określenie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cel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opis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planowane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lastRenderedPageBreak/>
        <w:t>szacowany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najważniejsze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doświadczenie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spodziewane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oferowany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przedstawienie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zgodność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</w:t>
      </w:r>
      <w:proofErr w:type="gramStart"/>
      <w:r w:rsidRPr="00425CED">
        <w:rPr>
          <w:rFonts w:asciiTheme="minorHAnsi" w:hAnsiTheme="minorHAnsi" w:cs="Tahoma"/>
          <w:szCs w:val="24"/>
        </w:rPr>
        <w:t>w</w:t>
      </w:r>
      <w:proofErr w:type="gramEnd"/>
      <w:r w:rsidRPr="00425CED">
        <w:rPr>
          <w:rFonts w:asciiTheme="minorHAnsi" w:hAnsiTheme="minorHAnsi" w:cs="Tahoma"/>
          <w:szCs w:val="24"/>
        </w:rPr>
        <w:t xml:space="preserve">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Weryfikacja formalna treści ofert pozwoliła na wyodrębnienie obszarów, według </w:t>
      </w:r>
      <w:proofErr w:type="gramStart"/>
      <w:r w:rsidRPr="00425CED">
        <w:rPr>
          <w:rFonts w:asciiTheme="minorHAnsi" w:hAnsiTheme="minorHAnsi"/>
          <w:szCs w:val="24"/>
        </w:rPr>
        <w:t>których  przebiegała</w:t>
      </w:r>
      <w:proofErr w:type="gramEnd"/>
      <w:r w:rsidRPr="00425CED">
        <w:rPr>
          <w:rFonts w:asciiTheme="minorHAnsi" w:hAnsiTheme="minorHAnsi"/>
          <w:szCs w:val="24"/>
        </w:rPr>
        <w:t xml:space="preserve">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492EAE" w:rsidRPr="00BE4EFB" w:rsidRDefault="00E53AA5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edukacja</w:t>
      </w:r>
      <w:proofErr w:type="gramEnd"/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Podczas posiedzenia opiniującego oferty współpracy potencjalnych partnerów </w:t>
      </w:r>
      <w:proofErr w:type="gramStart"/>
      <w:r w:rsidRPr="00425CED">
        <w:rPr>
          <w:rFonts w:asciiTheme="minorHAnsi" w:hAnsiTheme="minorHAnsi"/>
          <w:szCs w:val="24"/>
        </w:rPr>
        <w:t>obradowała  komisja</w:t>
      </w:r>
      <w:proofErr w:type="gramEnd"/>
      <w:r w:rsidRPr="00425CED">
        <w:rPr>
          <w:rFonts w:asciiTheme="minorHAnsi" w:hAnsiTheme="minorHAnsi"/>
          <w:szCs w:val="24"/>
        </w:rPr>
        <w:t xml:space="preserve"> w następującym składzie:</w:t>
      </w:r>
    </w:p>
    <w:p w:rsidR="00E53AA5" w:rsidRPr="00E53AA5" w:rsidRDefault="00E53AA5" w:rsidP="00E53AA5">
      <w:pPr>
        <w:pStyle w:val="Akapitzlist"/>
        <w:numPr>
          <w:ilvl w:val="2"/>
          <w:numId w:val="9"/>
        </w:numPr>
        <w:rPr>
          <w:rFonts w:asciiTheme="minorHAnsi" w:hAnsiTheme="minorHAnsi"/>
          <w:szCs w:val="24"/>
        </w:rPr>
      </w:pPr>
      <w:r w:rsidRPr="00E53AA5">
        <w:rPr>
          <w:rFonts w:asciiTheme="minorHAnsi" w:hAnsiTheme="minorHAnsi"/>
          <w:szCs w:val="24"/>
        </w:rPr>
        <w:t>Arkadiusz Walczak, samorządowa placówka doskonalenia nauczycieli – Warszawskie Centrum Innowacji Edukacyjno-Społecznych i Szkoleń</w:t>
      </w:r>
    </w:p>
    <w:p w:rsidR="00E53AA5" w:rsidRPr="00E53AA5" w:rsidRDefault="00E53AA5" w:rsidP="00E53AA5">
      <w:pPr>
        <w:pStyle w:val="Akapitzlist"/>
        <w:numPr>
          <w:ilvl w:val="2"/>
          <w:numId w:val="9"/>
        </w:numPr>
        <w:rPr>
          <w:rFonts w:asciiTheme="minorHAnsi" w:hAnsiTheme="minorHAnsi"/>
          <w:szCs w:val="24"/>
        </w:rPr>
      </w:pPr>
      <w:r w:rsidRPr="00E53AA5">
        <w:rPr>
          <w:rFonts w:asciiTheme="minorHAnsi" w:hAnsiTheme="minorHAnsi"/>
          <w:szCs w:val="24"/>
        </w:rPr>
        <w:t>Barbara Robakiewicz, Wydział Doskonalenia Nauczycieli, Projektów Edukacyjnych i Europejskich, Biuro</w:t>
      </w:r>
      <w:r w:rsidR="00765BB4">
        <w:rPr>
          <w:rFonts w:asciiTheme="minorHAnsi" w:hAnsiTheme="minorHAnsi"/>
          <w:szCs w:val="24"/>
        </w:rPr>
        <w:t xml:space="preserve"> Edukacji Urzędu m.st. Warszawy.</w:t>
      </w: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lastRenderedPageBreak/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a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złożenie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3851EF" w:rsidRPr="00BE4EFB" w:rsidRDefault="009D6379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b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wypełnione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9D6379" w:rsidRDefault="009D6379" w:rsidP="00472D97">
            <w:pPr>
              <w:jc w:val="both"/>
              <w:rPr>
                <w:rFonts w:asciiTheme="minorHAnsi" w:hAnsiTheme="minorHAnsi"/>
                <w:b/>
                <w:szCs w:val="24"/>
              </w:rPr>
            </w:pPr>
            <w:r w:rsidRPr="009D6379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c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wypełnione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9D6379" w:rsidRDefault="009D6379" w:rsidP="00472D97">
            <w:pPr>
              <w:jc w:val="both"/>
              <w:rPr>
                <w:rFonts w:asciiTheme="minorHAnsi" w:hAnsiTheme="minorHAnsi"/>
                <w:b/>
                <w:szCs w:val="24"/>
              </w:rPr>
            </w:pPr>
            <w:r w:rsidRPr="009D6379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d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bCs/>
                <w:szCs w:val="24"/>
              </w:rPr>
              <w:t>wskazanie</w:t>
            </w:r>
            <w:proofErr w:type="gramEnd"/>
            <w:r w:rsidRPr="00425CED">
              <w:rPr>
                <w:rFonts w:asciiTheme="minorHAnsi" w:hAnsiTheme="minorHAnsi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9D6379" w:rsidRDefault="009D6379" w:rsidP="00472D97">
            <w:pPr>
              <w:jc w:val="both"/>
              <w:rPr>
                <w:rFonts w:asciiTheme="minorHAnsi" w:hAnsiTheme="minorHAnsi"/>
                <w:b/>
                <w:szCs w:val="24"/>
              </w:rPr>
            </w:pPr>
            <w:r w:rsidRPr="009D6379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e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krótki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9D6379" w:rsidRDefault="009D6379" w:rsidP="00472D97">
            <w:pPr>
              <w:jc w:val="both"/>
              <w:rPr>
                <w:rFonts w:asciiTheme="minorHAnsi" w:hAnsiTheme="minorHAnsi"/>
                <w:b/>
                <w:szCs w:val="24"/>
              </w:rPr>
            </w:pPr>
            <w:r w:rsidRPr="009D6379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f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planowany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9D6379" w:rsidRDefault="009D6379" w:rsidP="00472D97">
            <w:pPr>
              <w:jc w:val="both"/>
              <w:rPr>
                <w:rFonts w:asciiTheme="minorHAnsi" w:hAnsiTheme="minorHAnsi"/>
                <w:b/>
                <w:szCs w:val="24"/>
              </w:rPr>
            </w:pPr>
            <w:r w:rsidRPr="009D6379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g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zgodność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9D6379" w:rsidRDefault="003851EF" w:rsidP="00977D33">
            <w:pPr>
              <w:jc w:val="both"/>
              <w:rPr>
                <w:rFonts w:asciiTheme="minorHAnsi" w:hAnsiTheme="minorHAnsi"/>
                <w:b/>
                <w:szCs w:val="24"/>
              </w:rPr>
            </w:pPr>
          </w:p>
          <w:p w:rsidR="003851EF" w:rsidRPr="009D6379" w:rsidRDefault="009D6379" w:rsidP="00472D97">
            <w:pPr>
              <w:jc w:val="both"/>
              <w:rPr>
                <w:rFonts w:asciiTheme="minorHAnsi" w:hAnsiTheme="minorHAnsi"/>
                <w:b/>
                <w:szCs w:val="24"/>
              </w:rPr>
            </w:pPr>
            <w:r w:rsidRPr="009D6379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h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wskazanie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9D6379" w:rsidRDefault="009D6379" w:rsidP="00472D97">
            <w:pPr>
              <w:jc w:val="both"/>
              <w:rPr>
                <w:rFonts w:asciiTheme="minorHAnsi" w:hAnsiTheme="minorHAnsi"/>
                <w:b/>
                <w:szCs w:val="24"/>
              </w:rPr>
            </w:pPr>
            <w:r w:rsidRPr="009D6379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i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dysponowanie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9D6379" w:rsidRDefault="009D6379" w:rsidP="00A84143">
            <w:pPr>
              <w:jc w:val="both"/>
              <w:rPr>
                <w:rFonts w:asciiTheme="minorHAnsi" w:hAnsiTheme="minorHAnsi"/>
                <w:b/>
                <w:szCs w:val="24"/>
              </w:rPr>
            </w:pPr>
            <w:r w:rsidRPr="009D6379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j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szCs w:val="24"/>
              </w:rPr>
              <w:t>określenie</w:t>
            </w:r>
            <w:proofErr w:type="gramEnd"/>
            <w:r w:rsidRPr="00425CED">
              <w:rPr>
                <w:rFonts w:asciiTheme="minorHAnsi" w:hAnsiTheme="minorHAnsi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9D6379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3851EF" w:rsidRPr="00BE4EFB" w:rsidRDefault="009D6379" w:rsidP="0004316A">
            <w:pPr>
              <w:rPr>
                <w:rFonts w:asciiTheme="minorHAnsi" w:hAnsiTheme="minorHAnsi"/>
                <w:b/>
                <w:szCs w:val="24"/>
              </w:rPr>
            </w:pPr>
            <w:r w:rsidRPr="009D6379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a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cel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9D6379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b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opis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9D6379" w:rsidP="00765BB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5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c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planowane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9D6379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d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szacowany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9D6379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e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najważniejsze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wskaźniki realizacji </w:t>
            </w:r>
            <w:r w:rsidRPr="00425CED">
              <w:rPr>
                <w:rFonts w:asciiTheme="minorHAnsi" w:hAnsiTheme="minorHAnsi" w:cs="Tahoma"/>
                <w:bCs/>
                <w:szCs w:val="24"/>
              </w:rPr>
              <w:lastRenderedPageBreak/>
              <w:t>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lastRenderedPageBreak/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9D6379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lastRenderedPageBreak/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f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doświadczenie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9D6379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g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spodziewane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9D6379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h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oferowany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9D6379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i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przedstawienie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A4339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9D6379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j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zgodność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25CED" w:rsidP="0004316A">
            <w:pPr>
              <w:tabs>
                <w:tab w:val="left" w:pos="349"/>
              </w:tabs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 xml:space="preserve">               </w:t>
            </w:r>
            <w:r w:rsidR="009D6379">
              <w:rPr>
                <w:rFonts w:asciiTheme="minorHAnsi" w:hAnsiTheme="minorHAnsi"/>
                <w:b/>
                <w:bCs/>
                <w:szCs w:val="24"/>
              </w:rPr>
              <w:t>1</w:t>
            </w:r>
          </w:p>
        </w:tc>
      </w:tr>
      <w:tr w:rsidR="003851EF" w:rsidRPr="00BE4EFB" w:rsidTr="003851EF">
        <w:tc>
          <w:tcPr>
            <w:tcW w:w="4641" w:type="dxa"/>
            <w:gridSpan w:val="2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3851EF" w:rsidRPr="00BE4EFB" w:rsidRDefault="00765BB4" w:rsidP="00E0517C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32</w:t>
            </w:r>
          </w:p>
        </w:tc>
        <w:tc>
          <w:tcPr>
            <w:tcW w:w="4640" w:type="dxa"/>
          </w:tcPr>
          <w:p w:rsidR="003851EF" w:rsidRPr="00BE4EFB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3851EF" w:rsidRPr="00BE4EFB" w:rsidRDefault="00425CED" w:rsidP="00977D33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3851EF" w:rsidRPr="00BE4EFB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zawarcie porozumień partnerskich oraz wspólną realizację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9D6379" w:rsidP="00A84143">
      <w:pPr>
        <w:jc w:val="both"/>
        <w:rPr>
          <w:rFonts w:ascii="Calibri" w:hAnsi="Calibri"/>
          <w:b/>
        </w:rPr>
      </w:pPr>
      <w:r w:rsidRPr="009D6379">
        <w:rPr>
          <w:rFonts w:ascii="Calibri" w:hAnsi="Calibri"/>
          <w:b/>
        </w:rPr>
        <w:t>Polska Fundacja im. Roberta Schumana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</w:t>
      </w:r>
      <w:r w:rsidR="00765BB4">
        <w:rPr>
          <w:rFonts w:ascii="Calibri" w:hAnsi="Calibri"/>
        </w:rPr>
        <w:t>edniego kontaktu (Przemysław Desperat,</w:t>
      </w:r>
      <w:r w:rsidR="00765BB4" w:rsidRPr="00765BB4">
        <w:t xml:space="preserve"> </w:t>
      </w:r>
      <w:r w:rsidR="00765BB4" w:rsidRPr="00765BB4">
        <w:rPr>
          <w:rFonts w:ascii="Calibri" w:hAnsi="Calibri"/>
        </w:rPr>
        <w:t>Wydział Doskonalenia Nauczycieli, Projektów Edukacyjnych i Europejskich, Biuro Edukacji Urzędu m.st. Warszawy</w:t>
      </w:r>
      <w:r w:rsidR="00765BB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, nr </w:t>
      </w:r>
      <w:proofErr w:type="spellStart"/>
      <w:r>
        <w:rPr>
          <w:rFonts w:ascii="Calibri" w:hAnsi="Calibri"/>
        </w:rPr>
        <w:t>tel</w:t>
      </w:r>
      <w:proofErr w:type="spellEnd"/>
      <w:r w:rsidR="00765BB4">
        <w:rPr>
          <w:rFonts w:ascii="Calibri" w:hAnsi="Calibri"/>
        </w:rPr>
        <w:t xml:space="preserve"> 22 44 39 476 ., pdesperat@um.warszawa.</w:t>
      </w:r>
      <w:proofErr w:type="gramStart"/>
      <w:r w:rsidR="00765BB4">
        <w:rPr>
          <w:rFonts w:ascii="Calibri" w:hAnsi="Calibri"/>
        </w:rPr>
        <w:t>pl</w:t>
      </w:r>
      <w:proofErr w:type="gramEnd"/>
      <w:r>
        <w:rPr>
          <w:rFonts w:ascii="Calibri" w:hAnsi="Calibri"/>
        </w:rPr>
        <w:t>)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765BB4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 xml:space="preserve">Nie dotyczy 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 xml:space="preserve">W rezultacie ogłoszonego konkursu nie rekomendowano zawarcia porozumienia partnerskiego z następującym podmiotem:  </w:t>
      </w:r>
    </w:p>
    <w:p w:rsidR="00A84143" w:rsidRDefault="00A84143" w:rsidP="00A84143">
      <w:pPr>
        <w:jc w:val="both"/>
        <w:rPr>
          <w:rFonts w:ascii="Calibri" w:hAnsi="Calibri"/>
        </w:rPr>
      </w:pPr>
    </w:p>
    <w:p w:rsidR="00A84143" w:rsidRDefault="00765BB4" w:rsidP="00A84143">
      <w:pPr>
        <w:tabs>
          <w:tab w:val="left" w:pos="4005"/>
        </w:tabs>
        <w:rPr>
          <w:rFonts w:ascii="Calibri" w:hAnsi="Calibri"/>
        </w:rPr>
      </w:pPr>
      <w:r>
        <w:rPr>
          <w:rFonts w:ascii="Calibri" w:hAnsi="Calibri"/>
        </w:rPr>
        <w:t>Nie dotyczy</w:t>
      </w: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FA45EC" w:rsidRPr="00BE4EFB" w:rsidRDefault="00FA45EC" w:rsidP="00FA45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0"/>
      <w:headerReference w:type="first" r:id="rId21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6B" w:rsidRDefault="002A156B">
      <w:r>
        <w:separator/>
      </w:r>
    </w:p>
  </w:endnote>
  <w:endnote w:type="continuationSeparator" w:id="0">
    <w:p w:rsidR="002A156B" w:rsidRDefault="002A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6B" w:rsidRDefault="002A156B">
      <w:r>
        <w:separator/>
      </w:r>
    </w:p>
  </w:footnote>
  <w:footnote w:type="continuationSeparator" w:id="0">
    <w:p w:rsidR="002A156B" w:rsidRDefault="002A156B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65A0103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8DC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="Times New Roman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AF4"/>
    <w:rsid w:val="00004BD0"/>
    <w:rsid w:val="00020CFA"/>
    <w:rsid w:val="00032823"/>
    <w:rsid w:val="00032DEB"/>
    <w:rsid w:val="00037D13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11D9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A156B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B5D82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65BB4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8F7051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D6379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2C81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AA5"/>
    <w:rsid w:val="00E53C1D"/>
    <w:rsid w:val="00E54F1E"/>
    <w:rsid w:val="00E60B56"/>
    <w:rsid w:val="00E639C3"/>
    <w:rsid w:val="00E75F01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810946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0__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miasto-sto-eczne-warszawa-og-asza-konkurs-010120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641E-5A24-4BB9-B1E2-D48117D7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1547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10813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Robakiewicz Barbara</cp:lastModifiedBy>
  <cp:revision>32</cp:revision>
  <cp:lastPrinted>2017-10-25T05:50:00Z</cp:lastPrinted>
  <dcterms:created xsi:type="dcterms:W3CDTF">2017-10-25T05:38:00Z</dcterms:created>
  <dcterms:modified xsi:type="dcterms:W3CDTF">2020-02-19T08:08:00Z</dcterms:modified>
</cp:coreProperties>
</file>