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DC" w:rsidRDefault="003B77B8" w:rsidP="000473BD">
      <w:pPr>
        <w:jc w:val="center"/>
        <w:rPr>
          <w:rFonts w:ascii="Arial Narrow" w:hAnsi="Arial Narrow"/>
          <w:b/>
          <w:sz w:val="28"/>
          <w:szCs w:val="28"/>
        </w:rPr>
      </w:pPr>
      <w:r w:rsidRPr="003B77B8">
        <w:rPr>
          <w:rFonts w:ascii="Arial Narrow" w:hAnsi="Arial Narrow"/>
          <w:b/>
          <w:sz w:val="28"/>
          <w:szCs w:val="28"/>
        </w:rPr>
        <w:t>Karta oceny</w:t>
      </w:r>
    </w:p>
    <w:p w:rsidR="000473BD" w:rsidRPr="000473BD" w:rsidRDefault="000473BD" w:rsidP="000473BD">
      <w:pPr>
        <w:jc w:val="center"/>
        <w:rPr>
          <w:rFonts w:ascii="Arial Narrow" w:hAnsi="Arial Narrow"/>
          <w:b/>
          <w:sz w:val="28"/>
          <w:szCs w:val="28"/>
        </w:rPr>
      </w:pPr>
    </w:p>
    <w:p w:rsidR="006369A6" w:rsidRPr="00672EAD" w:rsidRDefault="003B77B8" w:rsidP="006369A6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Informacje o ofercie:</w:t>
      </w:r>
    </w:p>
    <w:p w:rsid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Numer i da</w:t>
      </w:r>
      <w:r w:rsidR="00585732">
        <w:rPr>
          <w:rFonts w:ascii="Arial Narrow" w:hAnsi="Arial Narrow"/>
          <w:b/>
          <w:szCs w:val="24"/>
        </w:rPr>
        <w:t xml:space="preserve">ta wpływu </w:t>
      </w:r>
      <w:r w:rsidR="00425C87">
        <w:rPr>
          <w:rFonts w:ascii="Arial Narrow" w:hAnsi="Arial Narrow"/>
          <w:b/>
          <w:szCs w:val="24"/>
        </w:rPr>
        <w:t>do sekr</w:t>
      </w:r>
      <w:r w:rsidR="00493645">
        <w:rPr>
          <w:rFonts w:ascii="Arial Narrow" w:hAnsi="Arial Narrow"/>
          <w:b/>
          <w:szCs w:val="24"/>
        </w:rPr>
        <w:t>etariat</w:t>
      </w:r>
      <w:r w:rsidR="00377E7C">
        <w:rPr>
          <w:rFonts w:ascii="Arial Narrow" w:hAnsi="Arial Narrow"/>
          <w:b/>
          <w:szCs w:val="24"/>
        </w:rPr>
        <w:t xml:space="preserve"> </w:t>
      </w:r>
      <w:proofErr w:type="spellStart"/>
      <w:r w:rsidR="00377E7C">
        <w:rPr>
          <w:rFonts w:ascii="Arial Narrow" w:hAnsi="Arial Narrow"/>
          <w:b/>
          <w:szCs w:val="24"/>
        </w:rPr>
        <w:t>BFEiPR</w:t>
      </w:r>
      <w:proofErr w:type="spellEnd"/>
      <w:r w:rsidR="00377E7C">
        <w:rPr>
          <w:rFonts w:ascii="Arial Narrow" w:hAnsi="Arial Narrow"/>
          <w:b/>
          <w:szCs w:val="24"/>
        </w:rPr>
        <w:t xml:space="preserve"> FE-</w:t>
      </w:r>
      <w:r w:rsidR="00201957">
        <w:rPr>
          <w:rFonts w:ascii="Arial Narrow" w:hAnsi="Arial Narrow"/>
          <w:b/>
          <w:szCs w:val="24"/>
        </w:rPr>
        <w:t>S/1066/20 z dnia 30</w:t>
      </w:r>
      <w:r w:rsidR="00817E04">
        <w:rPr>
          <w:rFonts w:ascii="Arial Narrow" w:hAnsi="Arial Narrow"/>
          <w:b/>
          <w:szCs w:val="24"/>
        </w:rPr>
        <w:t>.06</w:t>
      </w:r>
      <w:r w:rsidR="00210409">
        <w:rPr>
          <w:rFonts w:ascii="Arial Narrow" w:hAnsi="Arial Narrow"/>
          <w:b/>
          <w:szCs w:val="24"/>
        </w:rPr>
        <w:t>.2020</w:t>
      </w:r>
    </w:p>
    <w:p w:rsidR="006369A6" w:rsidRP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Pełna nazwa wnioskodawcy</w:t>
      </w:r>
      <w:r w:rsidR="00E52E90">
        <w:rPr>
          <w:rFonts w:ascii="Arial Narrow" w:hAnsi="Arial Narrow"/>
          <w:b/>
          <w:szCs w:val="24"/>
        </w:rPr>
        <w:t xml:space="preserve">: </w:t>
      </w:r>
      <w:r w:rsidR="00201957">
        <w:rPr>
          <w:rFonts w:ascii="Arial Narrow" w:hAnsi="Arial Narrow"/>
          <w:b/>
          <w:szCs w:val="24"/>
        </w:rPr>
        <w:t>Mazowiecka Grupa Szkoleniowo – Doradcza Kajetan Kisielewski</w:t>
      </w:r>
    </w:p>
    <w:p w:rsidR="006369A6" w:rsidRPr="00672EAD" w:rsidRDefault="0053208D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Status prawny wnioskodawcy: </w:t>
      </w:r>
    </w:p>
    <w:p w:rsidR="00FA5666" w:rsidRDefault="003B77B8" w:rsidP="00263A35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5666">
        <w:rPr>
          <w:rFonts w:ascii="Arial Narrow" w:hAnsi="Arial Narrow"/>
          <w:b/>
          <w:szCs w:val="24"/>
        </w:rPr>
        <w:t>Dane teleadresowe wnioskodawcy:</w:t>
      </w:r>
      <w:r w:rsidR="00DC1DF0" w:rsidRPr="00FA5666">
        <w:rPr>
          <w:rFonts w:ascii="Arial Narrow" w:hAnsi="Arial Narrow"/>
          <w:b/>
          <w:szCs w:val="24"/>
        </w:rPr>
        <w:t xml:space="preserve"> </w:t>
      </w:r>
      <w:r w:rsidR="00201957">
        <w:rPr>
          <w:rFonts w:ascii="Arial Narrow" w:hAnsi="Arial Narrow"/>
          <w:b/>
          <w:szCs w:val="24"/>
        </w:rPr>
        <w:t>ul. Świętochowskiego 1/74, 01-318 Warszawa</w:t>
      </w:r>
    </w:p>
    <w:p w:rsidR="00FA482B" w:rsidRPr="00FA5666" w:rsidRDefault="003B77B8" w:rsidP="00263A35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5666">
        <w:rPr>
          <w:rFonts w:ascii="Arial Narrow" w:hAnsi="Arial Narrow"/>
          <w:b/>
          <w:szCs w:val="24"/>
        </w:rPr>
        <w:t>Tytuł projektu:</w:t>
      </w:r>
      <w:r w:rsidR="00377E7C">
        <w:rPr>
          <w:rFonts w:ascii="Arial Narrow" w:hAnsi="Arial Narrow"/>
          <w:b/>
          <w:szCs w:val="24"/>
        </w:rPr>
        <w:t xml:space="preserve"> </w:t>
      </w:r>
      <w:r w:rsidR="00201957">
        <w:rPr>
          <w:rFonts w:ascii="Arial Narrow" w:hAnsi="Arial Narrow"/>
          <w:b/>
          <w:szCs w:val="24"/>
        </w:rPr>
        <w:t>Praca w zasięgu ręki</w:t>
      </w:r>
    </w:p>
    <w:p w:rsidR="000854F3" w:rsidRPr="00FA482B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482B">
        <w:rPr>
          <w:rFonts w:ascii="Arial Narrow" w:hAnsi="Arial Narrow"/>
          <w:b/>
          <w:szCs w:val="24"/>
        </w:rPr>
        <w:t>Obszar wiodący:</w:t>
      </w:r>
      <w:r w:rsidR="00C2620A" w:rsidRPr="00FA482B">
        <w:rPr>
          <w:rFonts w:ascii="Arial Narrow" w:hAnsi="Arial Narrow"/>
          <w:b/>
          <w:szCs w:val="24"/>
        </w:rPr>
        <w:t xml:space="preserve"> </w:t>
      </w:r>
      <w:r w:rsidR="00201957">
        <w:rPr>
          <w:rFonts w:ascii="Arial Narrow" w:hAnsi="Arial Narrow"/>
          <w:b/>
          <w:szCs w:val="24"/>
        </w:rPr>
        <w:t>pomoc społeczna</w:t>
      </w:r>
    </w:p>
    <w:p w:rsidR="008C09BE" w:rsidRPr="00672EAD" w:rsidRDefault="008C09BE" w:rsidP="008C09BE">
      <w:pPr>
        <w:ind w:left="1080"/>
        <w:rPr>
          <w:rFonts w:ascii="Arial Narrow" w:hAnsi="Arial Narrow"/>
          <w:b/>
          <w:szCs w:val="24"/>
        </w:rPr>
      </w:pPr>
    </w:p>
    <w:p w:rsidR="009F6B10" w:rsidRPr="00672EAD" w:rsidRDefault="003B77B8" w:rsidP="009F6B10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</w:rPr>
        <w:t>Dane osoby oceniającej</w:t>
      </w:r>
      <w:r w:rsidR="00E63A80">
        <w:rPr>
          <w:rFonts w:ascii="Arial Narrow" w:hAnsi="Arial Narrow"/>
          <w:b/>
        </w:rPr>
        <w:t xml:space="preserve"> (i</w:t>
      </w:r>
      <w:r w:rsidR="00E63A80" w:rsidRPr="003B77B8">
        <w:rPr>
          <w:rFonts w:ascii="Arial Narrow" w:hAnsi="Arial Narrow"/>
          <w:b/>
        </w:rPr>
        <w:t>mię i nazwisko</w:t>
      </w:r>
      <w:r w:rsidR="00E63A80">
        <w:rPr>
          <w:rFonts w:ascii="Arial Narrow" w:hAnsi="Arial Narrow"/>
          <w:b/>
        </w:rPr>
        <w:t>, k</w:t>
      </w:r>
      <w:r w:rsidR="00E63A80" w:rsidRPr="003B77B8">
        <w:rPr>
          <w:rFonts w:ascii="Arial Narrow" w:hAnsi="Arial Narrow"/>
          <w:b/>
        </w:rPr>
        <w:t>omórka/jednostka merytoryczna</w:t>
      </w:r>
      <w:r w:rsidR="00E63A80">
        <w:rPr>
          <w:rFonts w:ascii="Arial Narrow" w:hAnsi="Arial Narrow"/>
          <w:b/>
        </w:rPr>
        <w:t>):</w:t>
      </w:r>
    </w:p>
    <w:p w:rsidR="006369A6" w:rsidRPr="00E63A80" w:rsidRDefault="00C62FD3" w:rsidP="006369A6">
      <w:pPr>
        <w:numPr>
          <w:ilvl w:val="1"/>
          <w:numId w:val="26"/>
        </w:numPr>
        <w:rPr>
          <w:rFonts w:ascii="Arial Narrow" w:hAnsi="Arial Narrow"/>
        </w:rPr>
      </w:pPr>
      <w:r w:rsidRPr="00E63A80">
        <w:rPr>
          <w:rFonts w:ascii="Arial Narrow" w:hAnsi="Arial Narrow"/>
        </w:rPr>
        <w:t>Agata Piotrowska</w:t>
      </w:r>
      <w:r w:rsidR="00E63A80" w:rsidRPr="00E63A80">
        <w:rPr>
          <w:rFonts w:ascii="Arial Narrow" w:hAnsi="Arial Narrow"/>
        </w:rPr>
        <w:t xml:space="preserve">, </w:t>
      </w:r>
      <w:r w:rsidR="00E63A80" w:rsidRPr="00E63A80">
        <w:rPr>
          <w:rFonts w:ascii="Arial Narrow" w:hAnsi="Arial Narrow"/>
        </w:rPr>
        <w:t>Ośrodek Pomocy Społecznej Dzielnicy Bielany m. st. Warszawy</w:t>
      </w:r>
    </w:p>
    <w:p w:rsidR="00E63A80" w:rsidRPr="00E63A80" w:rsidRDefault="00E63A80" w:rsidP="00E63A80">
      <w:pPr>
        <w:numPr>
          <w:ilvl w:val="1"/>
          <w:numId w:val="26"/>
        </w:numPr>
        <w:rPr>
          <w:rFonts w:ascii="Arial Narrow" w:hAnsi="Arial Narrow"/>
        </w:rPr>
      </w:pPr>
      <w:r w:rsidRPr="00E63A80">
        <w:rPr>
          <w:rFonts w:ascii="Arial Narrow" w:hAnsi="Arial Narrow"/>
          <w:szCs w:val="24"/>
        </w:rPr>
        <w:t xml:space="preserve">Joanna Patoka, Biuro Pomocy i Projektów Społecznych Urzędu m.st. Warszawy </w:t>
      </w:r>
    </w:p>
    <w:p w:rsidR="006369A6" w:rsidRPr="00672EAD" w:rsidRDefault="00E63A80" w:rsidP="006369A6">
      <w:pPr>
        <w:numPr>
          <w:ilvl w:val="1"/>
          <w:numId w:val="26"/>
        </w:numPr>
        <w:rPr>
          <w:rFonts w:ascii="Arial Narrow" w:hAnsi="Arial Narrow"/>
          <w:b/>
        </w:rPr>
      </w:pPr>
      <w:r w:rsidRPr="00E63A80">
        <w:rPr>
          <w:rFonts w:ascii="Arial Narrow" w:hAnsi="Arial Narrow"/>
          <w:szCs w:val="24"/>
        </w:rPr>
        <w:t>Magdalena Wieczorek, Biuro Pomocy i Projektów Społecznych Urzędu m.st. Warszawy</w:t>
      </w:r>
      <w:r w:rsidR="00C62FD3">
        <w:rPr>
          <w:rFonts w:ascii="Arial Narrow" w:hAnsi="Arial Narrow"/>
          <w:b/>
        </w:rPr>
        <w:tab/>
      </w:r>
    </w:p>
    <w:p w:rsidR="00642ADC" w:rsidRPr="00672EAD" w:rsidRDefault="00642ADC" w:rsidP="000473BD">
      <w:pPr>
        <w:rPr>
          <w:rFonts w:ascii="Arial Narrow" w:hAnsi="Arial Narrow"/>
          <w:b/>
          <w:szCs w:val="24"/>
        </w:rPr>
      </w:pPr>
    </w:p>
    <w:p w:rsidR="009F6B10" w:rsidRPr="00672EAD" w:rsidRDefault="003B77B8" w:rsidP="006369A6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</w:rPr>
        <w:t>Kryteria oraz sposób oceny:</w:t>
      </w:r>
    </w:p>
    <w:p w:rsidR="009F6B10" w:rsidRPr="00A713D4" w:rsidRDefault="009F6B10" w:rsidP="009F6B10">
      <w:pPr>
        <w:jc w:val="both"/>
        <w:rPr>
          <w:rFonts w:ascii="Calibri" w:hAnsi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3986"/>
        <w:gridCol w:w="2563"/>
        <w:gridCol w:w="1957"/>
      </w:tblGrid>
      <w:tr w:rsidR="006369A6" w:rsidRPr="00672EAD" w:rsidTr="00C24AF8">
        <w:trPr>
          <w:jc w:val="center"/>
        </w:trPr>
        <w:tc>
          <w:tcPr>
            <w:tcW w:w="557" w:type="dxa"/>
            <w:shd w:val="clear" w:color="auto" w:fill="CCFFCC"/>
          </w:tcPr>
          <w:p w:rsidR="006369A6" w:rsidRPr="00672EAD" w:rsidRDefault="006369A6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4084" w:type="dxa"/>
            <w:shd w:val="clear" w:color="auto" w:fill="CCFFCC"/>
          </w:tcPr>
          <w:p w:rsidR="006369A6" w:rsidRPr="00672EAD" w:rsidRDefault="003B77B8" w:rsidP="007A2C59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KRYTERIA FORMALNE (wypełnia Biuro Funduszy Europejskich i </w:t>
            </w:r>
            <w:r w:rsidR="007A2C59">
              <w:rPr>
                <w:rFonts w:ascii="Arial Narrow" w:hAnsi="Arial Narrow"/>
                <w:b/>
                <w:szCs w:val="24"/>
              </w:rPr>
              <w:t>Polityki Rozwoju</w:t>
            </w:r>
            <w:r w:rsidRPr="003B77B8">
              <w:rPr>
                <w:rFonts w:ascii="Arial Narrow" w:hAnsi="Arial Narrow"/>
                <w:b/>
                <w:szCs w:val="24"/>
              </w:rPr>
              <w:t>)</w:t>
            </w:r>
          </w:p>
        </w:tc>
        <w:tc>
          <w:tcPr>
            <w:tcW w:w="2632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2008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  <w:tc>
          <w:tcPr>
            <w:tcW w:w="2008" w:type="dxa"/>
          </w:tcPr>
          <w:p w:rsidR="0095522D" w:rsidRPr="0076299B" w:rsidRDefault="0076299B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wypełnione i podpisane oświadczenie oferenta (załącznik nr 2)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wypełnione i podpisane oświadczenie oferenta (załącznik nr 3)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/>
                <w:bCs/>
                <w:szCs w:val="24"/>
              </w:rPr>
              <w:t>wskazanie obszaru wiodącego, którego dotyczy propozycja współpracy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krótki opis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planowany okres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A20C8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zgodność propozycji współpracy z dokumentami strategicznymi m.st. Warszawy, krajowymi i UE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76299B" w:rsidRDefault="00095A02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 xml:space="preserve">wskazanie potencjalnego źródła finansowania, w szczególności </w:t>
            </w:r>
            <w:r w:rsidRPr="003B77B8">
              <w:rPr>
                <w:rFonts w:ascii="Arial Narrow" w:hAnsi="Arial Narrow" w:cs="Tahoma"/>
                <w:szCs w:val="24"/>
              </w:rPr>
              <w:t>nazwa Programu Operacyjnego, Priorytetu i Działania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dysponowanie wykwalifikowaną kadrą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3B77B8">
              <w:rPr>
                <w:rFonts w:ascii="Arial Narrow" w:hAnsi="Arial Narrow"/>
                <w:szCs w:val="24"/>
              </w:rPr>
              <w:t>w zakresie przygotowania i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szCs w:val="24"/>
              </w:rPr>
              <w:t>określenie roli m.st. Warszawy w projekcie: Lider/ Partner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95522D" w:rsidRPr="00672EAD" w:rsidRDefault="003219AD" w:rsidP="00B5380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PARTNER</w:t>
            </w:r>
          </w:p>
        </w:tc>
        <w:tc>
          <w:tcPr>
            <w:tcW w:w="2008" w:type="dxa"/>
          </w:tcPr>
          <w:p w:rsidR="0095522D" w:rsidRPr="0076299B" w:rsidRDefault="0076299B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rPr>
                <w:rFonts w:ascii="Arial Narrow" w:hAnsi="Arial Narrow" w:cs="Tahoma"/>
                <w:bCs/>
                <w:szCs w:val="24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95522D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cel projektu oraz uzasadnienie potrzeby jego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C62FD3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opis grupy docelowej, sposobu rekrutacji i adekwatność proponowanego wsparcia do jej potrzeb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6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C24AF8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B8359F" w:rsidRPr="00672EAD" w:rsidRDefault="00C62FD3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5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lastRenderedPageBreak/>
              <w:t>c)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planowane zadania w ramach projektu wraz z harmonogramem ich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E63A80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2,33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szacowany budżet projektu (z uwzględnieniem podziału Lider/Partner oraz wskazaniem źródła wkładu własnego)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C24AF8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B8359F" w:rsidRPr="00672EAD" w:rsidRDefault="00E63A80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2,3</w:t>
            </w:r>
            <w:r w:rsidR="00C62FD3"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najważniejsze wskaźniki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E63A80" w:rsidP="00C62FD3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1,66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C24AF8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C24AF8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B8359F" w:rsidRPr="00672EAD" w:rsidRDefault="00C62FD3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spodziewane korzyści dla miasta wynikające z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E63A80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2,3</w:t>
            </w:r>
            <w:r w:rsidR="00C62FD3"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oferowany wkład potencjalnego partnera w realizację celu partnerstwa (</w:t>
            </w:r>
            <w:r w:rsidRPr="003B77B8">
              <w:rPr>
                <w:rFonts w:ascii="Arial Narrow" w:hAnsi="Arial Narrow" w:cs="Tahoma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C24AF8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B8359F" w:rsidRPr="00672EAD" w:rsidRDefault="00E63A80" w:rsidP="00E63A80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2,33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przedstawienie koncepcji współpracy z m.st. Warszawą wraz z określeniem sposobu zarządzania projektem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0C7151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B8359F" w:rsidRPr="00672EAD" w:rsidRDefault="00B8359F" w:rsidP="00C24AF8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C24AF8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B8359F" w:rsidRPr="00672EAD" w:rsidRDefault="00E63A80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2,66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zgodność działania potencjalnego partnera z celami partnerstwa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tabs>
                <w:tab w:val="left" w:pos="349"/>
              </w:tabs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1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B8359F" w:rsidRPr="00672EAD" w:rsidRDefault="00C62FD3" w:rsidP="00C24AF8">
            <w:pPr>
              <w:tabs>
                <w:tab w:val="left" w:pos="349"/>
              </w:tabs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1</w:t>
            </w:r>
          </w:p>
        </w:tc>
      </w:tr>
      <w:tr w:rsidR="00B8359F" w:rsidRPr="00672EAD" w:rsidTr="00C24AF8">
        <w:trPr>
          <w:jc w:val="center"/>
        </w:trPr>
        <w:tc>
          <w:tcPr>
            <w:tcW w:w="4641" w:type="dxa"/>
            <w:gridSpan w:val="2"/>
            <w:shd w:val="clear" w:color="auto" w:fill="auto"/>
          </w:tcPr>
          <w:p w:rsidR="000A4ADB" w:rsidRDefault="000A4ADB" w:rsidP="006B05AF">
            <w:pPr>
              <w:jc w:val="both"/>
              <w:rPr>
                <w:rFonts w:ascii="Arial Narrow" w:hAnsi="Arial Narrow" w:cs="Tahoma"/>
                <w:b/>
                <w:bCs/>
                <w:szCs w:val="24"/>
              </w:rPr>
            </w:pPr>
          </w:p>
          <w:p w:rsidR="00B8359F" w:rsidRPr="00672EAD" w:rsidRDefault="003B77B8" w:rsidP="006B05AF">
            <w:pPr>
              <w:jc w:val="both"/>
              <w:rPr>
                <w:rFonts w:ascii="Arial Narrow" w:hAnsi="Arial Narrow" w:cs="Tahoma"/>
                <w:b/>
                <w:bCs/>
                <w:szCs w:val="24"/>
              </w:rPr>
            </w:pPr>
            <w:r w:rsidRPr="003B77B8">
              <w:rPr>
                <w:rFonts w:ascii="Arial Narrow" w:hAnsi="Arial Narrow" w:cs="Tahoma"/>
                <w:b/>
                <w:bCs/>
                <w:szCs w:val="24"/>
              </w:rPr>
              <w:t>SUMA PUNKTÓW:</w:t>
            </w: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:rsidR="00B8359F" w:rsidRPr="00672EAD" w:rsidRDefault="00E63A80" w:rsidP="00663802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25,64</w:t>
            </w:r>
          </w:p>
          <w:p w:rsidR="00B8359F" w:rsidRPr="00672EAD" w:rsidRDefault="00B8359F" w:rsidP="00663802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</w:tr>
    </w:tbl>
    <w:p w:rsidR="009F6B10" w:rsidRPr="00672EAD" w:rsidRDefault="009F6B10" w:rsidP="009F6B10">
      <w:pPr>
        <w:jc w:val="both"/>
        <w:rPr>
          <w:rFonts w:ascii="Arial Narrow" w:hAnsi="Arial Narrow"/>
          <w:szCs w:val="24"/>
        </w:rPr>
      </w:pPr>
    </w:p>
    <w:p w:rsidR="009F6B10" w:rsidRDefault="003B77B8" w:rsidP="008C09BE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Rekomendacja:</w:t>
      </w:r>
    </w:p>
    <w:p w:rsidR="00C62FD3" w:rsidRDefault="00C62FD3" w:rsidP="00C62FD3">
      <w:pPr>
        <w:ind w:left="720"/>
        <w:jc w:val="both"/>
        <w:rPr>
          <w:rFonts w:ascii="Arial Narrow" w:hAnsi="Arial Narrow"/>
          <w:b/>
          <w:szCs w:val="24"/>
        </w:rPr>
      </w:pPr>
    </w:p>
    <w:p w:rsidR="00C62FD3" w:rsidRPr="00C62FD3" w:rsidRDefault="00E63A80" w:rsidP="00C62FD3">
      <w:pPr>
        <w:ind w:left="1416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 negocjacji</w:t>
      </w:r>
    </w:p>
    <w:p w:rsidR="000473BD" w:rsidRPr="00672EAD" w:rsidRDefault="000473BD" w:rsidP="008C09BE">
      <w:pPr>
        <w:jc w:val="both"/>
        <w:rPr>
          <w:rFonts w:ascii="Arial Narrow" w:hAnsi="Arial Narrow"/>
          <w:b/>
          <w:szCs w:val="24"/>
        </w:rPr>
      </w:pPr>
    </w:p>
    <w:p w:rsidR="00B81B66" w:rsidRPr="004D6EFF" w:rsidRDefault="003B77B8" w:rsidP="00B81B66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Uwagi:</w:t>
      </w:r>
    </w:p>
    <w:p w:rsidR="00B9020B" w:rsidRDefault="00C62FD3" w:rsidP="004D6EFF">
      <w:pPr>
        <w:ind w:left="54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Złożona przez Mazowie</w:t>
      </w:r>
      <w:r w:rsidR="004D6EFF">
        <w:rPr>
          <w:rFonts w:ascii="Arial Narrow" w:hAnsi="Arial Narrow"/>
          <w:szCs w:val="24"/>
        </w:rPr>
        <w:t>cką Grupę S</w:t>
      </w:r>
      <w:r>
        <w:rPr>
          <w:rFonts w:ascii="Arial Narrow" w:hAnsi="Arial Narrow"/>
          <w:szCs w:val="24"/>
        </w:rPr>
        <w:t xml:space="preserve">zkoleniowo-Doradczą </w:t>
      </w:r>
      <w:r w:rsidR="004D6EFF">
        <w:rPr>
          <w:rFonts w:ascii="Arial Narrow" w:hAnsi="Arial Narrow"/>
          <w:szCs w:val="24"/>
        </w:rPr>
        <w:t xml:space="preserve">Kajetan Kisielewski </w:t>
      </w:r>
      <w:r>
        <w:rPr>
          <w:rFonts w:ascii="Arial Narrow" w:hAnsi="Arial Narrow"/>
          <w:szCs w:val="24"/>
        </w:rPr>
        <w:t xml:space="preserve">oferta dotyczy aktywizacji społecznej i zawodowej osób wykluczonych i przeciwdziałaniu wykluczeniu społecznemu osób zamieszkałych na terenie </w:t>
      </w:r>
      <w:r w:rsidR="00E63A80">
        <w:rPr>
          <w:rFonts w:ascii="Arial Narrow" w:hAnsi="Arial Narrow"/>
          <w:szCs w:val="24"/>
        </w:rPr>
        <w:t>m</w:t>
      </w:r>
      <w:r w:rsidR="00B9020B">
        <w:rPr>
          <w:rFonts w:ascii="Arial Narrow" w:hAnsi="Arial Narrow"/>
          <w:szCs w:val="24"/>
        </w:rPr>
        <w:t>.</w:t>
      </w:r>
      <w:r w:rsidR="00E63A80">
        <w:rPr>
          <w:rFonts w:ascii="Arial Narrow" w:hAnsi="Arial Narrow"/>
          <w:szCs w:val="24"/>
        </w:rPr>
        <w:t>s</w:t>
      </w:r>
      <w:r>
        <w:rPr>
          <w:rFonts w:ascii="Arial Narrow" w:hAnsi="Arial Narrow"/>
          <w:szCs w:val="24"/>
        </w:rPr>
        <w:t>t. Warszawy, ze szczególnym uwzględnieniem osób z niepełnosprawnościami oraz osób doznających wi</w:t>
      </w:r>
      <w:r w:rsidR="008B7094">
        <w:rPr>
          <w:rFonts w:ascii="Arial Narrow" w:hAnsi="Arial Narrow"/>
          <w:szCs w:val="24"/>
        </w:rPr>
        <w:t>e</w:t>
      </w:r>
      <w:r>
        <w:rPr>
          <w:rFonts w:ascii="Arial Narrow" w:hAnsi="Arial Narrow"/>
          <w:szCs w:val="24"/>
        </w:rPr>
        <w:t>lokrotnego wykluczenia</w:t>
      </w:r>
      <w:r w:rsidR="008B7094">
        <w:rPr>
          <w:rFonts w:ascii="Arial Narrow" w:hAnsi="Arial Narrow"/>
          <w:szCs w:val="24"/>
        </w:rPr>
        <w:t xml:space="preserve">. </w:t>
      </w:r>
      <w:r w:rsidR="00B9020B">
        <w:rPr>
          <w:rFonts w:ascii="Arial Narrow" w:hAnsi="Arial Narrow"/>
          <w:szCs w:val="24"/>
        </w:rPr>
        <w:t>Projekt wymaga doprecyzowania, czy odbiorcami będą jedynie rodziny, czy również osoby prowadzące jednoosobowe gospodarstwa zagrożone wykluczeniem społecznym oraz czy projekt zakłada  objęcie wsparciem osób bezdomnych, które najczęściej znajdują się w III profilu i korzystają z programu PO PŻ.</w:t>
      </w:r>
    </w:p>
    <w:p w:rsidR="00B9020B" w:rsidRDefault="008B7094" w:rsidP="004D6EFF">
      <w:pPr>
        <w:ind w:left="54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Proces rekrutacji jest przejrzysty i został szczegółowo opisany. Formy wsparcia oferowane w</w:t>
      </w:r>
      <w:r w:rsidR="00B9020B">
        <w:rPr>
          <w:rFonts w:ascii="Arial Narrow" w:hAnsi="Arial Narrow"/>
          <w:szCs w:val="24"/>
        </w:rPr>
        <w:t> </w:t>
      </w:r>
      <w:r>
        <w:rPr>
          <w:rFonts w:ascii="Arial Narrow" w:hAnsi="Arial Narrow"/>
          <w:szCs w:val="24"/>
        </w:rPr>
        <w:t>ramach projektu zaplanowane są zgodnie z przeprowadzoną analizą problemów grupy docelowej i stanowią odpowiedź na zgłaszane potrzeby i oczekiwania. Cel główny projektu wymaga uzupełnienia o zapis działań w zakresie aktywizacji społecznej uczestników projektu. Zadania przewidziane w ramach projektu zostały o</w:t>
      </w:r>
      <w:r w:rsidR="00B9020B">
        <w:rPr>
          <w:rFonts w:ascii="Arial Narrow" w:hAnsi="Arial Narrow"/>
          <w:szCs w:val="24"/>
        </w:rPr>
        <w:t>bszernie opisane i umotywowane. Harmonogram wymaga rozbudowania. W ofercie nie jest jasno opisane, kiedy będą realizowane poszczególne zadania, czy będą realizowane równolegle oraz czy przejście jednego etapu warunkuje przejście do kolejnego. W którym momencie rodzina trafia do Specjalistycznego Punktu Wsparcia Rodziny w Kryzysie? Nie są również zdefiniowane sytuacje kryzysowe uzasadniające korzystanie z tego punktu.</w:t>
      </w:r>
    </w:p>
    <w:p w:rsidR="008C09BE" w:rsidRPr="00C62FD3" w:rsidRDefault="008B7094" w:rsidP="004D6EFF">
      <w:pPr>
        <w:ind w:left="54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W ofercie wskazano najważniejsze wskaźniki realizacji projektu. W szacowanym budżecie projektu wskazano podział wydatków Lidera i Partnera. W opisie budżetu wskazano</w:t>
      </w:r>
      <w:r w:rsidR="00B9020B">
        <w:rPr>
          <w:rFonts w:ascii="Arial Narrow" w:hAnsi="Arial Narrow"/>
          <w:szCs w:val="24"/>
        </w:rPr>
        <w:t>,</w:t>
      </w:r>
      <w:r>
        <w:rPr>
          <w:rFonts w:ascii="Arial Narrow" w:hAnsi="Arial Narrow"/>
          <w:szCs w:val="24"/>
        </w:rPr>
        <w:t xml:space="preserve"> co będzie stanowić wkład własny w ramach projektu.</w:t>
      </w:r>
      <w:r w:rsidR="004D6EFF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Projektodawca wykazuje wystarczające doświadczenie, po</w:t>
      </w:r>
      <w:r w:rsidR="004D6EFF">
        <w:rPr>
          <w:rFonts w:ascii="Arial Narrow" w:hAnsi="Arial Narrow"/>
          <w:szCs w:val="24"/>
        </w:rPr>
        <w:t>tencjał i koncepcj</w:t>
      </w:r>
      <w:r w:rsidR="00B9020B">
        <w:rPr>
          <w:rFonts w:ascii="Arial Narrow" w:hAnsi="Arial Narrow"/>
          <w:szCs w:val="24"/>
        </w:rPr>
        <w:t>ę</w:t>
      </w:r>
      <w:r w:rsidR="004D6EFF">
        <w:rPr>
          <w:rFonts w:ascii="Arial Narrow" w:hAnsi="Arial Narrow"/>
          <w:szCs w:val="24"/>
        </w:rPr>
        <w:t xml:space="preserve"> współpracy z</w:t>
      </w:r>
      <w:r>
        <w:rPr>
          <w:rFonts w:ascii="Arial Narrow" w:hAnsi="Arial Narrow"/>
          <w:szCs w:val="24"/>
        </w:rPr>
        <w:t xml:space="preserve"> jednostkami </w:t>
      </w:r>
      <w:r w:rsidR="00B9020B">
        <w:rPr>
          <w:rFonts w:ascii="Arial Narrow" w:hAnsi="Arial Narrow"/>
          <w:szCs w:val="24"/>
        </w:rPr>
        <w:t>m.s</w:t>
      </w:r>
      <w:r>
        <w:rPr>
          <w:rFonts w:ascii="Arial Narrow" w:hAnsi="Arial Narrow"/>
          <w:szCs w:val="24"/>
        </w:rPr>
        <w:t>t. Warszawy, a także</w:t>
      </w:r>
      <w:r w:rsidR="004D6EFF">
        <w:rPr>
          <w:rFonts w:ascii="Arial Narrow" w:hAnsi="Arial Narrow"/>
          <w:szCs w:val="24"/>
        </w:rPr>
        <w:t xml:space="preserve"> dysponuje wykwalifikowaną kadrą</w:t>
      </w:r>
      <w:r>
        <w:rPr>
          <w:rFonts w:ascii="Arial Narrow" w:hAnsi="Arial Narrow"/>
          <w:szCs w:val="24"/>
        </w:rPr>
        <w:t xml:space="preserve"> w zakresie przygotowania i realizacji projektu. Oferta jest zgodna z założeniami wsparcia i pomocy osobom zagrożonym wykluczeniem społecznym z</w:t>
      </w:r>
      <w:r w:rsidR="00B9020B">
        <w:rPr>
          <w:rFonts w:ascii="Arial Narrow" w:hAnsi="Arial Narrow"/>
          <w:szCs w:val="24"/>
        </w:rPr>
        <w:t> </w:t>
      </w:r>
      <w:bookmarkStart w:id="0" w:name="_GoBack"/>
      <w:bookmarkEnd w:id="0"/>
      <w:r>
        <w:rPr>
          <w:rFonts w:ascii="Arial Narrow" w:hAnsi="Arial Narrow"/>
          <w:szCs w:val="24"/>
        </w:rPr>
        <w:t xml:space="preserve">uwzględnieniem osób z niepełnosprawnościami. </w:t>
      </w:r>
      <w:r w:rsidR="00B9020B">
        <w:rPr>
          <w:rFonts w:ascii="Arial Narrow" w:hAnsi="Arial Narrow"/>
          <w:szCs w:val="24"/>
        </w:rPr>
        <w:t xml:space="preserve">Może także przyczynić się do łagodzenia skutków stanu epidemii, polegających na utracie pracy przez osoby o najsłabszej pozycji na rynku pracy. </w:t>
      </w:r>
    </w:p>
    <w:p w:rsidR="00C62FD3" w:rsidRPr="00672EAD" w:rsidRDefault="00C62FD3" w:rsidP="008C09BE">
      <w:pPr>
        <w:jc w:val="both"/>
        <w:rPr>
          <w:rFonts w:ascii="Arial Narrow" w:hAnsi="Arial Narrow"/>
          <w:b/>
          <w:szCs w:val="24"/>
        </w:rPr>
      </w:pPr>
    </w:p>
    <w:p w:rsidR="000854F3" w:rsidRPr="00672EAD" w:rsidRDefault="003B77B8" w:rsidP="009F6B10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Data i podpis</w:t>
      </w:r>
    </w:p>
    <w:p w:rsidR="001761DC" w:rsidRPr="000473BD" w:rsidRDefault="001761DC" w:rsidP="001761DC">
      <w:pPr>
        <w:jc w:val="both"/>
        <w:rPr>
          <w:rFonts w:ascii="Arial Narrow" w:hAnsi="Arial Narrow"/>
          <w:szCs w:val="24"/>
        </w:rPr>
      </w:pPr>
    </w:p>
    <w:sectPr w:rsidR="001761DC" w:rsidRPr="000473BD" w:rsidSect="00325F5B">
      <w:footerReference w:type="default" r:id="rId8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462" w:rsidRDefault="00443462">
      <w:r>
        <w:separator/>
      </w:r>
    </w:p>
  </w:endnote>
  <w:endnote w:type="continuationSeparator" w:id="0">
    <w:p w:rsidR="00443462" w:rsidRDefault="0044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462" w:rsidRDefault="00443462">
      <w:r>
        <w:separator/>
      </w:r>
    </w:p>
  </w:footnote>
  <w:footnote w:type="continuationSeparator" w:id="0">
    <w:p w:rsidR="00443462" w:rsidRDefault="00443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3142A4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D5C3D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8"/>
  </w:num>
  <w:num w:numId="5">
    <w:abstractNumId w:val="9"/>
  </w:num>
  <w:num w:numId="6">
    <w:abstractNumId w:val="16"/>
  </w:num>
  <w:num w:numId="7">
    <w:abstractNumId w:val="24"/>
  </w:num>
  <w:num w:numId="8">
    <w:abstractNumId w:val="0"/>
  </w:num>
  <w:num w:numId="9">
    <w:abstractNumId w:val="7"/>
  </w:num>
  <w:num w:numId="10">
    <w:abstractNumId w:val="18"/>
  </w:num>
  <w:num w:numId="11">
    <w:abstractNumId w:val="15"/>
  </w:num>
  <w:num w:numId="12">
    <w:abstractNumId w:val="27"/>
  </w:num>
  <w:num w:numId="13">
    <w:abstractNumId w:val="25"/>
  </w:num>
  <w:num w:numId="14">
    <w:abstractNumId w:val="13"/>
  </w:num>
  <w:num w:numId="15">
    <w:abstractNumId w:val="6"/>
  </w:num>
  <w:num w:numId="16">
    <w:abstractNumId w:val="2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  <w:num w:numId="21">
    <w:abstractNumId w:val="26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10"/>
  </w:num>
  <w:num w:numId="27">
    <w:abstractNumId w:val="1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57B7"/>
    <w:rsid w:val="00032DEB"/>
    <w:rsid w:val="000352A8"/>
    <w:rsid w:val="000473BD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4ADB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D1736"/>
    <w:rsid w:val="001D1A3F"/>
    <w:rsid w:val="001D33F3"/>
    <w:rsid w:val="001D4343"/>
    <w:rsid w:val="001E03B3"/>
    <w:rsid w:val="001E1761"/>
    <w:rsid w:val="001F24FC"/>
    <w:rsid w:val="00201957"/>
    <w:rsid w:val="00204B85"/>
    <w:rsid w:val="00210409"/>
    <w:rsid w:val="002130C4"/>
    <w:rsid w:val="0021650B"/>
    <w:rsid w:val="002375C6"/>
    <w:rsid w:val="00240F07"/>
    <w:rsid w:val="00242A37"/>
    <w:rsid w:val="00257F79"/>
    <w:rsid w:val="00261700"/>
    <w:rsid w:val="00263506"/>
    <w:rsid w:val="00265FD5"/>
    <w:rsid w:val="00272593"/>
    <w:rsid w:val="0027565B"/>
    <w:rsid w:val="002758B3"/>
    <w:rsid w:val="00277CEE"/>
    <w:rsid w:val="002831C6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219AD"/>
    <w:rsid w:val="00325EA5"/>
    <w:rsid w:val="00325F5B"/>
    <w:rsid w:val="003319E0"/>
    <w:rsid w:val="00334237"/>
    <w:rsid w:val="0035217B"/>
    <w:rsid w:val="003546FE"/>
    <w:rsid w:val="00354712"/>
    <w:rsid w:val="00364B70"/>
    <w:rsid w:val="00373520"/>
    <w:rsid w:val="00377976"/>
    <w:rsid w:val="00377E7C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43462"/>
    <w:rsid w:val="00454B03"/>
    <w:rsid w:val="004613AB"/>
    <w:rsid w:val="00472A72"/>
    <w:rsid w:val="00474C01"/>
    <w:rsid w:val="00477D7A"/>
    <w:rsid w:val="00483039"/>
    <w:rsid w:val="0048418E"/>
    <w:rsid w:val="00485883"/>
    <w:rsid w:val="00486AB1"/>
    <w:rsid w:val="00493645"/>
    <w:rsid w:val="00494B6E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D6EFF"/>
    <w:rsid w:val="004E4DA1"/>
    <w:rsid w:val="004E6C5F"/>
    <w:rsid w:val="004F0CAB"/>
    <w:rsid w:val="004F11B0"/>
    <w:rsid w:val="004F1C0A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CEA"/>
    <w:rsid w:val="00554165"/>
    <w:rsid w:val="00555D3F"/>
    <w:rsid w:val="0056364A"/>
    <w:rsid w:val="0056641F"/>
    <w:rsid w:val="00567091"/>
    <w:rsid w:val="00572AC3"/>
    <w:rsid w:val="005821D3"/>
    <w:rsid w:val="005840A7"/>
    <w:rsid w:val="00585732"/>
    <w:rsid w:val="005A13B2"/>
    <w:rsid w:val="005A166D"/>
    <w:rsid w:val="005A1884"/>
    <w:rsid w:val="005B7413"/>
    <w:rsid w:val="005C649F"/>
    <w:rsid w:val="005D0BE0"/>
    <w:rsid w:val="005D44BF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E358A"/>
    <w:rsid w:val="006E73D9"/>
    <w:rsid w:val="006F30F9"/>
    <w:rsid w:val="006F7BAA"/>
    <w:rsid w:val="00700803"/>
    <w:rsid w:val="00712AF8"/>
    <w:rsid w:val="007149AD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62B23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17E04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094"/>
    <w:rsid w:val="008B74FD"/>
    <w:rsid w:val="008C09BE"/>
    <w:rsid w:val="008C4930"/>
    <w:rsid w:val="008C5C94"/>
    <w:rsid w:val="008D182E"/>
    <w:rsid w:val="008D1BE0"/>
    <w:rsid w:val="008E0D0F"/>
    <w:rsid w:val="008E2BAD"/>
    <w:rsid w:val="008E4A0C"/>
    <w:rsid w:val="008E75FC"/>
    <w:rsid w:val="008F4ECB"/>
    <w:rsid w:val="00900A5F"/>
    <w:rsid w:val="00913BA3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708E"/>
    <w:rsid w:val="009F1B1F"/>
    <w:rsid w:val="009F2EFA"/>
    <w:rsid w:val="009F6B10"/>
    <w:rsid w:val="009F6E06"/>
    <w:rsid w:val="00A20488"/>
    <w:rsid w:val="00A20C8F"/>
    <w:rsid w:val="00A26500"/>
    <w:rsid w:val="00A30148"/>
    <w:rsid w:val="00A305F1"/>
    <w:rsid w:val="00A31962"/>
    <w:rsid w:val="00A31B8B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A10DF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1B66"/>
    <w:rsid w:val="00B8359F"/>
    <w:rsid w:val="00B9020B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35A0"/>
    <w:rsid w:val="00C13870"/>
    <w:rsid w:val="00C20431"/>
    <w:rsid w:val="00C24AF8"/>
    <w:rsid w:val="00C2620A"/>
    <w:rsid w:val="00C34F6A"/>
    <w:rsid w:val="00C4119E"/>
    <w:rsid w:val="00C620E0"/>
    <w:rsid w:val="00C62FD3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512A"/>
    <w:rsid w:val="00CD054D"/>
    <w:rsid w:val="00CE0F84"/>
    <w:rsid w:val="00CE2710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261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20A"/>
    <w:rsid w:val="00E46938"/>
    <w:rsid w:val="00E52480"/>
    <w:rsid w:val="00E52E90"/>
    <w:rsid w:val="00E53C1D"/>
    <w:rsid w:val="00E54F1E"/>
    <w:rsid w:val="00E552B0"/>
    <w:rsid w:val="00E63A8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C2005"/>
    <w:rsid w:val="00EC305D"/>
    <w:rsid w:val="00EC34CE"/>
    <w:rsid w:val="00EC44A3"/>
    <w:rsid w:val="00EC47E2"/>
    <w:rsid w:val="00EC59B8"/>
    <w:rsid w:val="00EC7070"/>
    <w:rsid w:val="00ED4472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6221D"/>
    <w:rsid w:val="00F7314B"/>
    <w:rsid w:val="00F93633"/>
    <w:rsid w:val="00F96903"/>
    <w:rsid w:val="00FA482B"/>
    <w:rsid w:val="00FA5666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647DCC"/>
  <w15:docId w15:val="{E6EF535F-FCBE-462C-B0A2-6B8BA663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E63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D0253-B5C8-4574-B206-D4C0AC1A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4412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Wieczorek Magdalena</cp:lastModifiedBy>
  <cp:revision>2</cp:revision>
  <cp:lastPrinted>2020-07-03T08:33:00Z</cp:lastPrinted>
  <dcterms:created xsi:type="dcterms:W3CDTF">2020-07-13T14:28:00Z</dcterms:created>
  <dcterms:modified xsi:type="dcterms:W3CDTF">2020-07-13T14:28:00Z</dcterms:modified>
</cp:coreProperties>
</file>