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F77E" w14:textId="179113B4" w:rsidR="00E27E07" w:rsidRDefault="00A521B2" w:rsidP="002A1909">
      <w:pPr>
        <w:spacing w:after="0" w:line="300" w:lineRule="auto"/>
        <w:ind w:left="5387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Załącznik </w:t>
      </w:r>
    </w:p>
    <w:p w14:paraId="26814CA4" w14:textId="69A9F6C0" w:rsidR="00A521B2" w:rsidRDefault="00941562" w:rsidP="002A1909">
      <w:pPr>
        <w:spacing w:after="0" w:line="300" w:lineRule="auto"/>
        <w:ind w:left="5387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d</w:t>
      </w:r>
      <w:r w:rsidR="00A521B2">
        <w:rPr>
          <w:rFonts w:ascii="Aptos" w:eastAsia="Aptos" w:hAnsi="Aptos" w:cs="Times New Roman"/>
          <w:kern w:val="2"/>
          <w14:ligatures w14:val="standardContextual"/>
        </w:rPr>
        <w:t>o Uchwały nr</w:t>
      </w:r>
    </w:p>
    <w:p w14:paraId="7E285BBC" w14:textId="4E664EFE" w:rsidR="00A521B2" w:rsidRDefault="00A521B2" w:rsidP="002A1909">
      <w:pPr>
        <w:spacing w:after="0" w:line="300" w:lineRule="auto"/>
        <w:ind w:left="5387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Rady Dzieliccy Ochota m.st. Warszawy</w:t>
      </w:r>
    </w:p>
    <w:p w14:paraId="33167DE2" w14:textId="38EFBECF" w:rsidR="00E27E07" w:rsidRPr="002B2BE2" w:rsidRDefault="00A521B2" w:rsidP="002A1909">
      <w:pPr>
        <w:ind w:left="5387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z </w:t>
      </w:r>
    </w:p>
    <w:p w14:paraId="00E80A2B" w14:textId="77777777" w:rsidR="00E27E07" w:rsidRPr="002B2BE2" w:rsidRDefault="00E27E07" w:rsidP="00E27E07">
      <w:pPr>
        <w:rPr>
          <w:rFonts w:ascii="Aptos" w:eastAsia="Aptos" w:hAnsi="Aptos" w:cs="Times New Roman"/>
          <w:kern w:val="2"/>
          <w14:ligatures w14:val="standardContextual"/>
        </w:rPr>
      </w:pPr>
    </w:p>
    <w:p w14:paraId="60DAB689" w14:textId="77777777" w:rsidR="00E27E07" w:rsidRPr="002B2BE2" w:rsidRDefault="00E27E07" w:rsidP="00E27E07">
      <w:pPr>
        <w:rPr>
          <w:rFonts w:ascii="Aptos" w:eastAsia="Aptos" w:hAnsi="Aptos" w:cs="Times New Roman"/>
          <w:kern w:val="2"/>
          <w14:ligatures w14:val="standardContextual"/>
        </w:rPr>
      </w:pPr>
    </w:p>
    <w:p w14:paraId="41999856" w14:textId="77777777" w:rsidR="00E27E07" w:rsidRPr="002B2BE2" w:rsidRDefault="00E27E07" w:rsidP="00E27E07">
      <w:pPr>
        <w:rPr>
          <w:rFonts w:ascii="Aptos" w:eastAsia="Aptos" w:hAnsi="Aptos" w:cs="Times New Roman"/>
          <w:kern w:val="2"/>
          <w14:ligatures w14:val="standardContextual"/>
        </w:rPr>
      </w:pPr>
    </w:p>
    <w:p w14:paraId="3C75F621" w14:textId="77777777" w:rsidR="00E27E07" w:rsidRPr="002B2BE2" w:rsidRDefault="00E27E07" w:rsidP="00E27E07">
      <w:pPr>
        <w:rPr>
          <w:rFonts w:ascii="Aptos" w:eastAsia="Aptos" w:hAnsi="Aptos" w:cs="Times New Roman"/>
          <w:kern w:val="2"/>
          <w14:ligatures w14:val="standardContextual"/>
        </w:rPr>
      </w:pPr>
    </w:p>
    <w:p w14:paraId="1470367E" w14:textId="77777777" w:rsidR="00E27E07" w:rsidRPr="002B2BE2" w:rsidRDefault="00E27E07" w:rsidP="00E27E07">
      <w:pPr>
        <w:rPr>
          <w:rFonts w:ascii="Aptos" w:eastAsia="Aptos" w:hAnsi="Aptos" w:cs="Times New Roman"/>
          <w:kern w:val="2"/>
          <w14:ligatures w14:val="standardContextual"/>
        </w:rPr>
      </w:pPr>
    </w:p>
    <w:p w14:paraId="2FE745D5" w14:textId="77777777" w:rsidR="00E27E07" w:rsidRPr="002B2BE2" w:rsidRDefault="00E27E07" w:rsidP="00E27E07">
      <w:pPr>
        <w:spacing w:after="360"/>
        <w:jc w:val="center"/>
        <w:rPr>
          <w:rFonts w:ascii="Calibri" w:eastAsia="Aptos" w:hAnsi="Calibri" w:cs="Calibri"/>
          <w:b/>
          <w:bCs/>
          <w:kern w:val="2"/>
          <w:sz w:val="48"/>
          <w:szCs w:val="48"/>
          <w14:ligatures w14:val="standardContextual"/>
        </w:rPr>
      </w:pPr>
      <w:r w:rsidRPr="002B2BE2">
        <w:rPr>
          <w:rFonts w:ascii="Calibri" w:eastAsia="Aptos" w:hAnsi="Calibri" w:cs="Calibri"/>
          <w:b/>
          <w:bCs/>
          <w:kern w:val="2"/>
          <w:sz w:val="48"/>
          <w:szCs w:val="48"/>
          <w14:ligatures w14:val="standardContextual"/>
        </w:rPr>
        <w:t xml:space="preserve">SPRAWOZDANIE Z DZIAŁALNOŚCI </w:t>
      </w:r>
    </w:p>
    <w:p w14:paraId="566ECFD9" w14:textId="77777777" w:rsidR="00E27E07" w:rsidRPr="002B2BE2" w:rsidRDefault="00E27E07" w:rsidP="00E27E07">
      <w:pPr>
        <w:spacing w:after="120"/>
        <w:jc w:val="center"/>
        <w:rPr>
          <w:rFonts w:ascii="Calibri" w:eastAsia="Aptos" w:hAnsi="Calibri" w:cs="Calibri"/>
          <w:b/>
          <w:bCs/>
          <w:kern w:val="2"/>
          <w:sz w:val="40"/>
          <w:szCs w:val="40"/>
          <w14:ligatures w14:val="standardContextual"/>
        </w:rPr>
      </w:pPr>
      <w:r w:rsidRPr="002B2BE2">
        <w:rPr>
          <w:rFonts w:ascii="Calibri" w:eastAsia="Aptos" w:hAnsi="Calibri" w:cs="Calibri"/>
          <w:b/>
          <w:bCs/>
          <w:kern w:val="2"/>
          <w:sz w:val="40"/>
          <w:szCs w:val="40"/>
          <w14:ligatures w14:val="standardContextual"/>
        </w:rPr>
        <w:t>ZAKŁADU GOSPODAROWANIA NIERUCHOMOŚCIAMI W DZIELNICY OCHOTA m.st. WARSZAWY</w:t>
      </w:r>
    </w:p>
    <w:p w14:paraId="74289F01" w14:textId="69AA2EFB" w:rsidR="00E27E07" w:rsidRPr="002B2BE2" w:rsidRDefault="00E27E07" w:rsidP="00E27E07">
      <w:pPr>
        <w:spacing w:after="360"/>
        <w:jc w:val="center"/>
        <w:rPr>
          <w:rFonts w:ascii="Calibri" w:eastAsia="Aptos" w:hAnsi="Calibri" w:cs="Calibri"/>
          <w:b/>
          <w:bCs/>
          <w:kern w:val="2"/>
          <w:sz w:val="40"/>
          <w:szCs w:val="40"/>
          <w14:ligatures w14:val="standardContextual"/>
        </w:rPr>
      </w:pPr>
      <w:r w:rsidRPr="002B2BE2">
        <w:rPr>
          <w:rFonts w:ascii="Calibri" w:eastAsia="Aptos" w:hAnsi="Calibri" w:cs="Calibri"/>
          <w:b/>
          <w:bCs/>
          <w:kern w:val="2"/>
          <w:sz w:val="40"/>
          <w:szCs w:val="40"/>
          <w14:ligatures w14:val="standardContextual"/>
        </w:rPr>
        <w:t>ZA ROK 202</w:t>
      </w:r>
      <w:r w:rsidR="00D96284" w:rsidRPr="002B2BE2">
        <w:rPr>
          <w:rFonts w:ascii="Calibri" w:eastAsia="Aptos" w:hAnsi="Calibri" w:cs="Calibri"/>
          <w:b/>
          <w:bCs/>
          <w:kern w:val="2"/>
          <w:sz w:val="40"/>
          <w:szCs w:val="40"/>
          <w14:ligatures w14:val="standardContextual"/>
        </w:rPr>
        <w:t>4</w:t>
      </w:r>
    </w:p>
    <w:p w14:paraId="5568EE23" w14:textId="77777777" w:rsidR="00E27E07" w:rsidRPr="002B2BE2" w:rsidRDefault="00E27E07" w:rsidP="00E27E07">
      <w:pPr>
        <w:spacing w:after="360"/>
        <w:jc w:val="center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35848976" w14:textId="77777777" w:rsidR="00E27E07" w:rsidRPr="002B2BE2" w:rsidRDefault="00E27E07" w:rsidP="00E27E07">
      <w:pPr>
        <w:spacing w:after="360"/>
        <w:jc w:val="center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389A380D" w14:textId="77777777" w:rsidR="00E27E07" w:rsidRPr="002B2BE2" w:rsidRDefault="00E27E07" w:rsidP="00E27E07">
      <w:pPr>
        <w:spacing w:after="360"/>
        <w:jc w:val="center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0F652FCE" w14:textId="77777777" w:rsidR="00E27E07" w:rsidRPr="002B2BE2" w:rsidRDefault="00E27E07" w:rsidP="00E27E07">
      <w:pPr>
        <w:spacing w:after="360"/>
        <w:jc w:val="center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37E7A696" w14:textId="77777777" w:rsidR="00E27E07" w:rsidRPr="002B2BE2" w:rsidRDefault="00E27E07" w:rsidP="00E27E07">
      <w:pPr>
        <w:spacing w:after="360"/>
        <w:jc w:val="center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4CEE9D89" w14:textId="77777777" w:rsidR="00E27E07" w:rsidRPr="002B2BE2" w:rsidRDefault="00E27E07" w:rsidP="00E27E07">
      <w:pPr>
        <w:spacing w:after="360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791E70D3" w14:textId="77777777" w:rsidR="00E27E07" w:rsidRPr="002B2BE2" w:rsidRDefault="00E27E07" w:rsidP="00E27E07">
      <w:pPr>
        <w:spacing w:after="360"/>
        <w:jc w:val="center"/>
        <w:rPr>
          <w:rFonts w:ascii="Aptos" w:eastAsia="Aptos" w:hAnsi="Aptos" w:cs="Times New Roman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1FDB499D" w14:textId="6AE55FB5" w:rsidR="00E27E07" w:rsidRPr="002B2BE2" w:rsidRDefault="00E27E07" w:rsidP="00E27E07">
      <w:pPr>
        <w:spacing w:after="360"/>
        <w:jc w:val="center"/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</w:pPr>
      <w:r w:rsidRPr="002B2BE2"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  <w:t>WARSZAWA, MARZEC 202</w:t>
      </w:r>
      <w:r w:rsidR="00D96284" w:rsidRPr="002B2BE2"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  <w:t>5</w:t>
      </w:r>
    </w:p>
    <w:p w14:paraId="6D9B5842" w14:textId="77777777" w:rsidR="000F26F8" w:rsidRPr="002B2BE2" w:rsidRDefault="000F26F8" w:rsidP="000F26F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highlight w:val="yellow"/>
          <w:lang w:eastAsia="pl-PL"/>
        </w:rPr>
      </w:pPr>
    </w:p>
    <w:p w14:paraId="4270EE8A" w14:textId="77777777" w:rsidR="00E27E07" w:rsidRPr="002B2BE2" w:rsidRDefault="00E27E07" w:rsidP="000F26F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highlight w:val="yellow"/>
          <w:lang w:eastAsia="pl-PL"/>
        </w:rPr>
      </w:pPr>
    </w:p>
    <w:p w14:paraId="0EADF568" w14:textId="77777777" w:rsidR="00E27E07" w:rsidRPr="002B2BE2" w:rsidRDefault="00E27E07" w:rsidP="000F26F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highlight w:val="yellow"/>
          <w:lang w:eastAsia="pl-PL"/>
        </w:rPr>
      </w:pPr>
    </w:p>
    <w:p w14:paraId="66536707" w14:textId="77777777" w:rsidR="00E27E07" w:rsidRPr="002B2BE2" w:rsidRDefault="00E27E07" w:rsidP="000F26F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highlight w:val="yellow"/>
          <w:lang w:eastAsia="pl-PL"/>
        </w:rPr>
      </w:pPr>
    </w:p>
    <w:p w14:paraId="7B95D488" w14:textId="77777777" w:rsidR="000F26F8" w:rsidRPr="002B2BE2" w:rsidRDefault="000F26F8" w:rsidP="00E27E07">
      <w:pPr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16EEECC0" w14:textId="59057D08" w:rsidR="004077A0" w:rsidRPr="002B2BE2" w:rsidRDefault="000A29DB" w:rsidP="00AB683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Hlk161234322"/>
      <w:r w:rsidRPr="002B2BE2">
        <w:rPr>
          <w:rFonts w:cstheme="minorHAnsi"/>
          <w:b/>
          <w:sz w:val="28"/>
          <w:szCs w:val="28"/>
        </w:rPr>
        <w:t>Sprawozdanie z działalności Zakładu Gospodarowania Nieruchomościami w Dzielnicy </w:t>
      </w:r>
      <w:r w:rsidR="00E348C1" w:rsidRPr="002B2BE2">
        <w:rPr>
          <w:rFonts w:cstheme="minorHAnsi"/>
          <w:b/>
          <w:sz w:val="28"/>
          <w:szCs w:val="28"/>
        </w:rPr>
        <w:t>Ochota</w:t>
      </w:r>
      <w:r w:rsidRPr="002B2BE2">
        <w:rPr>
          <w:rFonts w:cstheme="minorHAnsi"/>
          <w:b/>
          <w:sz w:val="28"/>
          <w:szCs w:val="28"/>
        </w:rPr>
        <w:t xml:space="preserve"> m.s</w:t>
      </w:r>
      <w:r w:rsidR="007B59D8" w:rsidRPr="002B2BE2">
        <w:rPr>
          <w:rFonts w:cstheme="minorHAnsi"/>
          <w:b/>
          <w:sz w:val="28"/>
          <w:szCs w:val="28"/>
        </w:rPr>
        <w:t>t. Warszawy za </w:t>
      </w:r>
      <w:r w:rsidR="00E348C1" w:rsidRPr="002B2BE2">
        <w:rPr>
          <w:rFonts w:cstheme="minorHAnsi"/>
          <w:b/>
          <w:sz w:val="28"/>
          <w:szCs w:val="28"/>
        </w:rPr>
        <w:t>202</w:t>
      </w:r>
      <w:r w:rsidR="00E871EF" w:rsidRPr="002B2BE2">
        <w:rPr>
          <w:rFonts w:cstheme="minorHAnsi"/>
          <w:b/>
          <w:sz w:val="28"/>
          <w:szCs w:val="28"/>
        </w:rPr>
        <w:t>4</w:t>
      </w:r>
      <w:r w:rsidR="007B59D8" w:rsidRPr="002B2BE2">
        <w:rPr>
          <w:rFonts w:cstheme="minorHAnsi"/>
          <w:b/>
          <w:sz w:val="28"/>
          <w:szCs w:val="28"/>
        </w:rPr>
        <w:t xml:space="preserve"> rok</w:t>
      </w:r>
      <w:bookmarkEnd w:id="0"/>
    </w:p>
    <w:p w14:paraId="2A12708D" w14:textId="1D8E42DE" w:rsidR="004077A0" w:rsidRPr="002B2BE2" w:rsidRDefault="00E46FB4" w:rsidP="00AB6830">
      <w:pPr>
        <w:pStyle w:val="Akapitzlist"/>
        <w:numPr>
          <w:ilvl w:val="0"/>
          <w:numId w:val="1"/>
        </w:numPr>
        <w:spacing w:after="120" w:line="30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cstheme="minorHAnsi"/>
          <w:b/>
        </w:rPr>
        <w:t>STAN ORGANIZACYJNY</w:t>
      </w:r>
      <w:r w:rsidR="000006B0" w:rsidRPr="002B2BE2">
        <w:rPr>
          <w:rFonts w:eastAsia="Times New Roman" w:cstheme="minorHAnsi"/>
          <w:b/>
          <w:bCs/>
          <w:lang w:eastAsia="pl-PL"/>
        </w:rPr>
        <w:t xml:space="preserve"> </w:t>
      </w:r>
    </w:p>
    <w:p w14:paraId="216F0796" w14:textId="77777777" w:rsidR="000B1CA2" w:rsidRPr="002B2BE2" w:rsidRDefault="000B1CA2" w:rsidP="000B1CA2">
      <w:pPr>
        <w:spacing w:after="0" w:line="300" w:lineRule="auto"/>
        <w:ind w:left="709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 xml:space="preserve">Zakład Gospodarowania Nieruchomościami w Dzielnicy Ochota jest jednostką budżetową działającą od 1 stycznia 2007 r. </w:t>
      </w:r>
    </w:p>
    <w:p w14:paraId="3B82D212" w14:textId="77777777" w:rsidR="000B1CA2" w:rsidRPr="002B2BE2" w:rsidRDefault="000B1CA2" w:rsidP="000B1CA2">
      <w:pPr>
        <w:spacing w:after="0" w:line="300" w:lineRule="auto"/>
        <w:ind w:left="709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 xml:space="preserve">Siedziba </w:t>
      </w:r>
      <w:bookmarkStart w:id="1" w:name="_Hlk130979174"/>
      <w:r w:rsidRPr="002B2BE2">
        <w:rPr>
          <w:rFonts w:ascii="Calibri" w:eastAsia="Times New Roman" w:hAnsi="Calibri" w:cs="Calibri"/>
          <w:iCs/>
          <w:lang w:eastAsia="pl-PL"/>
        </w:rPr>
        <w:t>Zakładu Gospodarowania Nieruchomościami w Dzielnicy Ochota</w:t>
      </w:r>
      <w:bookmarkEnd w:id="1"/>
      <w:r w:rsidRPr="002B2BE2">
        <w:rPr>
          <w:rFonts w:ascii="Calibri" w:eastAsia="Times New Roman" w:hAnsi="Calibri" w:cs="Calibri"/>
          <w:iCs/>
          <w:lang w:eastAsia="pl-PL"/>
        </w:rPr>
        <w:t xml:space="preserve"> mieści się                          w Warszawie przy ul. Białobrzeskiej 11. </w:t>
      </w:r>
    </w:p>
    <w:p w14:paraId="24C1C872" w14:textId="77777777" w:rsidR="000B1CA2" w:rsidRPr="002B2BE2" w:rsidRDefault="000B1CA2" w:rsidP="000B1CA2">
      <w:pPr>
        <w:spacing w:after="0" w:line="300" w:lineRule="auto"/>
        <w:ind w:left="709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Zakład działa na podstawie:</w:t>
      </w:r>
    </w:p>
    <w:p w14:paraId="393370F7" w14:textId="77777777" w:rsidR="000B1CA2" w:rsidRPr="002B2BE2" w:rsidRDefault="000B1CA2" w:rsidP="00FA31E9">
      <w:pPr>
        <w:numPr>
          <w:ilvl w:val="0"/>
          <w:numId w:val="9"/>
        </w:numPr>
        <w:spacing w:after="0" w:line="30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 xml:space="preserve">ustawy z dnia 8 marca 1990 r. o samorządzie gminnym (Dz.U. 2024 poz. 1465 ze zm.), </w:t>
      </w:r>
    </w:p>
    <w:p w14:paraId="05818C60" w14:textId="77777777" w:rsidR="000B1CA2" w:rsidRPr="002B2BE2" w:rsidRDefault="000B1CA2" w:rsidP="00FA31E9">
      <w:pPr>
        <w:numPr>
          <w:ilvl w:val="0"/>
          <w:numId w:val="9"/>
        </w:numPr>
        <w:spacing w:after="0" w:line="30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 xml:space="preserve">ustawy z dnia 15 marca 2002 r. o ustroju miasta stołecznego Warszawy (Dz.U. 2018 poz. 1817 ze zm.), </w:t>
      </w:r>
    </w:p>
    <w:p w14:paraId="55F2EDC7" w14:textId="77777777" w:rsidR="000B1CA2" w:rsidRPr="002B2BE2" w:rsidRDefault="000B1CA2" w:rsidP="00FA31E9">
      <w:pPr>
        <w:numPr>
          <w:ilvl w:val="0"/>
          <w:numId w:val="9"/>
        </w:numPr>
        <w:spacing w:after="0" w:line="30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 xml:space="preserve">ustawy z dnia 27 sierpnia 2009 r. o finansach publicznych (Dz.U. 2024 poz. 1530 ze zm.), </w:t>
      </w:r>
    </w:p>
    <w:p w14:paraId="6398E041" w14:textId="77777777" w:rsidR="000B1CA2" w:rsidRPr="002B2BE2" w:rsidRDefault="000B1CA2" w:rsidP="00FA31E9">
      <w:pPr>
        <w:numPr>
          <w:ilvl w:val="0"/>
          <w:numId w:val="9"/>
        </w:numPr>
        <w:spacing w:after="0" w:line="300" w:lineRule="auto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statutu,</w:t>
      </w:r>
    </w:p>
    <w:p w14:paraId="7AE00C34" w14:textId="77777777" w:rsidR="000B1CA2" w:rsidRPr="002B2BE2" w:rsidRDefault="000B1CA2" w:rsidP="00FA31E9">
      <w:pPr>
        <w:numPr>
          <w:ilvl w:val="0"/>
          <w:numId w:val="9"/>
        </w:numPr>
        <w:spacing w:after="120" w:line="300" w:lineRule="auto"/>
        <w:ind w:left="1066" w:hanging="357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innych przepisów prawa.</w:t>
      </w:r>
    </w:p>
    <w:p w14:paraId="00412AFE" w14:textId="77777777" w:rsidR="000B1CA2" w:rsidRPr="002B2BE2" w:rsidRDefault="000B1CA2" w:rsidP="000B1CA2">
      <w:pPr>
        <w:spacing w:after="120" w:line="300" w:lineRule="auto"/>
        <w:ind w:left="709"/>
        <w:jc w:val="both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 xml:space="preserve">W ramach struktury organizacyjnej Zakład Gospodarowania Nieruchomościami w Dzielnicy Ochota funkcjonował w 2024 r. samodzielnie, nie prowadząc administracji terenowej.                            W 2024 r. nadal obowiązywała umowa o administrowanie zasobem komunalnym                                   m.st. Warszawy w Dzielnicy Ochota zawarta pomiędzy m.st. Warszawa a Gminną Gospodarką Komunalną Ochota-ZN Sp. z o.o., oraz obowiązującymi aneksami. </w:t>
      </w:r>
    </w:p>
    <w:p w14:paraId="5F1B0EBD" w14:textId="77777777" w:rsidR="000B1CA2" w:rsidRPr="002B2BE2" w:rsidRDefault="000B1CA2" w:rsidP="000B1CA2">
      <w:pPr>
        <w:spacing w:after="0" w:line="300" w:lineRule="auto"/>
        <w:ind w:left="709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Zakładem, zgodnie ze Statutem, kieruje Dyrektor przy pomocy Zastępców oraz Głównego Księgowego.</w:t>
      </w:r>
    </w:p>
    <w:p w14:paraId="2C1158E8" w14:textId="77777777" w:rsidR="000B1CA2" w:rsidRPr="002B2BE2" w:rsidRDefault="000B1CA2" w:rsidP="000B1CA2">
      <w:pPr>
        <w:spacing w:after="120" w:line="300" w:lineRule="auto"/>
        <w:ind w:left="709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W 2024 roku działalnością Zakładu kierowały następujące osoby:</w:t>
      </w:r>
    </w:p>
    <w:p w14:paraId="308C81E4" w14:textId="77777777" w:rsidR="000B1CA2" w:rsidRPr="002B2BE2" w:rsidRDefault="000B1CA2" w:rsidP="00FA31E9">
      <w:pPr>
        <w:pStyle w:val="Akapitzlist"/>
        <w:numPr>
          <w:ilvl w:val="0"/>
          <w:numId w:val="10"/>
        </w:numPr>
        <w:spacing w:after="0" w:line="300" w:lineRule="auto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Pani Agata Kapłon – Dyrektor;</w:t>
      </w:r>
    </w:p>
    <w:p w14:paraId="195FD7DB" w14:textId="77777777" w:rsidR="000B1CA2" w:rsidRPr="002B2BE2" w:rsidRDefault="000B1CA2" w:rsidP="00FA31E9">
      <w:pPr>
        <w:pStyle w:val="Akapitzlist"/>
        <w:numPr>
          <w:ilvl w:val="0"/>
          <w:numId w:val="10"/>
        </w:numPr>
        <w:spacing w:after="0" w:line="300" w:lineRule="auto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Pan Tomasz Zakrzewski – Zastępca Dyrektora;</w:t>
      </w:r>
    </w:p>
    <w:p w14:paraId="0CE89FBD" w14:textId="77777777" w:rsidR="000B1CA2" w:rsidRPr="002B2BE2" w:rsidRDefault="000B1CA2" w:rsidP="00FA31E9">
      <w:pPr>
        <w:pStyle w:val="Akapitzlist"/>
        <w:numPr>
          <w:ilvl w:val="0"/>
          <w:numId w:val="10"/>
        </w:numPr>
        <w:spacing w:after="0" w:line="300" w:lineRule="auto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Pani Małgorzata Skrocka – Zastępca Dyrektora;</w:t>
      </w:r>
    </w:p>
    <w:p w14:paraId="01A3F9A0" w14:textId="5344CB75" w:rsidR="000B1CA2" w:rsidRPr="002B2BE2" w:rsidRDefault="000B1CA2" w:rsidP="000B1CA2">
      <w:pPr>
        <w:pStyle w:val="Akapitzlist"/>
        <w:spacing w:after="120" w:line="300" w:lineRule="auto"/>
        <w:ind w:left="1066"/>
        <w:contextualSpacing w:val="0"/>
        <w:rPr>
          <w:rFonts w:ascii="Calibri" w:eastAsia="Times New Roman" w:hAnsi="Calibri" w:cs="Calibri"/>
          <w:iCs/>
          <w:highlight w:val="yellow"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Pani Ewa Bernacik – Główny Księgowy</w:t>
      </w:r>
    </w:p>
    <w:p w14:paraId="51037342" w14:textId="77777777" w:rsidR="00920C80" w:rsidRPr="002B2BE2" w:rsidRDefault="00E46FB4" w:rsidP="004F145B">
      <w:pPr>
        <w:pStyle w:val="Akapitzlist"/>
        <w:numPr>
          <w:ilvl w:val="1"/>
          <w:numId w:val="4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Status prawny</w:t>
      </w:r>
    </w:p>
    <w:p w14:paraId="0C698C16" w14:textId="77777777" w:rsidR="00EE333C" w:rsidRPr="002B2BE2" w:rsidRDefault="005F1542" w:rsidP="004F145B">
      <w:pPr>
        <w:pStyle w:val="Akapitzlist"/>
        <w:numPr>
          <w:ilvl w:val="1"/>
          <w:numId w:val="4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Działalność statutowa</w:t>
      </w:r>
      <w:r w:rsidR="00214B17" w:rsidRPr="002B2BE2">
        <w:rPr>
          <w:rFonts w:eastAsia="Times New Roman" w:cstheme="minorHAnsi"/>
          <w:b/>
          <w:bCs/>
          <w:lang w:eastAsia="pl-PL"/>
        </w:rPr>
        <w:t xml:space="preserve"> </w:t>
      </w:r>
    </w:p>
    <w:p w14:paraId="6A06B160" w14:textId="77777777" w:rsidR="000B1CA2" w:rsidRPr="002B2BE2" w:rsidRDefault="000B1CA2" w:rsidP="000B1CA2">
      <w:pPr>
        <w:pStyle w:val="Akapitzlist"/>
        <w:spacing w:after="120" w:line="300" w:lineRule="auto"/>
        <w:ind w:left="709"/>
        <w:contextualSpacing w:val="0"/>
        <w:rPr>
          <w:rFonts w:eastAsia="Times New Roman" w:cstheme="minorHAnsi"/>
          <w:iCs/>
          <w:lang w:eastAsia="pl-PL"/>
        </w:rPr>
      </w:pPr>
      <w:r w:rsidRPr="002B2BE2">
        <w:rPr>
          <w:rFonts w:eastAsia="Times New Roman" w:cstheme="minorHAnsi"/>
          <w:iCs/>
          <w:lang w:eastAsia="pl-PL"/>
        </w:rPr>
        <w:t>Działalność statutowa Zakładu prowadzona jest na podstawie Statutu stanowiącego załącznik do Uchwały Rady Miasta Stołecznego Warszawy nr XXXVIII/882/2004 z dnia 30 września 2004 roku, zmienionego uchwałami Rady Miasta Stołecznego Warszawy:</w:t>
      </w:r>
    </w:p>
    <w:p w14:paraId="1DCFA78A" w14:textId="77777777" w:rsidR="000B1CA2" w:rsidRPr="002B2BE2" w:rsidRDefault="000B1CA2" w:rsidP="000B1CA2">
      <w:pPr>
        <w:pStyle w:val="Akapitzlist"/>
        <w:spacing w:line="300" w:lineRule="auto"/>
        <w:ind w:left="709"/>
        <w:rPr>
          <w:rFonts w:eastAsia="Times New Roman" w:cstheme="minorHAnsi"/>
          <w:iCs/>
          <w:lang w:eastAsia="pl-PL"/>
        </w:rPr>
      </w:pPr>
      <w:r w:rsidRPr="002B2BE2">
        <w:rPr>
          <w:rFonts w:eastAsia="Times New Roman" w:cstheme="minorHAnsi"/>
          <w:iCs/>
          <w:lang w:eastAsia="pl-PL"/>
        </w:rPr>
        <w:t>1. nr XV/470/2007 z dnia 13 maja 2007 roku:</w:t>
      </w:r>
    </w:p>
    <w:p w14:paraId="425B0FAE" w14:textId="77777777" w:rsidR="000B1CA2" w:rsidRPr="002B2BE2" w:rsidRDefault="000B1CA2" w:rsidP="000B1CA2">
      <w:pPr>
        <w:pStyle w:val="Akapitzlist"/>
        <w:spacing w:line="300" w:lineRule="auto"/>
        <w:ind w:left="709"/>
        <w:rPr>
          <w:rFonts w:eastAsia="Times New Roman" w:cstheme="minorHAnsi"/>
          <w:iCs/>
          <w:lang w:eastAsia="pl-PL"/>
        </w:rPr>
      </w:pPr>
      <w:r w:rsidRPr="002B2BE2">
        <w:rPr>
          <w:rFonts w:eastAsia="Times New Roman" w:cstheme="minorHAnsi"/>
          <w:iCs/>
          <w:lang w:eastAsia="pl-PL"/>
        </w:rPr>
        <w:t>2. nr LI/1558/2009 z dnia 19 marca 2009 roku:</w:t>
      </w:r>
    </w:p>
    <w:p w14:paraId="3A75690B" w14:textId="77777777" w:rsidR="000B1CA2" w:rsidRPr="002B2BE2" w:rsidRDefault="000B1CA2" w:rsidP="000B1CA2">
      <w:pPr>
        <w:pStyle w:val="Akapitzlist"/>
        <w:spacing w:line="300" w:lineRule="auto"/>
        <w:ind w:left="709"/>
        <w:rPr>
          <w:rFonts w:eastAsia="Times New Roman" w:cstheme="minorHAnsi"/>
          <w:iCs/>
          <w:lang w:eastAsia="pl-PL"/>
        </w:rPr>
      </w:pPr>
      <w:r w:rsidRPr="002B2BE2">
        <w:rPr>
          <w:rFonts w:eastAsia="Times New Roman" w:cstheme="minorHAnsi"/>
          <w:iCs/>
          <w:lang w:eastAsia="pl-PL"/>
        </w:rPr>
        <w:t>3. nr LXXXII/2376/2010 z dnia 13 maja 2010 roku.</w:t>
      </w:r>
    </w:p>
    <w:p w14:paraId="204D11BF" w14:textId="77777777" w:rsidR="00AB6830" w:rsidRPr="002B2BE2" w:rsidRDefault="00AB6830" w:rsidP="00AB6830">
      <w:pPr>
        <w:pStyle w:val="Akapitzlist"/>
        <w:spacing w:line="300" w:lineRule="auto"/>
        <w:ind w:left="709"/>
        <w:rPr>
          <w:rFonts w:eastAsia="Times New Roman" w:cstheme="minorHAnsi"/>
          <w:iCs/>
          <w:highlight w:val="yellow"/>
          <w:lang w:eastAsia="pl-PL"/>
        </w:rPr>
      </w:pPr>
    </w:p>
    <w:p w14:paraId="34344BA3" w14:textId="45208ABF" w:rsidR="006F0A66" w:rsidRPr="002B2BE2" w:rsidRDefault="005F1542" w:rsidP="006F0A66">
      <w:pPr>
        <w:pStyle w:val="Akapitzlist"/>
        <w:numPr>
          <w:ilvl w:val="1"/>
          <w:numId w:val="4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Schemat organizacyjny</w:t>
      </w:r>
    </w:p>
    <w:p w14:paraId="3D65EC19" w14:textId="20B3DACC" w:rsidR="006F0A66" w:rsidRPr="002B2BE2" w:rsidRDefault="006F0A66" w:rsidP="006F0A66">
      <w:pPr>
        <w:spacing w:after="0" w:line="300" w:lineRule="auto"/>
        <w:ind w:left="709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W 202</w:t>
      </w:r>
      <w:r w:rsidR="00D96284" w:rsidRPr="002B2BE2">
        <w:rPr>
          <w:rFonts w:ascii="Calibri" w:eastAsia="Times New Roman" w:hAnsi="Calibri" w:cs="Calibri"/>
          <w:iCs/>
          <w:lang w:eastAsia="pl-PL"/>
        </w:rPr>
        <w:t>4</w:t>
      </w:r>
      <w:r w:rsidRPr="002B2BE2">
        <w:rPr>
          <w:rFonts w:ascii="Calibri" w:eastAsia="Times New Roman" w:hAnsi="Calibri" w:cs="Calibri"/>
          <w:iCs/>
          <w:lang w:eastAsia="pl-PL"/>
        </w:rPr>
        <w:t xml:space="preserve"> r. </w:t>
      </w:r>
      <w:r w:rsidR="00D96284" w:rsidRPr="002B2BE2">
        <w:rPr>
          <w:rFonts w:ascii="Calibri" w:eastAsia="Times New Roman" w:hAnsi="Calibri" w:cs="Calibri"/>
          <w:iCs/>
          <w:lang w:eastAsia="pl-PL"/>
        </w:rPr>
        <w:t xml:space="preserve">nie było </w:t>
      </w:r>
      <w:r w:rsidRPr="002B2BE2">
        <w:rPr>
          <w:rFonts w:ascii="Calibri" w:eastAsia="Times New Roman" w:hAnsi="Calibri" w:cs="Calibri"/>
          <w:iCs/>
          <w:lang w:eastAsia="pl-PL"/>
        </w:rPr>
        <w:t xml:space="preserve">zmian </w:t>
      </w:r>
      <w:r w:rsidR="00D96284" w:rsidRPr="002B2BE2">
        <w:rPr>
          <w:rFonts w:ascii="Calibri" w:eastAsia="Times New Roman" w:hAnsi="Calibri" w:cs="Calibri"/>
          <w:iCs/>
          <w:lang w:eastAsia="pl-PL"/>
        </w:rPr>
        <w:t>w</w:t>
      </w:r>
      <w:r w:rsidRPr="002B2BE2">
        <w:rPr>
          <w:rFonts w:ascii="Calibri" w:eastAsia="Times New Roman" w:hAnsi="Calibri" w:cs="Calibri"/>
          <w:iCs/>
          <w:lang w:eastAsia="pl-PL"/>
        </w:rPr>
        <w:t xml:space="preserve"> struktur</w:t>
      </w:r>
      <w:r w:rsidR="00D96284" w:rsidRPr="002B2BE2">
        <w:rPr>
          <w:rFonts w:ascii="Calibri" w:eastAsia="Times New Roman" w:hAnsi="Calibri" w:cs="Calibri"/>
          <w:iCs/>
          <w:lang w:eastAsia="pl-PL"/>
        </w:rPr>
        <w:t>ze</w:t>
      </w:r>
      <w:r w:rsidRPr="002B2BE2">
        <w:rPr>
          <w:rFonts w:ascii="Calibri" w:eastAsia="Times New Roman" w:hAnsi="Calibri" w:cs="Calibri"/>
          <w:iCs/>
          <w:lang w:eastAsia="pl-PL"/>
        </w:rPr>
        <w:t xml:space="preserve"> organizacyjnej ZGN Ochota.</w:t>
      </w:r>
    </w:p>
    <w:p w14:paraId="26CF69FF" w14:textId="77777777" w:rsidR="006F0A66" w:rsidRPr="002B2BE2" w:rsidRDefault="006F0A66" w:rsidP="006F0A66">
      <w:pPr>
        <w:spacing w:after="0" w:line="300" w:lineRule="auto"/>
        <w:ind w:left="709"/>
        <w:rPr>
          <w:rFonts w:ascii="Calibri" w:eastAsia="Times New Roman" w:hAnsi="Calibri" w:cs="Calibri"/>
          <w:iCs/>
          <w:highlight w:val="yellow"/>
          <w:u w:val="single"/>
          <w:lang w:eastAsia="pl-PL"/>
        </w:rPr>
      </w:pPr>
    </w:p>
    <w:p w14:paraId="6C1B8DBB" w14:textId="77777777" w:rsidR="002B2BE2" w:rsidRDefault="002B2BE2" w:rsidP="00DA1C2B">
      <w:pPr>
        <w:spacing w:after="0" w:line="300" w:lineRule="auto"/>
        <w:ind w:left="709"/>
        <w:rPr>
          <w:rFonts w:ascii="Calibri" w:eastAsia="Times New Roman" w:hAnsi="Calibri" w:cs="Calibri"/>
          <w:iCs/>
          <w:u w:val="single"/>
          <w:lang w:eastAsia="pl-PL"/>
        </w:rPr>
      </w:pPr>
    </w:p>
    <w:p w14:paraId="301D3DE1" w14:textId="066BAEBF" w:rsidR="006F0A66" w:rsidRPr="002B2BE2" w:rsidRDefault="00D96284" w:rsidP="00DA1C2B">
      <w:pPr>
        <w:spacing w:after="0" w:line="300" w:lineRule="auto"/>
        <w:ind w:left="709"/>
        <w:rPr>
          <w:rFonts w:ascii="Calibri" w:eastAsia="Times New Roman" w:hAnsi="Calibri" w:cs="Calibri"/>
          <w:iCs/>
          <w:u w:val="single"/>
          <w:lang w:eastAsia="pl-PL"/>
        </w:rPr>
      </w:pPr>
      <w:r w:rsidRPr="002B2BE2">
        <w:rPr>
          <w:rFonts w:ascii="Calibri" w:eastAsia="Times New Roman" w:hAnsi="Calibri" w:cs="Calibri"/>
          <w:iCs/>
          <w:u w:val="single"/>
          <w:lang w:eastAsia="pl-PL"/>
        </w:rPr>
        <w:t>S</w:t>
      </w:r>
      <w:r w:rsidR="006F0A66" w:rsidRPr="002B2BE2">
        <w:rPr>
          <w:rFonts w:ascii="Calibri" w:eastAsia="Times New Roman" w:hAnsi="Calibri" w:cs="Calibri"/>
          <w:iCs/>
          <w:u w:val="single"/>
          <w:lang w:eastAsia="pl-PL"/>
        </w:rPr>
        <w:t>truktura organizacyjna:</w:t>
      </w:r>
    </w:p>
    <w:p w14:paraId="42DCA518" w14:textId="75A8030E" w:rsidR="006F0A66" w:rsidRPr="002B2BE2" w:rsidRDefault="006F0A66" w:rsidP="00AB6830">
      <w:pPr>
        <w:spacing w:after="120" w:line="300" w:lineRule="auto"/>
        <w:ind w:left="709"/>
        <w:rPr>
          <w:rFonts w:eastAsia="Times New Roman" w:cstheme="minorHAnsi"/>
          <w:bCs/>
          <w:highlight w:val="yellow"/>
          <w:lang w:eastAsia="pl-PL"/>
        </w:rPr>
      </w:pPr>
      <w:r w:rsidRPr="002B2BE2">
        <w:rPr>
          <w:rFonts w:eastAsia="Times New Roman" w:cstheme="minorHAnsi"/>
          <w:bCs/>
          <w:noProof/>
          <w:lang w:eastAsia="pl-PL"/>
        </w:rPr>
        <w:drawing>
          <wp:inline distT="0" distB="0" distL="0" distR="0" wp14:anchorId="41B046E3" wp14:editId="41D057B7">
            <wp:extent cx="5761355" cy="3651885"/>
            <wp:effectExtent l="0" t="0" r="0" b="0"/>
            <wp:docPr id="490699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5A04A" w14:textId="77777777" w:rsidR="008C53AC" w:rsidRPr="002B2BE2" w:rsidRDefault="00111663" w:rsidP="007B59D8">
      <w:pPr>
        <w:pStyle w:val="Akapitzlist"/>
        <w:numPr>
          <w:ilvl w:val="0"/>
          <w:numId w:val="1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ZATRUDNIENIE</w:t>
      </w:r>
    </w:p>
    <w:p w14:paraId="3BC30988" w14:textId="77777777" w:rsidR="00184A9A" w:rsidRPr="002B2BE2" w:rsidRDefault="00111663" w:rsidP="004F145B">
      <w:pPr>
        <w:pStyle w:val="Akapitzlist"/>
        <w:numPr>
          <w:ilvl w:val="1"/>
          <w:numId w:val="5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cstheme="minorHAnsi"/>
          <w:b/>
          <w:bCs/>
        </w:rPr>
        <w:t>Stan zatrudnienia</w:t>
      </w:r>
    </w:p>
    <w:p w14:paraId="01F48DA1" w14:textId="39D1A117" w:rsidR="007802A5" w:rsidRPr="002B2BE2" w:rsidRDefault="004F0381" w:rsidP="00122832">
      <w:pPr>
        <w:spacing w:line="24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Stan zatrudnienia przedstawia tabela</w:t>
      </w:r>
      <w:r w:rsidR="003020F3" w:rsidRPr="002B2BE2">
        <w:rPr>
          <w:rFonts w:eastAsia="Times New Roman" w:cstheme="minorHAnsi"/>
          <w:lang w:eastAsia="pl-PL"/>
        </w:rPr>
        <w:t xml:space="preserve"> nr 1.</w:t>
      </w:r>
    </w:p>
    <w:bookmarkStart w:id="2" w:name="_MON_1634455325"/>
    <w:bookmarkEnd w:id="2"/>
    <w:p w14:paraId="219F4C43" w14:textId="38924A08" w:rsidR="00DD234D" w:rsidRPr="002B2BE2" w:rsidRDefault="000B1CA2" w:rsidP="00D409CC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2BE2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8936" w:dyaOrig="4492" w14:anchorId="7F063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30.25pt" o:ole="">
            <v:imagedata r:id="rId9" o:title=""/>
          </v:shape>
          <o:OLEObject Type="Embed" ProgID="Excel.Sheet.12" ShapeID="_x0000_i1025" DrawAspect="Content" ObjectID="_1805783748" r:id="rId10"/>
        </w:object>
      </w:r>
    </w:p>
    <w:p w14:paraId="222C3237" w14:textId="77777777" w:rsidR="001F0993" w:rsidRPr="002B2BE2" w:rsidRDefault="001F0993" w:rsidP="000B1CA2">
      <w:pPr>
        <w:spacing w:after="0" w:line="30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0596183B" w14:textId="77777777" w:rsidR="000B1CA2" w:rsidRPr="002B2BE2" w:rsidRDefault="000B1CA2" w:rsidP="000B1CA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>Pełnomocnicy ds. wspólnot mieszkaniowych</w:t>
      </w:r>
    </w:p>
    <w:p w14:paraId="6A2C5198" w14:textId="77777777" w:rsidR="000B1CA2" w:rsidRPr="002B2BE2" w:rsidRDefault="000B1CA2" w:rsidP="00FA31E9">
      <w:pPr>
        <w:pStyle w:val="Akapitzlist"/>
        <w:numPr>
          <w:ilvl w:val="0"/>
          <w:numId w:val="17"/>
        </w:numPr>
        <w:spacing w:after="0" w:line="240" w:lineRule="auto"/>
        <w:ind w:left="567" w:hanging="425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 xml:space="preserve">Liczba pracowników w etatach, którzy wykonują pracę jako Pełnomocnik i jest to ich główne zadanie wynikające z zakresu obowiązków w jednostce: </w:t>
      </w:r>
      <w:r w:rsidRPr="002B2BE2">
        <w:rPr>
          <w:rFonts w:ascii="Calibri" w:eastAsia="Times New Roman" w:hAnsi="Calibri" w:cs="Calibri"/>
          <w:b/>
          <w:bCs/>
          <w:lang w:eastAsia="pl-PL"/>
        </w:rPr>
        <w:t>0</w:t>
      </w:r>
    </w:p>
    <w:p w14:paraId="41431CF8" w14:textId="4D68ED17" w:rsidR="000B1CA2" w:rsidRPr="002B2BE2" w:rsidRDefault="000B1CA2" w:rsidP="00FA31E9">
      <w:pPr>
        <w:pStyle w:val="Akapitzlist"/>
        <w:numPr>
          <w:ilvl w:val="0"/>
          <w:numId w:val="17"/>
        </w:numPr>
        <w:spacing w:line="240" w:lineRule="auto"/>
        <w:ind w:left="567" w:hanging="425"/>
        <w:contextualSpacing w:val="0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lastRenderedPageBreak/>
        <w:t xml:space="preserve">Liczba pracowników, którzy wykonują funkcję Pełnomocnika ds. wspólnot mieszkaniowych dodatkowo np. we wzmożonych okresach związanych z organizowaniem zebrań wspólnot mieszkaniowych, ale nie jest to ich główne zadanie wynikające z zakresu obowiązków: </w:t>
      </w:r>
      <w:r w:rsidR="005206DB">
        <w:rPr>
          <w:rFonts w:ascii="Calibri" w:eastAsia="Times New Roman" w:hAnsi="Calibri" w:cs="Calibri"/>
          <w:b/>
          <w:bCs/>
          <w:lang w:eastAsia="pl-PL"/>
        </w:rPr>
        <w:t>8</w:t>
      </w:r>
    </w:p>
    <w:p w14:paraId="3FC752BF" w14:textId="77777777" w:rsidR="000B1CA2" w:rsidRPr="002B2BE2" w:rsidRDefault="000B1CA2" w:rsidP="000B1CA2">
      <w:pPr>
        <w:pStyle w:val="Akapitzlist"/>
        <w:spacing w:line="240" w:lineRule="auto"/>
        <w:ind w:left="567"/>
        <w:contextualSpacing w:val="0"/>
        <w:rPr>
          <w:rFonts w:ascii="Calibri" w:eastAsia="Times New Roman" w:hAnsi="Calibri" w:cs="Calibri"/>
          <w:lang w:eastAsia="pl-PL"/>
        </w:rPr>
      </w:pPr>
    </w:p>
    <w:p w14:paraId="33C1DE90" w14:textId="0EB71851" w:rsidR="00D409CC" w:rsidRPr="002B2BE2" w:rsidRDefault="00D409CC" w:rsidP="004F145B">
      <w:pPr>
        <w:pStyle w:val="Akapitzlist"/>
        <w:numPr>
          <w:ilvl w:val="1"/>
          <w:numId w:val="5"/>
        </w:numPr>
        <w:spacing w:line="240" w:lineRule="auto"/>
        <w:ind w:left="709" w:hanging="709"/>
        <w:contextualSpacing w:val="0"/>
        <w:rPr>
          <w:rFonts w:cstheme="minorHAnsi"/>
          <w:b/>
        </w:rPr>
      </w:pPr>
      <w:r w:rsidRPr="002B2BE2">
        <w:rPr>
          <w:rFonts w:cstheme="minorHAnsi"/>
          <w:b/>
        </w:rPr>
        <w:t>Fluktuacja kadr</w:t>
      </w:r>
    </w:p>
    <w:p w14:paraId="64BC2A10" w14:textId="34E408D4" w:rsidR="004205BC" w:rsidRPr="002B2BE2" w:rsidRDefault="00FA31E9" w:rsidP="004205BC">
      <w:pPr>
        <w:pStyle w:val="Default"/>
        <w:spacing w:after="120" w:line="300" w:lineRule="auto"/>
        <w:ind w:left="709"/>
        <w:rPr>
          <w:color w:val="auto"/>
          <w:sz w:val="22"/>
          <w:szCs w:val="22"/>
        </w:rPr>
      </w:pPr>
      <w:r w:rsidRPr="002B2BE2">
        <w:rPr>
          <w:color w:val="auto"/>
          <w:sz w:val="22"/>
          <w:szCs w:val="22"/>
        </w:rPr>
        <w:t>Ś</w:t>
      </w:r>
      <w:r w:rsidR="004205BC" w:rsidRPr="002B2BE2">
        <w:rPr>
          <w:color w:val="auto"/>
          <w:sz w:val="22"/>
          <w:szCs w:val="22"/>
        </w:rPr>
        <w:t xml:space="preserve">rednioroczne zatrudnienie </w:t>
      </w:r>
      <w:r w:rsidRPr="002B2BE2">
        <w:rPr>
          <w:color w:val="auto"/>
          <w:sz w:val="22"/>
          <w:szCs w:val="22"/>
        </w:rPr>
        <w:t xml:space="preserve">w 2024 roku </w:t>
      </w:r>
      <w:r w:rsidR="004205BC" w:rsidRPr="002B2BE2">
        <w:rPr>
          <w:color w:val="auto"/>
          <w:sz w:val="22"/>
          <w:szCs w:val="22"/>
        </w:rPr>
        <w:t xml:space="preserve">kształtowało się na poziomie 51,83 etatów - stanowiska nierobotnicze. Na stanowiskach robotniczych ZGN nikogo nie zatrudniał. ZGN Ochota posiada przyznanych 52,5 </w:t>
      </w:r>
      <w:r w:rsidR="00507A74" w:rsidRPr="002B2BE2">
        <w:rPr>
          <w:color w:val="auto"/>
          <w:sz w:val="22"/>
          <w:szCs w:val="22"/>
        </w:rPr>
        <w:t>etatów</w:t>
      </w:r>
      <w:r w:rsidR="004205BC" w:rsidRPr="002B2BE2">
        <w:rPr>
          <w:color w:val="auto"/>
          <w:sz w:val="22"/>
          <w:szCs w:val="22"/>
        </w:rPr>
        <w:t xml:space="preserve">. W 2024 roku ZGN Ochota ogłosił 5 konkursów: 1 do Działu Finansowo-Księgowego, 1 do Działu Gospodarowania Terenami, 2 do Działu Gospodarowania Lokalami i 1 do Działu Organizacji  i Kadr. W wyniku przeprowadzonych rekrutacji, po analizie złożonych aplikacji, komisja biorąc pod uwagę stopień spełnienia przez kandydatów wymagań określonych w ogłoszeniu (wymagania niezbędne, wymagania dodatkowe) ocenę z rozmowy kwalifikacyjnej oraz wymagania finansowe kandydatów rekomendowała do zatrudnienia 4 osoby. W efekcie zatrudniono 3 osoby, 1 z osób zrezygnowała.  W 2024 roku, w ramach przeniesienia w trybie art. 22 ustawy z dnia 21 listopada 2008 r. o pracownikach samorządowych odeszło 2 pracowników. Dwie umowy zostały rozwiązane na mocy porozumienia stron, w tym jedna z powodu przejścia pracownika na emeryturę. Nie zatrudniano nikogo na zastępstwo. </w:t>
      </w:r>
    </w:p>
    <w:p w14:paraId="059AAF23" w14:textId="26E08766" w:rsidR="00D409CC" w:rsidRPr="002B2BE2" w:rsidRDefault="00D409CC" w:rsidP="004F145B">
      <w:pPr>
        <w:pStyle w:val="Akapitzlist"/>
        <w:numPr>
          <w:ilvl w:val="1"/>
          <w:numId w:val="5"/>
        </w:numPr>
        <w:spacing w:line="240" w:lineRule="auto"/>
        <w:ind w:left="709" w:hanging="709"/>
        <w:contextualSpacing w:val="0"/>
        <w:rPr>
          <w:rFonts w:cstheme="minorHAnsi"/>
          <w:b/>
        </w:rPr>
      </w:pPr>
      <w:r w:rsidRPr="002B2BE2">
        <w:rPr>
          <w:rFonts w:cstheme="minorHAnsi"/>
          <w:b/>
        </w:rPr>
        <w:t>Szkolenia i podnoszenie kwalifikacji zawodowych</w:t>
      </w:r>
    </w:p>
    <w:p w14:paraId="1B4F677E" w14:textId="77777777" w:rsidR="002170E9" w:rsidRPr="002B2BE2" w:rsidRDefault="002170E9" w:rsidP="002170E9">
      <w:pPr>
        <w:pStyle w:val="Default"/>
        <w:spacing w:line="300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Zakład Gospodarowania Nieruchomościami w Dzielnicy Ochota m.st. Warszawy nieustająco troszczy się o podnoszenie kwalifikacji swoich pracowników. W 2024 roku realizowano szkolenia, które zapewniały pracownikom niezbędną wiedzę w związku ze zmianami prawa, które aktualizowały i porządkowały ich wiedzę. Dzięki tym szkoleniom podnosiły się kwalifikacje pracowników przyczyniając się do zwiększenia jakości i efektywność działań i zadań realizowanych przez ZGN Ochota. Pracownicy szkolili się głównie online. Podnosili swoją wiedzę merytoryczną z zakresu wykonywanych w ZGN Ochota zadań również samodzielnie poprzez dostępne publikacje, bezpłatne webinaria. </w:t>
      </w:r>
    </w:p>
    <w:p w14:paraId="504213BB" w14:textId="77777777" w:rsidR="002170E9" w:rsidRPr="002B2BE2" w:rsidRDefault="002170E9" w:rsidP="002170E9">
      <w:pPr>
        <w:pStyle w:val="Default"/>
        <w:spacing w:line="300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Zrealizowane szkolenia to: </w:t>
      </w:r>
    </w:p>
    <w:p w14:paraId="11FBC74D" w14:textId="6BC7316C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Rozliczanie ciepła i ciepłej wody nie tylko w budynkach wspólnot i spółdzielni mieszkaniowych wg najnowszych przepisów prawa energetycznego i rozporządzenia z grudnia 2021,</w:t>
      </w:r>
    </w:p>
    <w:p w14:paraId="03198AB3" w14:textId="375B0D3C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Szkolenie pracowników z zakresu ochrony p.poż.</w:t>
      </w:r>
      <w:r w:rsidR="00FA31E9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AC92721" w14:textId="77777777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ZFŚS w 2024 roku po zmianach przepisów prawa z uwzględnieniem jednostek budżetowych, w tym publicznych placówek oświatowych - w praktyce,</w:t>
      </w:r>
    </w:p>
    <w:p w14:paraId="082186C0" w14:textId="4563049C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Windykacja od spadkobierców - rozliczanie długów po śmierci: Prawo i praktyka – szkolenie,</w:t>
      </w:r>
    </w:p>
    <w:p w14:paraId="16013AED" w14:textId="53BFEF8C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Weryfikacja dochodów najemców lokali komunalnych i socjalnych,</w:t>
      </w:r>
    </w:p>
    <w:p w14:paraId="483E52FA" w14:textId="25B80402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Szkolenie online konsolidacja sprawozdań finansowych dla praktyków 3-dniowe warsztaty,</w:t>
      </w:r>
    </w:p>
    <w:p w14:paraId="6E3A5797" w14:textId="77777777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System Elektronicznego Zarządzania Dokumentacją na przykładzie EZD RP,</w:t>
      </w:r>
    </w:p>
    <w:p w14:paraId="5E3FC188" w14:textId="690959DD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 Power Query w </w:t>
      </w:r>
      <w:proofErr w:type="spellStart"/>
      <w:r w:rsidRPr="002B2BE2">
        <w:rPr>
          <w:rFonts w:asciiTheme="minorHAnsi" w:hAnsiTheme="minorHAnsi" w:cstheme="minorHAnsi"/>
          <w:color w:val="auto"/>
          <w:sz w:val="22"/>
          <w:szCs w:val="22"/>
        </w:rPr>
        <w:t>excelu</w:t>
      </w:r>
      <w:proofErr w:type="spellEnd"/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 – raportowanie od ręki</w:t>
      </w:r>
      <w:r w:rsidR="000B09DC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EF064FC" w14:textId="009BD93D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lastRenderedPageBreak/>
        <w:t>Zarządzanie ryzykiem wg. metodyki określonej w Standardach kontroli zarządczej opublikowanych przez Ministra Finansów</w:t>
      </w:r>
      <w:r w:rsidR="000B09DC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75EE492" w14:textId="7CAFD202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Jak skutecznie „likwidować” należności cywilnoprawne w </w:t>
      </w:r>
      <w:proofErr w:type="spellStart"/>
      <w:r w:rsidRPr="002B2BE2">
        <w:rPr>
          <w:rFonts w:asciiTheme="minorHAnsi" w:hAnsiTheme="minorHAnsi" w:cstheme="minorHAnsi"/>
          <w:color w:val="auto"/>
          <w:sz w:val="22"/>
          <w:szCs w:val="22"/>
        </w:rPr>
        <w:t>jst</w:t>
      </w:r>
      <w:proofErr w:type="spellEnd"/>
      <w:r w:rsidRPr="002B2BE2">
        <w:rPr>
          <w:rFonts w:asciiTheme="minorHAnsi" w:hAnsiTheme="minorHAnsi" w:cstheme="minorHAnsi"/>
          <w:color w:val="auto"/>
          <w:sz w:val="22"/>
          <w:szCs w:val="22"/>
        </w:rPr>
        <w:t>? Alternatywy dla zapłaty zaległości. Wygasanie zobowiązań cywilnoprawnych. Ugoda i stosowanie ulg w spłacie</w:t>
      </w:r>
      <w:r w:rsidR="00D06EB9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E73AAC1" w14:textId="3979129A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Power Query w Excelu, poziom 2, czyli jeszcze bardziej zaawansowane raportowanie od ręki</w:t>
      </w:r>
      <w:r w:rsidR="00D06EB9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6A6F61" w14:textId="081F7DEB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Podatek VAT w </w:t>
      </w:r>
      <w:proofErr w:type="spellStart"/>
      <w:r w:rsidRPr="002B2BE2">
        <w:rPr>
          <w:rFonts w:asciiTheme="minorHAnsi" w:hAnsiTheme="minorHAnsi" w:cstheme="minorHAnsi"/>
          <w:color w:val="auto"/>
          <w:sz w:val="22"/>
          <w:szCs w:val="22"/>
        </w:rPr>
        <w:t>jst</w:t>
      </w:r>
      <w:proofErr w:type="spellEnd"/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 w praktyce-2 dniowe zajęcia </w:t>
      </w:r>
      <w:r w:rsidR="00D06EB9" w:rsidRPr="002B2BE2">
        <w:rPr>
          <w:rFonts w:asciiTheme="minorHAnsi" w:hAnsiTheme="minorHAnsi" w:cstheme="minorHAnsi"/>
          <w:color w:val="auto"/>
          <w:sz w:val="22"/>
          <w:szCs w:val="22"/>
        </w:rPr>
        <w:t>udoskonalające</w:t>
      </w:r>
      <w:r w:rsidRPr="002B2BE2">
        <w:rPr>
          <w:rFonts w:asciiTheme="minorHAnsi" w:hAnsiTheme="minorHAnsi" w:cstheme="minorHAnsi"/>
          <w:color w:val="auto"/>
          <w:sz w:val="22"/>
          <w:szCs w:val="22"/>
        </w:rPr>
        <w:t xml:space="preserve"> - poziom podstawowy</w:t>
      </w:r>
      <w:r w:rsidR="00D06EB9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C3F97BB" w14:textId="02347564" w:rsidR="002170E9" w:rsidRPr="002B2BE2" w:rsidRDefault="002170E9" w:rsidP="00FA31E9">
      <w:pPr>
        <w:pStyle w:val="Default"/>
        <w:numPr>
          <w:ilvl w:val="0"/>
          <w:numId w:val="19"/>
        </w:numPr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Trudne rozmowy czyli jak się komunikować w bezpieczny sposób</w:t>
      </w:r>
      <w:r w:rsidR="00D06EB9" w:rsidRPr="002B2BE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EACC350" w14:textId="7420B51E" w:rsidR="002170E9" w:rsidRPr="002B2BE2" w:rsidRDefault="002170E9" w:rsidP="00FA31E9">
      <w:pPr>
        <w:pStyle w:val="Default"/>
        <w:numPr>
          <w:ilvl w:val="0"/>
          <w:numId w:val="19"/>
        </w:numPr>
        <w:spacing w:after="120" w:line="300" w:lineRule="auto"/>
        <w:ind w:left="1066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B2BE2">
        <w:rPr>
          <w:rFonts w:asciiTheme="minorHAnsi" w:hAnsiTheme="minorHAnsi" w:cstheme="minorHAnsi"/>
          <w:color w:val="auto"/>
          <w:sz w:val="22"/>
          <w:szCs w:val="22"/>
        </w:rPr>
        <w:t>szkolenie Ustawa o doręczeniach elektronicznych</w:t>
      </w:r>
    </w:p>
    <w:p w14:paraId="5B69BC21" w14:textId="77777777" w:rsidR="00DE5675" w:rsidRPr="002B2BE2" w:rsidRDefault="00111663" w:rsidP="007B59D8">
      <w:pPr>
        <w:pStyle w:val="Akapitzlist"/>
        <w:numPr>
          <w:ilvl w:val="0"/>
          <w:numId w:val="1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ZASOBY</w:t>
      </w:r>
      <w:r w:rsidR="00A74C2C" w:rsidRPr="002B2BE2">
        <w:rPr>
          <w:rFonts w:eastAsia="Times New Roman" w:cstheme="minorHAnsi"/>
          <w:b/>
          <w:lang w:eastAsia="pl-PL"/>
        </w:rPr>
        <w:t xml:space="preserve"> – dane liczbowe</w:t>
      </w:r>
    </w:p>
    <w:p w14:paraId="02632FE2" w14:textId="77777777" w:rsidR="00C051E7" w:rsidRPr="002B2BE2" w:rsidRDefault="00AD7BDE" w:rsidP="004F145B">
      <w:pPr>
        <w:pStyle w:val="Akapitzlist"/>
        <w:numPr>
          <w:ilvl w:val="1"/>
          <w:numId w:val="6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Zasoby lokalowe administrowane przez jednostkę</w:t>
      </w:r>
    </w:p>
    <w:p w14:paraId="5E4670CF" w14:textId="77777777" w:rsidR="00D84789" w:rsidRPr="002B2BE2" w:rsidRDefault="00AD6F8E" w:rsidP="00D84789">
      <w:pPr>
        <w:pStyle w:val="Akapitzlist"/>
        <w:spacing w:after="120" w:line="300" w:lineRule="auto"/>
        <w:ind w:left="709"/>
        <w:contextualSpacing w:val="0"/>
        <w:rPr>
          <w:rFonts w:cs="Calibri"/>
        </w:rPr>
      </w:pPr>
      <w:r w:rsidRPr="002B2BE2">
        <w:rPr>
          <w:rFonts w:cs="Calibri"/>
        </w:rPr>
        <w:t xml:space="preserve">Według stanu </w:t>
      </w:r>
      <w:r w:rsidR="00D84789" w:rsidRPr="002B2BE2">
        <w:rPr>
          <w:rFonts w:cs="Calibri"/>
        </w:rPr>
        <w:t xml:space="preserve">na dzień 31 grudnia 2024 r. w zarządzaniu </w:t>
      </w:r>
      <w:r w:rsidR="00D84789" w:rsidRPr="002B2BE2">
        <w:rPr>
          <w:rFonts w:eastAsia="Times New Roman" w:cs="Calibri"/>
          <w:iCs/>
          <w:lang w:eastAsia="pl-PL"/>
        </w:rPr>
        <w:t>Zakładu Gospodarowania Nieruchomościami w Dzielnicy Ochota</w:t>
      </w:r>
      <w:r w:rsidR="00D84789" w:rsidRPr="002B2BE2">
        <w:rPr>
          <w:rFonts w:cs="Calibri"/>
        </w:rPr>
        <w:t xml:space="preserve"> znajdowało się </w:t>
      </w:r>
      <w:r w:rsidR="00D84789" w:rsidRPr="002B2BE2">
        <w:rPr>
          <w:rFonts w:cs="Calibri"/>
          <w:b/>
        </w:rPr>
        <w:t xml:space="preserve">5.881 </w:t>
      </w:r>
      <w:r w:rsidR="00D84789" w:rsidRPr="002B2BE2">
        <w:rPr>
          <w:rFonts w:cs="Calibri"/>
        </w:rPr>
        <w:t xml:space="preserve">lokali komunalnych w </w:t>
      </w:r>
      <w:r w:rsidR="00D84789" w:rsidRPr="002B2BE2">
        <w:rPr>
          <w:rFonts w:cs="Calibri"/>
          <w:b/>
          <w:bCs/>
        </w:rPr>
        <w:t xml:space="preserve">499 </w:t>
      </w:r>
      <w:r w:rsidR="00D84789" w:rsidRPr="002B2BE2">
        <w:rPr>
          <w:rFonts w:cs="Calibri"/>
        </w:rPr>
        <w:t>budynkach.</w:t>
      </w:r>
    </w:p>
    <w:p w14:paraId="226C4A61" w14:textId="77777777" w:rsidR="00D84789" w:rsidRPr="002B2BE2" w:rsidRDefault="00D84789" w:rsidP="00D84789">
      <w:pPr>
        <w:pStyle w:val="Akapitzlist"/>
        <w:spacing w:after="120" w:line="300" w:lineRule="auto"/>
        <w:contextualSpacing w:val="0"/>
        <w:rPr>
          <w:rFonts w:cs="Calibri"/>
        </w:rPr>
      </w:pPr>
      <w:r w:rsidRPr="002B2BE2">
        <w:rPr>
          <w:rFonts w:cs="Calibri"/>
        </w:rPr>
        <w:t xml:space="preserve">Ogólna powierzchnia zasobu lokalowego m.st. Warszawy na koniec roku wyniosła </w:t>
      </w:r>
      <w:r w:rsidRPr="002B2BE2">
        <w:rPr>
          <w:rFonts w:cs="Calibri"/>
          <w:b/>
        </w:rPr>
        <w:t>252.726,05 m</w:t>
      </w:r>
      <w:r w:rsidRPr="002B2BE2">
        <w:rPr>
          <w:rFonts w:cs="Calibri"/>
          <w:b/>
          <w:vertAlign w:val="superscript"/>
        </w:rPr>
        <w:t>2.</w:t>
      </w:r>
    </w:p>
    <w:p w14:paraId="4D2883C6" w14:textId="08E6C6D9" w:rsidR="00AD6F8E" w:rsidRPr="002B2BE2" w:rsidRDefault="00941562" w:rsidP="00D84789">
      <w:pPr>
        <w:spacing w:after="240" w:line="300" w:lineRule="auto"/>
        <w:ind w:left="709"/>
        <w:rPr>
          <w:rFonts w:cs="Calibri"/>
        </w:rPr>
      </w:pPr>
      <w:r>
        <w:rPr>
          <w:rFonts w:cs="Calibri"/>
          <w:noProof/>
        </w:rPr>
        <w:object w:dxaOrig="1440" w:dyaOrig="1440" w14:anchorId="766BBAB6">
          <v:shape id="_x0000_s1067" type="#_x0000_t75" style="position:absolute;left:0;text-align:left;margin-left:15.75pt;margin-top:63.5pt;width:442.85pt;height:347.3pt;z-index:251658240;mso-position-horizontal-relative:text;mso-position-vertical-relative:text">
            <v:imagedata r:id="rId11" o:title=""/>
            <w10:wrap type="square" side="right"/>
          </v:shape>
          <o:OLEObject Type="Embed" ProgID="Excel.Sheet.12" ShapeID="_x0000_s1067" DrawAspect="Content" ObjectID="_1805783758" r:id="rId12"/>
        </w:object>
      </w:r>
      <w:r w:rsidR="00AD6F8E" w:rsidRPr="002B2BE2">
        <w:rPr>
          <w:rFonts w:cs="Calibri"/>
        </w:rPr>
        <w:t xml:space="preserve">Liczbę i powierzchnię zasobów lokalowych m.st. Warszawy, którymi Zakład Gospodarowania Nieruchomościami w Dzielnicy Ochota zarządzał i na które ponosił wydatki przedstawia tabela nr 2. </w:t>
      </w:r>
    </w:p>
    <w:p w14:paraId="0403B577" w14:textId="77777777" w:rsidR="00D84789" w:rsidRDefault="00D84789" w:rsidP="00D84789">
      <w:pPr>
        <w:spacing w:line="240" w:lineRule="auto"/>
        <w:rPr>
          <w:rFonts w:eastAsia="Times New Roman" w:cstheme="minorHAnsi"/>
          <w:b/>
          <w:lang w:eastAsia="pl-PL"/>
        </w:rPr>
      </w:pPr>
    </w:p>
    <w:p w14:paraId="3D0CD2D7" w14:textId="77777777" w:rsidR="00035A82" w:rsidRPr="002B2BE2" w:rsidRDefault="00035A82" w:rsidP="00D84789">
      <w:pPr>
        <w:spacing w:line="240" w:lineRule="auto"/>
        <w:rPr>
          <w:rFonts w:eastAsia="Times New Roman" w:cstheme="minorHAnsi"/>
          <w:b/>
          <w:lang w:eastAsia="pl-PL"/>
        </w:rPr>
      </w:pPr>
    </w:p>
    <w:p w14:paraId="0589D2C7" w14:textId="590D841D" w:rsidR="00AD7BDE" w:rsidRPr="002B2BE2" w:rsidRDefault="00AD7BDE" w:rsidP="004F145B">
      <w:pPr>
        <w:pStyle w:val="Akapitzlist"/>
        <w:numPr>
          <w:ilvl w:val="1"/>
          <w:numId w:val="6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Zasoby nieruchomości niezabudowanych administrowanych przez jednostkę</w:t>
      </w:r>
    </w:p>
    <w:p w14:paraId="0E0CFF92" w14:textId="60B622C7" w:rsidR="00306E71" w:rsidRPr="002B2BE2" w:rsidRDefault="00CD1450" w:rsidP="004629BE">
      <w:pPr>
        <w:spacing w:line="240" w:lineRule="auto"/>
        <w:ind w:left="709"/>
        <w:rPr>
          <w:rFonts w:eastAsia="Times New Roman" w:cs="Calibri"/>
          <w:lang w:eastAsia="pl-PL"/>
        </w:rPr>
      </w:pPr>
      <w:r w:rsidRPr="002B2BE2">
        <w:rPr>
          <w:rFonts w:eastAsia="Times New Roman" w:cs="Calibri"/>
          <w:lang w:eastAsia="pl-PL"/>
        </w:rPr>
        <w:t>Zasoby nieruchomości niezabudowanych, administrowanych przez jednostkę przedstawia tabela nr 3.</w:t>
      </w:r>
    </w:p>
    <w:tbl>
      <w:tblPr>
        <w:tblpPr w:leftFromText="141" w:rightFromText="141" w:vertAnchor="text" w:horzAnchor="margin" w:tblpY="12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103"/>
      </w:tblGrid>
      <w:tr w:rsidR="002B2BE2" w:rsidRPr="002B2BE2" w14:paraId="3D58B504" w14:textId="77777777" w:rsidTr="00E319E1">
        <w:trPr>
          <w:trHeight w:val="274"/>
        </w:trPr>
        <w:tc>
          <w:tcPr>
            <w:tcW w:w="8500" w:type="dxa"/>
            <w:gridSpan w:val="2"/>
            <w:shd w:val="clear" w:color="auto" w:fill="auto"/>
          </w:tcPr>
          <w:p w14:paraId="6DB113FD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Tabela nr 3. Zasoby nieruchomości niezabudowanych, administrowanych przez jednostkę.</w:t>
            </w:r>
          </w:p>
        </w:tc>
      </w:tr>
      <w:tr w:rsidR="002B2BE2" w:rsidRPr="002B2BE2" w14:paraId="4E657D21" w14:textId="77777777" w:rsidTr="00E319E1">
        <w:trPr>
          <w:trHeight w:val="273"/>
        </w:trPr>
        <w:tc>
          <w:tcPr>
            <w:tcW w:w="3397" w:type="dxa"/>
            <w:shd w:val="clear" w:color="auto" w:fill="auto"/>
          </w:tcPr>
          <w:p w14:paraId="0F2527B5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Powierzchnia administrowana (m</w:t>
            </w:r>
            <w:r w:rsidRPr="002B2BE2"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F7108A6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Stan na 31 grudnia roku, za który jest sprawozdanie</w:t>
            </w:r>
          </w:p>
        </w:tc>
      </w:tr>
      <w:tr w:rsidR="002B2BE2" w:rsidRPr="002B2BE2" w14:paraId="48128A28" w14:textId="77777777" w:rsidTr="00E319E1">
        <w:trPr>
          <w:trHeight w:val="262"/>
        </w:trPr>
        <w:tc>
          <w:tcPr>
            <w:tcW w:w="3397" w:type="dxa"/>
            <w:shd w:val="clear" w:color="auto" w:fill="auto"/>
          </w:tcPr>
          <w:p w14:paraId="267E3701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Powierzchnia łączna</w:t>
            </w:r>
          </w:p>
        </w:tc>
        <w:tc>
          <w:tcPr>
            <w:tcW w:w="5103" w:type="dxa"/>
            <w:shd w:val="clear" w:color="auto" w:fill="auto"/>
          </w:tcPr>
          <w:p w14:paraId="5310D6F0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87 299</w:t>
            </w:r>
          </w:p>
        </w:tc>
      </w:tr>
      <w:tr w:rsidR="002B2BE2" w:rsidRPr="002B2BE2" w14:paraId="1EAC218F" w14:textId="77777777" w:rsidTr="00E319E1">
        <w:trPr>
          <w:trHeight w:val="280"/>
        </w:trPr>
        <w:tc>
          <w:tcPr>
            <w:tcW w:w="3397" w:type="dxa"/>
            <w:shd w:val="clear" w:color="auto" w:fill="D9D9D9"/>
          </w:tcPr>
          <w:p w14:paraId="0A4AF9A0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103" w:type="dxa"/>
            <w:shd w:val="clear" w:color="auto" w:fill="D9D9D9"/>
          </w:tcPr>
          <w:p w14:paraId="79572179" w14:textId="77777777" w:rsidR="00CD1450" w:rsidRPr="002B2BE2" w:rsidRDefault="00CD1450" w:rsidP="00E319E1">
            <w:pPr>
              <w:pStyle w:val="Akapitzlist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2B2BE2" w:rsidRPr="002B2BE2" w14:paraId="5A7D4FC7" w14:textId="77777777" w:rsidTr="00E319E1">
        <w:trPr>
          <w:trHeight w:val="272"/>
        </w:trPr>
        <w:tc>
          <w:tcPr>
            <w:tcW w:w="3397" w:type="dxa"/>
            <w:shd w:val="clear" w:color="auto" w:fill="auto"/>
          </w:tcPr>
          <w:p w14:paraId="4C903581" w14:textId="2E32DE41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Powierzchnia utwardzona </w:t>
            </w:r>
          </w:p>
        </w:tc>
        <w:tc>
          <w:tcPr>
            <w:tcW w:w="5103" w:type="dxa"/>
            <w:shd w:val="clear" w:color="auto" w:fill="auto"/>
          </w:tcPr>
          <w:p w14:paraId="53616570" w14:textId="7AC3735F" w:rsidR="00CD1450" w:rsidRPr="002B2BE2" w:rsidRDefault="00CD1450" w:rsidP="00E319E1">
            <w:pPr>
              <w:pStyle w:val="Akapitzlist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34 768</w:t>
            </w:r>
            <w:r w:rsidR="001F0993"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B2BE2" w:rsidRPr="002B2BE2" w14:paraId="0B3EAB1A" w14:textId="77777777" w:rsidTr="00E319E1">
        <w:trPr>
          <w:trHeight w:val="262"/>
        </w:trPr>
        <w:tc>
          <w:tcPr>
            <w:tcW w:w="3397" w:type="dxa"/>
            <w:shd w:val="clear" w:color="auto" w:fill="auto"/>
          </w:tcPr>
          <w:p w14:paraId="146A7A2F" w14:textId="70853A01" w:rsidR="00CD1450" w:rsidRPr="002B2BE2" w:rsidRDefault="00CD1450" w:rsidP="00E319E1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Powierzchnia terenów zieleni </w:t>
            </w:r>
          </w:p>
        </w:tc>
        <w:tc>
          <w:tcPr>
            <w:tcW w:w="5103" w:type="dxa"/>
            <w:shd w:val="clear" w:color="auto" w:fill="auto"/>
          </w:tcPr>
          <w:p w14:paraId="53DE1E56" w14:textId="2D0E9B30" w:rsidR="00CD1450" w:rsidRPr="002B2BE2" w:rsidRDefault="00CD1450" w:rsidP="00E319E1">
            <w:pPr>
              <w:pStyle w:val="Akapitzlist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52 531</w:t>
            </w:r>
            <w:r w:rsidR="001F0993"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E36C076" w14:textId="77777777" w:rsidR="00CD1450" w:rsidRPr="002B2BE2" w:rsidRDefault="00CD1450" w:rsidP="00CD145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5825BAA" w14:textId="77777777" w:rsidR="00CD1450" w:rsidRPr="002B2BE2" w:rsidRDefault="00CD1450" w:rsidP="00CD1450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50358B5" w14:textId="77777777" w:rsidR="00CD1450" w:rsidRPr="002B2BE2" w:rsidRDefault="00CD1450" w:rsidP="00CD1450">
      <w:pPr>
        <w:pStyle w:val="Akapitzlist"/>
        <w:spacing w:after="0" w:line="240" w:lineRule="auto"/>
        <w:ind w:left="709"/>
        <w:rPr>
          <w:rFonts w:eastAsia="Times New Roman" w:cs="Calibri"/>
          <w:b/>
          <w:sz w:val="24"/>
          <w:szCs w:val="24"/>
          <w:lang w:eastAsia="pl-PL"/>
        </w:rPr>
      </w:pPr>
    </w:p>
    <w:p w14:paraId="2C6EEA54" w14:textId="77777777" w:rsidR="00CD1450" w:rsidRPr="002B2BE2" w:rsidRDefault="00CD1450" w:rsidP="00CD1450">
      <w:pPr>
        <w:pStyle w:val="Akapitzlist"/>
        <w:spacing w:after="0" w:line="240" w:lineRule="auto"/>
        <w:ind w:left="709"/>
        <w:rPr>
          <w:rFonts w:eastAsia="Times New Roman" w:cs="Calibri"/>
          <w:b/>
          <w:sz w:val="24"/>
          <w:szCs w:val="24"/>
          <w:lang w:eastAsia="pl-PL"/>
        </w:rPr>
      </w:pPr>
    </w:p>
    <w:p w14:paraId="36205270" w14:textId="77777777" w:rsidR="00CD1450" w:rsidRPr="002B2BE2" w:rsidRDefault="00CD1450" w:rsidP="00CD1450">
      <w:pPr>
        <w:pStyle w:val="Akapitzlist"/>
        <w:spacing w:after="0" w:line="240" w:lineRule="auto"/>
        <w:ind w:left="709"/>
        <w:rPr>
          <w:rFonts w:eastAsia="Times New Roman" w:cs="Calibri"/>
          <w:b/>
          <w:sz w:val="24"/>
          <w:szCs w:val="24"/>
          <w:lang w:eastAsia="pl-PL"/>
        </w:rPr>
      </w:pPr>
    </w:p>
    <w:p w14:paraId="110755D4" w14:textId="77777777" w:rsidR="00CD1450" w:rsidRPr="002B2BE2" w:rsidRDefault="00CD1450" w:rsidP="00CD1450">
      <w:pPr>
        <w:pStyle w:val="Akapitzlist"/>
        <w:spacing w:after="0" w:line="240" w:lineRule="auto"/>
        <w:ind w:left="709"/>
        <w:rPr>
          <w:rFonts w:eastAsia="Times New Roman" w:cs="Calibri"/>
          <w:b/>
          <w:sz w:val="24"/>
          <w:szCs w:val="24"/>
          <w:lang w:eastAsia="pl-PL"/>
        </w:rPr>
      </w:pPr>
    </w:p>
    <w:p w14:paraId="61744FE6" w14:textId="77777777" w:rsidR="00CD1450" w:rsidRPr="002B2BE2" w:rsidRDefault="00CD1450" w:rsidP="001F0993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36810324" w14:textId="77777777" w:rsidR="001F0993" w:rsidRPr="002B2BE2" w:rsidRDefault="001F0993" w:rsidP="00CD1450">
      <w:pPr>
        <w:spacing w:after="0" w:line="240" w:lineRule="auto"/>
        <w:rPr>
          <w:rFonts w:eastAsia="Times New Roman" w:cs="Calibri"/>
          <w:bCs/>
          <w:i/>
          <w:iCs/>
          <w:highlight w:val="yellow"/>
          <w:lang w:eastAsia="pl-PL"/>
        </w:rPr>
      </w:pPr>
    </w:p>
    <w:p w14:paraId="39728C7F" w14:textId="77777777" w:rsidR="009D277C" w:rsidRPr="002B2BE2" w:rsidRDefault="00AD7BDE" w:rsidP="004F145B">
      <w:pPr>
        <w:pStyle w:val="Akapitzlist"/>
        <w:numPr>
          <w:ilvl w:val="1"/>
          <w:numId w:val="6"/>
        </w:numPr>
        <w:spacing w:after="200"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Zmiany w ewidencji zasobów i powierzchni administrowanej w ciągu roku sprawozdawczego</w:t>
      </w:r>
    </w:p>
    <w:p w14:paraId="7A84B6A1" w14:textId="77777777" w:rsidR="00FA1499" w:rsidRPr="002B2BE2" w:rsidRDefault="009D277C" w:rsidP="004F145B">
      <w:pPr>
        <w:pStyle w:val="Akapitzlist"/>
        <w:numPr>
          <w:ilvl w:val="2"/>
          <w:numId w:val="6"/>
        </w:numPr>
        <w:spacing w:after="200" w:line="240" w:lineRule="auto"/>
        <w:ind w:left="709" w:hanging="709"/>
        <w:contextualSpacing w:val="0"/>
        <w:rPr>
          <w:rFonts w:eastAsia="Times New Roman" w:cstheme="minorHAnsi"/>
          <w:b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Zmniejszenie stanu zasobów</w:t>
      </w:r>
    </w:p>
    <w:p w14:paraId="59EFEF0F" w14:textId="77777777" w:rsidR="00AC6B6A" w:rsidRPr="002B2BE2" w:rsidRDefault="00AC6B6A" w:rsidP="00AC6B6A">
      <w:pPr>
        <w:spacing w:line="240" w:lineRule="auto"/>
        <w:ind w:left="709"/>
        <w:rPr>
          <w:rFonts w:cstheme="minorHAnsi"/>
        </w:rPr>
      </w:pPr>
      <w:r w:rsidRPr="002B2BE2">
        <w:rPr>
          <w:rFonts w:cstheme="minorHAnsi"/>
        </w:rPr>
        <w:t>Zmniejszenie stanu zasobów będących w administrowaniu jednostki przedstawia tabela nr 4.</w:t>
      </w:r>
    </w:p>
    <w:bookmarkStart w:id="3" w:name="_MON_1635857950"/>
    <w:bookmarkEnd w:id="3"/>
    <w:p w14:paraId="6B1310E1" w14:textId="770C50D5" w:rsidR="00232E65" w:rsidRPr="002B2BE2" w:rsidRDefault="00FB1758" w:rsidP="00232E6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B2BE2">
        <w:rPr>
          <w:rFonts w:eastAsia="Times New Roman" w:cs="Calibri"/>
          <w:sz w:val="24"/>
          <w:szCs w:val="24"/>
          <w:lang w:eastAsia="pl-PL"/>
        </w:rPr>
        <w:object w:dxaOrig="8178" w:dyaOrig="5626" w14:anchorId="2836D0AB">
          <v:shape id="_x0000_i1027" type="#_x0000_t75" style="width:432.75pt;height:279pt" o:ole="">
            <v:imagedata r:id="rId13" o:title=""/>
          </v:shape>
          <o:OLEObject Type="Embed" ProgID="Excel.Sheet.12" ShapeID="_x0000_i1027" DrawAspect="Content" ObjectID="_1805783749" r:id="rId14"/>
        </w:object>
      </w:r>
    </w:p>
    <w:p w14:paraId="32EA5471" w14:textId="77777777" w:rsidR="002621A1" w:rsidRPr="002B2BE2" w:rsidRDefault="002621A1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  <w:r w:rsidRPr="002B2BE2">
        <w:rPr>
          <w:rFonts w:cs="Calibri"/>
          <w:i/>
          <w:iCs/>
          <w:sz w:val="20"/>
          <w:szCs w:val="20"/>
        </w:rPr>
        <w:t xml:space="preserve">(*) Przekazane lokale: Powstańców Wielkopolskich 4 lok. 1 (przekazany placówce oświatowej), Filtrowa 68 lok. 66 (przekazany Warszawskiemu Centrum Integracji), Andrzejowska 7A garaż nr 1 i Mątwicka 1A garaż nr 4 przekazane Wspólnotom Mieszkaniowym na altany śmietnikowe.   </w:t>
      </w:r>
    </w:p>
    <w:p w14:paraId="62B6465F" w14:textId="77777777" w:rsidR="002621A1" w:rsidRPr="002B2BE2" w:rsidRDefault="002621A1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  <w:r w:rsidRPr="002B2BE2">
        <w:rPr>
          <w:rFonts w:cs="Calibri"/>
          <w:i/>
          <w:iCs/>
          <w:sz w:val="20"/>
          <w:szCs w:val="20"/>
        </w:rPr>
        <w:t>(**) Połączenie lokali mieszkalnych: T. Joteyki 6 lok. 4A (lok. 4B), Spiska 14 lok. 19 (lok. 19A), Al. Jerozolimskie 99 lok. 21 (lok. 21A), Radomska 4 lok. 23 (lok. 23A).</w:t>
      </w:r>
    </w:p>
    <w:p w14:paraId="05B683C1" w14:textId="77777777" w:rsidR="002621A1" w:rsidRDefault="002621A1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  <w:r w:rsidRPr="002B2BE2">
        <w:rPr>
          <w:rFonts w:cs="Calibri"/>
          <w:i/>
          <w:iCs/>
          <w:sz w:val="20"/>
          <w:szCs w:val="20"/>
        </w:rPr>
        <w:t>(**) Połączenie lokali użytkowych: Kaliska 8/10 lok. nr 6/0/2045/</w:t>
      </w:r>
      <w:proofErr w:type="spellStart"/>
      <w:r w:rsidRPr="002B2BE2">
        <w:rPr>
          <w:rFonts w:cs="Calibri"/>
          <w:i/>
          <w:iCs/>
          <w:sz w:val="20"/>
          <w:szCs w:val="20"/>
        </w:rPr>
        <w:t>Uż</w:t>
      </w:r>
      <w:proofErr w:type="spellEnd"/>
      <w:r w:rsidRPr="002B2BE2">
        <w:rPr>
          <w:rFonts w:cs="Calibri"/>
          <w:i/>
          <w:iCs/>
          <w:sz w:val="20"/>
          <w:szCs w:val="20"/>
        </w:rPr>
        <w:t xml:space="preserve"> (lok.1/0/2045/</w:t>
      </w:r>
      <w:proofErr w:type="spellStart"/>
      <w:r w:rsidRPr="002B2BE2">
        <w:rPr>
          <w:rFonts w:cs="Calibri"/>
          <w:i/>
          <w:iCs/>
          <w:sz w:val="20"/>
          <w:szCs w:val="20"/>
        </w:rPr>
        <w:t>Uż</w:t>
      </w:r>
      <w:proofErr w:type="spellEnd"/>
      <w:r w:rsidRPr="002B2BE2">
        <w:rPr>
          <w:rFonts w:cs="Calibri"/>
          <w:i/>
          <w:iCs/>
          <w:sz w:val="20"/>
          <w:szCs w:val="20"/>
        </w:rPr>
        <w:t>), Białobrzeska 28 lok. nr 2/0/4011/</w:t>
      </w:r>
      <w:proofErr w:type="spellStart"/>
      <w:r w:rsidRPr="002B2BE2">
        <w:rPr>
          <w:rFonts w:cs="Calibri"/>
          <w:i/>
          <w:iCs/>
          <w:sz w:val="20"/>
          <w:szCs w:val="20"/>
        </w:rPr>
        <w:t>Uż</w:t>
      </w:r>
      <w:proofErr w:type="spellEnd"/>
      <w:r w:rsidRPr="002B2BE2">
        <w:rPr>
          <w:rFonts w:cs="Calibri"/>
          <w:i/>
          <w:iCs/>
          <w:sz w:val="20"/>
          <w:szCs w:val="20"/>
        </w:rPr>
        <w:t xml:space="preserve"> (lok. 2/2/4011/</w:t>
      </w:r>
      <w:proofErr w:type="spellStart"/>
      <w:r w:rsidRPr="002B2BE2">
        <w:rPr>
          <w:rFonts w:cs="Calibri"/>
          <w:i/>
          <w:iCs/>
          <w:sz w:val="20"/>
          <w:szCs w:val="20"/>
        </w:rPr>
        <w:t>Uż</w:t>
      </w:r>
      <w:proofErr w:type="spellEnd"/>
      <w:r w:rsidRPr="002B2BE2">
        <w:rPr>
          <w:rFonts w:cs="Calibri"/>
          <w:i/>
          <w:iCs/>
          <w:sz w:val="20"/>
          <w:szCs w:val="20"/>
        </w:rPr>
        <w:t>).</w:t>
      </w:r>
    </w:p>
    <w:p w14:paraId="405C1723" w14:textId="77777777" w:rsidR="00035A8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5EC9E3AD" w14:textId="77777777" w:rsidR="002621A1" w:rsidRDefault="002621A1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4B4DFF16" w14:textId="77777777" w:rsidR="00035A8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4BE306BB" w14:textId="77777777" w:rsidR="00035A8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37017D20" w14:textId="77777777" w:rsidR="00035A8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1A79E86A" w14:textId="77777777" w:rsidR="00035A8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17D999E2" w14:textId="77777777" w:rsidR="00035A8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6A3F7A7F" w14:textId="77777777" w:rsidR="00035A82" w:rsidRPr="002B2BE2" w:rsidRDefault="00035A82" w:rsidP="002621A1">
      <w:pPr>
        <w:spacing w:after="0" w:line="240" w:lineRule="auto"/>
        <w:rPr>
          <w:rFonts w:cs="Calibri"/>
          <w:i/>
          <w:iCs/>
          <w:sz w:val="20"/>
          <w:szCs w:val="20"/>
        </w:rPr>
      </w:pPr>
    </w:p>
    <w:p w14:paraId="4079D49B" w14:textId="77777777" w:rsidR="00184A9A" w:rsidRPr="002B2BE2" w:rsidRDefault="00FC3DFE" w:rsidP="004F145B">
      <w:pPr>
        <w:pStyle w:val="Akapitzlist"/>
        <w:numPr>
          <w:ilvl w:val="2"/>
          <w:numId w:val="6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Zwiększenia stanu zasobów</w:t>
      </w:r>
    </w:p>
    <w:p w14:paraId="6D62805F" w14:textId="48F4D982" w:rsidR="00232E65" w:rsidRPr="00035A82" w:rsidRDefault="00AC6B6A" w:rsidP="00035A82">
      <w:pPr>
        <w:pStyle w:val="Akapitzlist"/>
        <w:spacing w:line="240" w:lineRule="auto"/>
        <w:ind w:left="709"/>
        <w:contextualSpacing w:val="0"/>
        <w:rPr>
          <w:rFonts w:cstheme="minorHAnsi"/>
        </w:rPr>
      </w:pPr>
      <w:r w:rsidRPr="002B2BE2">
        <w:rPr>
          <w:rFonts w:cstheme="minorHAnsi"/>
        </w:rPr>
        <w:t>Zwiększenie stanu zasobów będących w administrowaniu jednostki przedstawia tabela nr 5.</w:t>
      </w:r>
    </w:p>
    <w:bookmarkStart w:id="4" w:name="_MON_1635924558"/>
    <w:bookmarkEnd w:id="4"/>
    <w:p w14:paraId="1CA3D5E7" w14:textId="00712D56" w:rsidR="00AC6B6A" w:rsidRPr="002B2BE2" w:rsidRDefault="0006327D" w:rsidP="00232E65">
      <w:pPr>
        <w:spacing w:after="0" w:line="24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2B2BE2">
        <w:rPr>
          <w:rFonts w:eastAsia="Times New Roman" w:cs="Calibri"/>
          <w:bCs/>
          <w:sz w:val="24"/>
          <w:szCs w:val="24"/>
          <w:lang w:eastAsia="pl-PL"/>
        </w:rPr>
        <w:object w:dxaOrig="8145" w:dyaOrig="4407" w14:anchorId="733C90B8">
          <v:shape id="_x0000_i1028" type="#_x0000_t75" style="width:455.25pt;height:220.5pt" o:ole="">
            <v:imagedata r:id="rId15" o:title=""/>
          </v:shape>
          <o:OLEObject Type="Embed" ProgID="Excel.Sheet.12" ShapeID="_x0000_i1028" DrawAspect="Content" ObjectID="_1805783750" r:id="rId16"/>
        </w:object>
      </w:r>
    </w:p>
    <w:p w14:paraId="78687AEA" w14:textId="77777777" w:rsidR="0006327D" w:rsidRPr="002B2BE2" w:rsidRDefault="0006327D" w:rsidP="0006327D">
      <w:pPr>
        <w:pStyle w:val="Akapitzlist"/>
        <w:spacing w:after="0" w:line="240" w:lineRule="auto"/>
        <w:ind w:left="0"/>
        <w:contextualSpacing w:val="0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>(*) budynek użytkowy przy ul.  Częstochowskiej 4A ( własność m. st. Warszawy) pow. 1632,00 m</w:t>
      </w:r>
      <w:r w:rsidRPr="002B2BE2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 xml:space="preserve">, </w:t>
      </w:r>
    </w:p>
    <w:p w14:paraId="5B405832" w14:textId="77777777" w:rsidR="0006327D" w:rsidRPr="002B2BE2" w:rsidRDefault="0006327D" w:rsidP="0006327D">
      <w:pPr>
        <w:pStyle w:val="Akapitzlist"/>
        <w:spacing w:after="0" w:line="240" w:lineRule="auto"/>
        <w:ind w:left="0"/>
        <w:contextualSpacing w:val="0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>lokale użytkowe: przy ul. Białobrzeskiej 26 lok. nr 1/1/1063/</w:t>
      </w:r>
      <w:proofErr w:type="spellStart"/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>Uż</w:t>
      </w:r>
      <w:proofErr w:type="spellEnd"/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>, pow. 212,62 m</w:t>
      </w:r>
      <w:r w:rsidRPr="002B2BE2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>, S.K. Hankiewicza 2 lok. nr 4/0/B pow. 220,00 m</w:t>
      </w:r>
      <w:r w:rsidRPr="002B2BE2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 xml:space="preserve">.  </w:t>
      </w:r>
    </w:p>
    <w:p w14:paraId="5FB69282" w14:textId="77777777" w:rsidR="002621A1" w:rsidRPr="002B2BE2" w:rsidRDefault="002621A1" w:rsidP="002621A1">
      <w:pPr>
        <w:pStyle w:val="Akapitzlist"/>
        <w:spacing w:after="0" w:line="240" w:lineRule="auto"/>
        <w:ind w:left="0"/>
        <w:contextualSpacing w:val="0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44FF1F75" w14:textId="77777777" w:rsidR="00184A9A" w:rsidRPr="002B2BE2" w:rsidRDefault="00FC3DFE" w:rsidP="004F145B">
      <w:pPr>
        <w:pStyle w:val="Akapitzlist"/>
        <w:numPr>
          <w:ilvl w:val="1"/>
          <w:numId w:val="6"/>
        </w:numPr>
        <w:spacing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Zmiana sposobu użytkowania</w:t>
      </w:r>
    </w:p>
    <w:p w14:paraId="27C111E1" w14:textId="77777777" w:rsidR="00AC6B6A" w:rsidRPr="002B2BE2" w:rsidRDefault="00AC6B6A" w:rsidP="00AC6B6A">
      <w:pPr>
        <w:spacing w:line="24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Zmiany w sposobie użytkowania lokali przedstawia tabela nr 6.</w:t>
      </w:r>
    </w:p>
    <w:bookmarkStart w:id="5" w:name="_MON_1635925266"/>
    <w:bookmarkEnd w:id="5"/>
    <w:p w14:paraId="34D79B83" w14:textId="4739F368" w:rsidR="00AC6B6A" w:rsidRPr="002B2BE2" w:rsidRDefault="002621A1" w:rsidP="00232E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2BE2">
        <w:rPr>
          <w:rFonts w:eastAsia="Times New Roman" w:cstheme="minorHAnsi"/>
          <w:b/>
          <w:bCs/>
          <w:sz w:val="24"/>
          <w:szCs w:val="24"/>
          <w:lang w:eastAsia="pl-PL"/>
        </w:rPr>
        <w:object w:dxaOrig="8082" w:dyaOrig="1328" w14:anchorId="6BD36470">
          <v:shape id="_x0000_i1029" type="#_x0000_t75" style="width:438.75pt;height:66pt" o:ole="">
            <v:imagedata r:id="rId17" o:title=""/>
          </v:shape>
          <o:OLEObject Type="Embed" ProgID="Excel.Sheet.12" ShapeID="_x0000_i1029" DrawAspect="Content" ObjectID="_1805783751" r:id="rId18"/>
        </w:object>
      </w:r>
    </w:p>
    <w:p w14:paraId="4E75C1F6" w14:textId="049824D3" w:rsidR="00AC6B6A" w:rsidRPr="002B2BE2" w:rsidRDefault="00AC6B6A" w:rsidP="009D60F4">
      <w:pPr>
        <w:pStyle w:val="Akapitzlist"/>
        <w:spacing w:after="0" w:line="240" w:lineRule="auto"/>
        <w:ind w:left="0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14:paraId="3F86F40C" w14:textId="77777777" w:rsidR="00A1266C" w:rsidRPr="002B2BE2" w:rsidRDefault="00A1266C" w:rsidP="00AC6B6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374D4F72" w14:textId="77777777" w:rsidR="001D5030" w:rsidRPr="002B2BE2" w:rsidRDefault="001D5030" w:rsidP="004F145B">
      <w:pPr>
        <w:pStyle w:val="Akapitzlist"/>
        <w:numPr>
          <w:ilvl w:val="1"/>
          <w:numId w:val="6"/>
        </w:numPr>
        <w:spacing w:after="0" w:line="24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Podnajem</w:t>
      </w:r>
      <w:r w:rsidR="008C7BCD" w:rsidRPr="002B2BE2">
        <w:rPr>
          <w:rFonts w:eastAsia="Times New Roman" w:cstheme="minorHAnsi"/>
          <w:b/>
          <w:bCs/>
          <w:lang w:eastAsia="pl-PL"/>
        </w:rPr>
        <w:t xml:space="preserve"> lokali mieszkalnych, wynajmowanych od innych właścicieli</w:t>
      </w:r>
    </w:p>
    <w:p w14:paraId="2BED8F26" w14:textId="77777777" w:rsidR="00094658" w:rsidRPr="002B2BE2" w:rsidRDefault="00094658" w:rsidP="005E0D53">
      <w:pPr>
        <w:pStyle w:val="Akapitzlist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68BFEA52" w14:textId="77777777" w:rsidR="00AC6B6A" w:rsidRPr="002B2BE2" w:rsidRDefault="00AC6B6A" w:rsidP="00AC6B6A">
      <w:pPr>
        <w:spacing w:after="0" w:line="24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Podnajem lokali mieszkalnych przedstawia tabela nr 7.</w:t>
      </w:r>
    </w:p>
    <w:p w14:paraId="258D2927" w14:textId="77777777" w:rsidR="00AC6B6A" w:rsidRPr="002B2BE2" w:rsidRDefault="00AC6B6A" w:rsidP="00AC6B6A">
      <w:pPr>
        <w:spacing w:after="0" w:line="240" w:lineRule="auto"/>
        <w:ind w:left="709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901"/>
        <w:gridCol w:w="2268"/>
        <w:gridCol w:w="3544"/>
      </w:tblGrid>
      <w:tr w:rsidR="002B2BE2" w:rsidRPr="002B2BE2" w14:paraId="7D7B6624" w14:textId="77777777" w:rsidTr="00C33F41">
        <w:trPr>
          <w:trHeight w:val="23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7D15" w14:textId="77777777" w:rsidR="00AC6B6A" w:rsidRPr="002B2BE2" w:rsidRDefault="00AC6B6A" w:rsidP="00C33F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Tabela nr 7. Podnajem lokali mieszkalnych, wynajmowanych od innych właścicieli</w:t>
            </w:r>
          </w:p>
        </w:tc>
      </w:tr>
      <w:tr w:rsidR="002B2BE2" w:rsidRPr="002B2BE2" w14:paraId="65407A7F" w14:textId="77777777" w:rsidTr="00C33F41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947" w14:textId="77777777" w:rsidR="00AC6B6A" w:rsidRPr="002B2BE2" w:rsidRDefault="00AC6B6A" w:rsidP="00C33F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88E" w14:textId="77777777" w:rsidR="00AC6B6A" w:rsidRPr="002B2BE2" w:rsidRDefault="00AC6B6A" w:rsidP="00C33F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lokali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F89" w14:textId="77777777" w:rsidR="00AC6B6A" w:rsidRPr="002B2BE2" w:rsidRDefault="00AC6B6A" w:rsidP="00C33F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powierzchnia lokali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4D1F" w14:textId="77777777" w:rsidR="00AC6B6A" w:rsidRPr="002B2BE2" w:rsidRDefault="00AC6B6A" w:rsidP="00C33F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płacona właścicielowi</w:t>
            </w:r>
          </w:p>
        </w:tc>
      </w:tr>
      <w:tr w:rsidR="00AC6B6A" w:rsidRPr="002B2BE2" w14:paraId="28F903F9" w14:textId="77777777" w:rsidTr="00C33F41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4AFA" w14:textId="77777777" w:rsidR="00AC6B6A" w:rsidRPr="002B2BE2" w:rsidRDefault="00AC6B6A" w:rsidP="00C33F4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7CA" w14:textId="77777777" w:rsidR="00AC6B6A" w:rsidRPr="002B2BE2" w:rsidRDefault="00AC6B6A" w:rsidP="00C33F4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EAAC" w14:textId="77777777" w:rsidR="00AC6B6A" w:rsidRPr="002B2BE2" w:rsidRDefault="00AC6B6A" w:rsidP="00C33F4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-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D9B" w14:textId="77777777" w:rsidR="00AC6B6A" w:rsidRPr="002B2BE2" w:rsidRDefault="00AC6B6A" w:rsidP="00C33F4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- </w:t>
            </w:r>
          </w:p>
        </w:tc>
      </w:tr>
    </w:tbl>
    <w:p w14:paraId="398FC1D4" w14:textId="77777777" w:rsidR="000976EC" w:rsidRDefault="000976EC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979792" w14:textId="77777777" w:rsidR="00035A82" w:rsidRPr="002B2BE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EB9E68B" w14:textId="69D38C79" w:rsidR="00EF1B56" w:rsidRPr="002B2BE2" w:rsidRDefault="007B3FBA" w:rsidP="00232E65">
      <w:pPr>
        <w:pStyle w:val="Akapitzlist"/>
        <w:numPr>
          <w:ilvl w:val="1"/>
          <w:numId w:val="6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Liczba i powierzchnia pustostanów w zasobie</w:t>
      </w:r>
      <w:r w:rsidR="002D0585" w:rsidRPr="002B2BE2">
        <w:rPr>
          <w:rFonts w:eastAsia="Times New Roman" w:cstheme="minorHAnsi"/>
          <w:b/>
          <w:bCs/>
          <w:lang w:eastAsia="pl-PL"/>
        </w:rPr>
        <w:t xml:space="preserve"> lokali mieszkalnych</w:t>
      </w:r>
      <w:r w:rsidR="002D0585" w:rsidRPr="002B2BE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CCE191F" w14:textId="77777777" w:rsidR="00611587" w:rsidRPr="002B2BE2" w:rsidRDefault="00611587" w:rsidP="00EF1B56">
      <w:pPr>
        <w:pStyle w:val="Akapitzlist"/>
        <w:spacing w:after="0" w:line="24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Informacje dotyczące pustostanów lokali mieszkalnych przedstawia tabela nr 8.</w:t>
      </w:r>
    </w:p>
    <w:p w14:paraId="4360ECC6" w14:textId="77777777" w:rsidR="00AB50B1" w:rsidRPr="002B2BE2" w:rsidRDefault="00AB50B1" w:rsidP="00AB50B1">
      <w:pPr>
        <w:pStyle w:val="Akapitzlist"/>
        <w:spacing w:after="0" w:line="240" w:lineRule="auto"/>
        <w:ind w:left="709"/>
        <w:rPr>
          <w:rFonts w:eastAsia="Times New Roman" w:cstheme="minorHAnsi"/>
          <w:b/>
          <w:bCs/>
          <w:sz w:val="24"/>
          <w:szCs w:val="24"/>
          <w:lang w:eastAsia="pl-PL"/>
        </w:rPr>
      </w:pPr>
    </w:p>
    <w:bookmarkStart w:id="6" w:name="_MON_1636528458"/>
    <w:bookmarkEnd w:id="6"/>
    <w:p w14:paraId="78684763" w14:textId="1F3D4308" w:rsidR="00AB50B1" w:rsidRPr="002B2BE2" w:rsidRDefault="007E0451" w:rsidP="00AB50B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2BE2">
        <w:rPr>
          <w:rFonts w:eastAsia="Times New Roman" w:cs="Calibri"/>
          <w:b/>
          <w:bCs/>
          <w:sz w:val="24"/>
          <w:szCs w:val="24"/>
          <w:lang w:eastAsia="pl-PL"/>
        </w:rPr>
        <w:object w:dxaOrig="9504" w:dyaOrig="5179" w14:anchorId="14029D80">
          <v:shape id="_x0000_i1030" type="#_x0000_t75" style="width:425.25pt;height:258.75pt" o:ole="">
            <v:imagedata r:id="rId19" o:title=""/>
          </v:shape>
          <o:OLEObject Type="Embed" ProgID="Excel.Sheet.12" ShapeID="_x0000_i1030" DrawAspect="Content" ObjectID="_1805783752" r:id="rId20"/>
        </w:object>
      </w:r>
    </w:p>
    <w:p w14:paraId="633101C9" w14:textId="4FD22A5A" w:rsidR="00601C56" w:rsidRPr="002B2BE2" w:rsidRDefault="0061164D" w:rsidP="005E0D5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B2BE2">
        <w:rPr>
          <w:rFonts w:eastAsia="Times New Roman" w:cstheme="minorHAnsi"/>
          <w:i/>
          <w:iCs/>
          <w:sz w:val="20"/>
          <w:szCs w:val="20"/>
          <w:lang w:eastAsia="pl-PL"/>
        </w:rPr>
        <w:t>(*) Dane przekazane przez Wydział Zasobów Lokalowych w Dzielnicy Ochota.</w:t>
      </w:r>
    </w:p>
    <w:p w14:paraId="296EC37C" w14:textId="77777777" w:rsidR="00611587" w:rsidRPr="002B2BE2" w:rsidRDefault="00611587" w:rsidP="005E0D53">
      <w:pPr>
        <w:pStyle w:val="Akapitzlist"/>
        <w:spacing w:after="0" w:line="240" w:lineRule="auto"/>
        <w:ind w:left="1080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7" w:name="_MON_1636441358"/>
      <w:bookmarkEnd w:id="7"/>
    </w:p>
    <w:p w14:paraId="6592040C" w14:textId="39DB1596" w:rsidR="001525C8" w:rsidRPr="002B2BE2" w:rsidRDefault="001A657E" w:rsidP="00232E65">
      <w:pPr>
        <w:pStyle w:val="Akapitzlist"/>
        <w:numPr>
          <w:ilvl w:val="0"/>
          <w:numId w:val="2"/>
        </w:numPr>
        <w:spacing w:after="120" w:line="24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R</w:t>
      </w:r>
      <w:r w:rsidR="0065268E" w:rsidRPr="002B2BE2">
        <w:rPr>
          <w:rFonts w:eastAsia="Times New Roman" w:cstheme="minorHAnsi"/>
          <w:b/>
          <w:bCs/>
          <w:lang w:eastAsia="pl-PL"/>
        </w:rPr>
        <w:t xml:space="preserve">EALIZACJA ZADAŃ W </w:t>
      </w:r>
      <w:r w:rsidR="002E6A26" w:rsidRPr="002B2BE2">
        <w:rPr>
          <w:rFonts w:eastAsia="Times New Roman" w:cstheme="minorHAnsi"/>
          <w:b/>
          <w:bCs/>
          <w:lang w:eastAsia="pl-PL"/>
        </w:rPr>
        <w:t>202</w:t>
      </w:r>
      <w:r w:rsidR="00E871EF" w:rsidRPr="002B2BE2">
        <w:rPr>
          <w:rFonts w:eastAsia="Times New Roman" w:cstheme="minorHAnsi"/>
          <w:b/>
          <w:bCs/>
          <w:lang w:eastAsia="pl-PL"/>
        </w:rPr>
        <w:t>4</w:t>
      </w:r>
      <w:r w:rsidR="0065268E" w:rsidRPr="002B2BE2">
        <w:rPr>
          <w:rFonts w:eastAsia="Times New Roman" w:cstheme="minorHAnsi"/>
          <w:b/>
          <w:bCs/>
          <w:lang w:eastAsia="pl-PL"/>
        </w:rPr>
        <w:t xml:space="preserve"> ROKU</w:t>
      </w:r>
    </w:p>
    <w:p w14:paraId="0B4D733B" w14:textId="4583858E" w:rsidR="004B5733" w:rsidRPr="002B2BE2" w:rsidRDefault="0093528A" w:rsidP="00232E65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 xml:space="preserve">Elektroniczna Ewidencja Zasobów Lokalowych m.st. Warszawy </w:t>
      </w:r>
    </w:p>
    <w:p w14:paraId="447F368C" w14:textId="7287E209" w:rsidR="0006327D" w:rsidRPr="002B2BE2" w:rsidRDefault="00C000D8" w:rsidP="0006327D">
      <w:pPr>
        <w:spacing w:after="120" w:line="300" w:lineRule="auto"/>
        <w:ind w:left="709"/>
        <w:rPr>
          <w:rFonts w:eastAsia="Times New Roman" w:cstheme="minorHAnsi"/>
          <w:bCs/>
          <w:iCs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 xml:space="preserve">Ewidencję zasobów lokalowych </w:t>
      </w:r>
      <w:r w:rsidR="0006327D" w:rsidRPr="002B2BE2">
        <w:rPr>
          <w:rFonts w:eastAsia="Times New Roman" w:cstheme="minorHAnsi"/>
          <w:bCs/>
          <w:iCs/>
          <w:lang w:eastAsia="pl-PL"/>
        </w:rPr>
        <w:t xml:space="preserve">W 2024 roku Zakład Gospodarowania Nieruchomościami w Dzielnicy Ochota prowadził w zintegrowanym systemie komputerowym o nazwie Granit oraz w systemie </w:t>
      </w:r>
      <w:proofErr w:type="spellStart"/>
      <w:r w:rsidR="0006327D" w:rsidRPr="002B2BE2">
        <w:rPr>
          <w:rFonts w:eastAsia="Times New Roman" w:cstheme="minorHAnsi"/>
          <w:bCs/>
          <w:iCs/>
          <w:lang w:eastAsia="pl-PL"/>
        </w:rPr>
        <w:t>SEiZBiL</w:t>
      </w:r>
      <w:proofErr w:type="spellEnd"/>
      <w:r w:rsidR="0006327D" w:rsidRPr="002B2BE2">
        <w:rPr>
          <w:rFonts w:eastAsia="Times New Roman" w:cstheme="minorHAnsi"/>
          <w:bCs/>
          <w:iCs/>
          <w:lang w:eastAsia="pl-PL"/>
        </w:rPr>
        <w:t xml:space="preserve">. Większość wymaganych danych jest wprowadzona do systemu </w:t>
      </w:r>
      <w:proofErr w:type="spellStart"/>
      <w:r w:rsidR="0006327D" w:rsidRPr="002B2BE2">
        <w:rPr>
          <w:rFonts w:eastAsia="Times New Roman" w:cstheme="minorHAnsi"/>
          <w:bCs/>
          <w:iCs/>
          <w:lang w:eastAsia="pl-PL"/>
        </w:rPr>
        <w:t>SEiZBiL</w:t>
      </w:r>
      <w:proofErr w:type="spellEnd"/>
      <w:r w:rsidR="0006327D" w:rsidRPr="002B2BE2">
        <w:rPr>
          <w:rFonts w:eastAsia="Times New Roman" w:cstheme="minorHAnsi"/>
          <w:bCs/>
          <w:iCs/>
          <w:lang w:eastAsia="pl-PL"/>
        </w:rPr>
        <w:t xml:space="preserve">. </w:t>
      </w:r>
    </w:p>
    <w:p w14:paraId="5F5C5FBD" w14:textId="77777777" w:rsidR="0006327D" w:rsidRPr="002B2BE2" w:rsidRDefault="0006327D" w:rsidP="0006327D">
      <w:pPr>
        <w:spacing w:after="0" w:line="300" w:lineRule="auto"/>
        <w:ind w:left="709"/>
        <w:rPr>
          <w:rFonts w:eastAsia="Times New Roman" w:cstheme="minorHAnsi"/>
          <w:bCs/>
          <w:iCs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 xml:space="preserve">Większość zadań administracyjnych powierzonych jest spółce GGKO Zarządzanie Nieruchomościami, zgodnie z umową - zleceniem z dnia 27.03.1992 r. zawartą pomiędzy Zarządem Dzielnicy Gminy Ochota a Gminną Gospodarką Komunalną Ochota Sp. z o.o z późniejszymi zmianami. Wprowadzanie danych do systemu </w:t>
      </w:r>
      <w:proofErr w:type="spellStart"/>
      <w:r w:rsidRPr="002B2BE2">
        <w:rPr>
          <w:rFonts w:eastAsia="Times New Roman" w:cstheme="minorHAnsi"/>
          <w:bCs/>
          <w:iCs/>
          <w:lang w:eastAsia="pl-PL"/>
        </w:rPr>
        <w:t>SEiZBiL</w:t>
      </w:r>
      <w:proofErr w:type="spellEnd"/>
      <w:r w:rsidRPr="002B2BE2">
        <w:rPr>
          <w:rFonts w:eastAsia="Times New Roman" w:cstheme="minorHAnsi"/>
          <w:bCs/>
          <w:iCs/>
          <w:lang w:eastAsia="pl-PL"/>
        </w:rPr>
        <w:t xml:space="preserve"> wykracza poza zakres przedmiotowy w/w umowy. W ubiegłym roku </w:t>
      </w:r>
      <w:r w:rsidRPr="002B2BE2">
        <w:rPr>
          <w:rFonts w:eastAsia="Times New Roman" w:cstheme="minorHAnsi"/>
          <w:lang w:eastAsia="pl-PL"/>
        </w:rPr>
        <w:t>elektroniczną ewidencję zasobów lokalowych</w:t>
      </w:r>
      <w:r w:rsidRPr="002B2BE2">
        <w:rPr>
          <w:rFonts w:eastAsia="Times New Roman" w:cstheme="minorHAnsi"/>
          <w:bCs/>
          <w:iCs/>
          <w:lang w:eastAsia="pl-PL"/>
        </w:rPr>
        <w:t xml:space="preserve"> prowadził 1 pracownik, którego obowiązkiem było realizowanie zadań związanych z funkcjonowaniem systemu </w:t>
      </w:r>
      <w:proofErr w:type="spellStart"/>
      <w:r w:rsidRPr="002B2BE2">
        <w:rPr>
          <w:rFonts w:eastAsia="Times New Roman" w:cstheme="minorHAnsi"/>
          <w:bCs/>
          <w:iCs/>
          <w:lang w:eastAsia="pl-PL"/>
        </w:rPr>
        <w:t>SEiZBiL</w:t>
      </w:r>
      <w:proofErr w:type="spellEnd"/>
      <w:r w:rsidRPr="002B2BE2">
        <w:rPr>
          <w:rFonts w:eastAsia="Times New Roman" w:cstheme="minorHAnsi"/>
          <w:bCs/>
          <w:iCs/>
          <w:lang w:eastAsia="pl-PL"/>
        </w:rPr>
        <w:t xml:space="preserve">, w  tym wprowadzania wymaganych danych oraz ich aktualizacja. </w:t>
      </w:r>
    </w:p>
    <w:p w14:paraId="57B215FA" w14:textId="77777777" w:rsidR="002E6A26" w:rsidRPr="002B2BE2" w:rsidRDefault="002E6A26" w:rsidP="005E0D53">
      <w:pPr>
        <w:spacing w:after="0" w:line="240" w:lineRule="auto"/>
        <w:ind w:left="360"/>
        <w:rPr>
          <w:rFonts w:eastAsia="Times New Roman" w:cstheme="minorHAnsi"/>
          <w:b/>
          <w:bCs/>
          <w:highlight w:val="yellow"/>
          <w:lang w:eastAsia="pl-PL"/>
        </w:rPr>
      </w:pPr>
    </w:p>
    <w:p w14:paraId="7D01C2A9" w14:textId="7ABC69B0" w:rsidR="00EF67DC" w:rsidRPr="002B2BE2" w:rsidRDefault="001525C8" w:rsidP="00215305">
      <w:pPr>
        <w:pStyle w:val="Akapitzlist"/>
        <w:numPr>
          <w:ilvl w:val="1"/>
          <w:numId w:val="7"/>
        </w:numPr>
        <w:spacing w:after="0" w:line="30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Lokale mieszkalne</w:t>
      </w:r>
    </w:p>
    <w:p w14:paraId="7D667870" w14:textId="198C3DE2" w:rsidR="005D66FE" w:rsidRPr="002B2BE2" w:rsidRDefault="006277C3" w:rsidP="00E050A1">
      <w:pPr>
        <w:pStyle w:val="Akapitzlist"/>
        <w:numPr>
          <w:ilvl w:val="2"/>
          <w:numId w:val="2"/>
        </w:numPr>
        <w:spacing w:after="0" w:line="300" w:lineRule="auto"/>
        <w:ind w:left="709" w:hanging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/>
        </w:rPr>
        <w:t>Liczba zawartych</w:t>
      </w:r>
      <w:r w:rsidR="00D60725" w:rsidRPr="002B2BE2">
        <w:rPr>
          <w:rFonts w:eastAsia="Times New Roman" w:cstheme="minorHAnsi"/>
          <w:b/>
        </w:rPr>
        <w:t xml:space="preserve"> umów najmu</w:t>
      </w:r>
      <w:r w:rsidR="007951AB" w:rsidRPr="002B2BE2">
        <w:rPr>
          <w:rFonts w:eastAsia="Times New Roman" w:cstheme="minorHAnsi"/>
          <w:b/>
        </w:rPr>
        <w:t>, aneksów</w:t>
      </w:r>
      <w:r w:rsidR="005631EC" w:rsidRPr="002B2BE2">
        <w:rPr>
          <w:rFonts w:eastAsia="Times New Roman" w:cstheme="minorHAnsi"/>
        </w:rPr>
        <w:t>*</w:t>
      </w:r>
      <w:r w:rsidR="007951AB" w:rsidRPr="002B2BE2">
        <w:rPr>
          <w:rFonts w:eastAsia="Times New Roman" w:cstheme="minorHAnsi"/>
        </w:rPr>
        <w:t>,</w:t>
      </w:r>
      <w:r w:rsidR="00F86541" w:rsidRPr="002B2BE2">
        <w:rPr>
          <w:rFonts w:eastAsia="Times New Roman" w:cstheme="minorHAnsi"/>
        </w:rPr>
        <w:t xml:space="preserve"> </w:t>
      </w:r>
      <w:r w:rsidRPr="002B2BE2">
        <w:rPr>
          <w:rFonts w:eastAsia="Times New Roman" w:cstheme="minorHAnsi"/>
          <w:b/>
        </w:rPr>
        <w:t>w tym</w:t>
      </w:r>
      <w:r w:rsidR="007951AB" w:rsidRPr="002B2BE2">
        <w:rPr>
          <w:rFonts w:eastAsia="Times New Roman" w:cstheme="minorHAnsi"/>
          <w:b/>
        </w:rPr>
        <w:t xml:space="preserve"> zamiany,</w:t>
      </w:r>
      <w:r w:rsidR="00D60725" w:rsidRPr="002B2BE2">
        <w:rPr>
          <w:rFonts w:eastAsia="Times New Roman" w:cstheme="minorHAnsi"/>
          <w:b/>
        </w:rPr>
        <w:t xml:space="preserve"> regulacje, nowe zasiedlenia</w:t>
      </w:r>
      <w:r w:rsidR="00927B20" w:rsidRPr="002B2BE2">
        <w:rPr>
          <w:rFonts w:eastAsia="Times New Roman" w:cstheme="minorHAnsi"/>
          <w:b/>
        </w:rPr>
        <w:t>, najem socjalny</w:t>
      </w:r>
      <w:r w:rsidR="007951AB" w:rsidRPr="002B2BE2">
        <w:rPr>
          <w:rFonts w:eastAsia="Times New Roman" w:cstheme="minorHAnsi"/>
        </w:rPr>
        <w:t xml:space="preserve"> – </w:t>
      </w:r>
    </w:p>
    <w:p w14:paraId="60837BEC" w14:textId="7A3E258D" w:rsidR="005D66FE" w:rsidRPr="002B2BE2" w:rsidRDefault="005D66FE" w:rsidP="005D66FE">
      <w:pPr>
        <w:spacing w:after="0" w:line="300" w:lineRule="auto"/>
        <w:ind w:left="709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>Liczba zawartych umów najmu i aneksów w 2024 - 223</w:t>
      </w:r>
    </w:p>
    <w:p w14:paraId="2F360718" w14:textId="77777777" w:rsidR="005D66FE" w:rsidRPr="002B2BE2" w:rsidRDefault="005D66FE" w:rsidP="005D66FE">
      <w:pPr>
        <w:spacing w:after="0" w:line="300" w:lineRule="auto"/>
        <w:ind w:left="709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>w tym:</w:t>
      </w:r>
    </w:p>
    <w:p w14:paraId="46BAEEF2" w14:textId="282492F1" w:rsidR="005D66FE" w:rsidRPr="002B2BE2" w:rsidRDefault="005D66FE" w:rsidP="00FA31E9">
      <w:pPr>
        <w:pStyle w:val="Akapitzlist"/>
        <w:numPr>
          <w:ilvl w:val="0"/>
          <w:numId w:val="12"/>
        </w:numPr>
        <w:spacing w:after="0" w:line="300" w:lineRule="auto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>liczba podpisanych umów lokali mieszkalnych –</w:t>
      </w:r>
      <w:r w:rsidR="000E7B8C" w:rsidRPr="002B2BE2">
        <w:rPr>
          <w:rFonts w:eastAsia="Times New Roman" w:cs="Calibri"/>
          <w:bCs/>
          <w:lang w:eastAsia="pl-PL"/>
        </w:rPr>
        <w:t xml:space="preserve"> </w:t>
      </w:r>
      <w:r w:rsidRPr="002B2BE2">
        <w:rPr>
          <w:rFonts w:eastAsia="Times New Roman" w:cs="Calibri"/>
          <w:bCs/>
          <w:lang w:eastAsia="pl-PL"/>
        </w:rPr>
        <w:t>90</w:t>
      </w:r>
    </w:p>
    <w:p w14:paraId="0C6DA1D8" w14:textId="2EA95DB2" w:rsidR="005D66FE" w:rsidRPr="002B2BE2" w:rsidRDefault="005D66FE" w:rsidP="00FA31E9">
      <w:pPr>
        <w:pStyle w:val="Akapitzlist"/>
        <w:numPr>
          <w:ilvl w:val="0"/>
          <w:numId w:val="12"/>
        </w:numPr>
        <w:spacing w:after="0" w:line="300" w:lineRule="auto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>liczba podpisanych umów lokai socjalnych –</w:t>
      </w:r>
      <w:r w:rsidR="000E7B8C" w:rsidRPr="002B2BE2">
        <w:rPr>
          <w:rFonts w:eastAsia="Times New Roman" w:cs="Calibri"/>
          <w:bCs/>
          <w:lang w:eastAsia="pl-PL"/>
        </w:rPr>
        <w:t xml:space="preserve"> </w:t>
      </w:r>
      <w:r w:rsidRPr="002B2BE2">
        <w:rPr>
          <w:rFonts w:eastAsia="Times New Roman" w:cs="Calibri"/>
          <w:bCs/>
          <w:lang w:eastAsia="pl-PL"/>
        </w:rPr>
        <w:t>68</w:t>
      </w:r>
    </w:p>
    <w:p w14:paraId="64E68C78" w14:textId="66929311" w:rsidR="005D66FE" w:rsidRPr="002B2BE2" w:rsidRDefault="005D66FE" w:rsidP="00FA31E9">
      <w:pPr>
        <w:pStyle w:val="Akapitzlist"/>
        <w:numPr>
          <w:ilvl w:val="0"/>
          <w:numId w:val="12"/>
        </w:numPr>
        <w:spacing w:after="0" w:line="300" w:lineRule="auto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>liczba podpisanych umów lokali tymczasowych –</w:t>
      </w:r>
      <w:r w:rsidR="000E7B8C" w:rsidRPr="002B2BE2">
        <w:rPr>
          <w:rFonts w:eastAsia="Times New Roman" w:cs="Calibri"/>
          <w:bCs/>
          <w:lang w:eastAsia="pl-PL"/>
        </w:rPr>
        <w:t xml:space="preserve"> </w:t>
      </w:r>
      <w:r w:rsidRPr="002B2BE2">
        <w:rPr>
          <w:rFonts w:eastAsia="Times New Roman" w:cs="Calibri"/>
          <w:bCs/>
          <w:lang w:eastAsia="pl-PL"/>
        </w:rPr>
        <w:t>5</w:t>
      </w:r>
    </w:p>
    <w:p w14:paraId="7BA7CFDA" w14:textId="693EAE82" w:rsidR="005D66FE" w:rsidRPr="002B2BE2" w:rsidRDefault="005D66FE" w:rsidP="00FA31E9">
      <w:pPr>
        <w:pStyle w:val="Akapitzlist"/>
        <w:numPr>
          <w:ilvl w:val="0"/>
          <w:numId w:val="12"/>
        </w:numPr>
        <w:spacing w:after="0" w:line="300" w:lineRule="auto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>liczba podpisanych aneksów –</w:t>
      </w:r>
      <w:r w:rsidR="007A3EA1" w:rsidRPr="002B2BE2">
        <w:rPr>
          <w:rFonts w:eastAsia="Times New Roman" w:cs="Calibri"/>
          <w:bCs/>
          <w:lang w:eastAsia="pl-PL"/>
        </w:rPr>
        <w:t xml:space="preserve"> </w:t>
      </w:r>
      <w:r w:rsidRPr="002B2BE2">
        <w:rPr>
          <w:rFonts w:eastAsia="Times New Roman" w:cs="Calibri"/>
          <w:bCs/>
          <w:lang w:eastAsia="pl-PL"/>
        </w:rPr>
        <w:t>60</w:t>
      </w:r>
    </w:p>
    <w:p w14:paraId="0F9522A7" w14:textId="16653B1C" w:rsidR="00035A82" w:rsidRPr="00035A82" w:rsidRDefault="005D66FE" w:rsidP="00035A82">
      <w:pPr>
        <w:pStyle w:val="Akapitzlist"/>
        <w:spacing w:after="120" w:line="300" w:lineRule="auto"/>
        <w:ind w:left="1429"/>
        <w:contextualSpacing w:val="0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 xml:space="preserve">(tym liczba aneksów z art. 691 – </w:t>
      </w:r>
      <w:r w:rsidR="007A3EA1" w:rsidRPr="002B2BE2">
        <w:rPr>
          <w:rFonts w:eastAsia="Times New Roman" w:cs="Calibri"/>
          <w:bCs/>
          <w:lang w:eastAsia="pl-PL"/>
        </w:rPr>
        <w:t>46</w:t>
      </w:r>
      <w:r w:rsidRPr="002B2BE2">
        <w:rPr>
          <w:rFonts w:eastAsia="Times New Roman" w:cs="Calibri"/>
          <w:bCs/>
          <w:lang w:eastAsia="pl-PL"/>
        </w:rPr>
        <w:t>)</w:t>
      </w:r>
      <w:r w:rsidR="007A3EA1" w:rsidRPr="002B2BE2">
        <w:rPr>
          <w:rFonts w:eastAsia="Times New Roman" w:cs="Calibri"/>
          <w:bCs/>
          <w:lang w:eastAsia="pl-PL"/>
        </w:rPr>
        <w:t>.</w:t>
      </w:r>
    </w:p>
    <w:p w14:paraId="24A5B707" w14:textId="20E2E4FF" w:rsidR="00E06B16" w:rsidRPr="002B2BE2" w:rsidRDefault="00592C2A" w:rsidP="00232E65">
      <w:pPr>
        <w:pStyle w:val="Akapitzlist"/>
        <w:numPr>
          <w:ilvl w:val="2"/>
          <w:numId w:val="2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</w:rPr>
      </w:pPr>
      <w:r w:rsidRPr="002B2BE2">
        <w:rPr>
          <w:rFonts w:eastAsia="Times New Roman" w:cstheme="minorHAnsi"/>
          <w:b/>
        </w:rPr>
        <w:t>R</w:t>
      </w:r>
      <w:r w:rsidR="0065268E" w:rsidRPr="002B2BE2">
        <w:rPr>
          <w:rFonts w:eastAsia="Times New Roman" w:cstheme="minorHAnsi"/>
          <w:b/>
        </w:rPr>
        <w:t>ealizacja</w:t>
      </w:r>
      <w:r w:rsidR="00A74C2C" w:rsidRPr="002B2BE2">
        <w:rPr>
          <w:rFonts w:eastAsia="Times New Roman" w:cstheme="minorHAnsi"/>
          <w:b/>
        </w:rPr>
        <w:t xml:space="preserve"> programu Poznaj swojego najemcę </w:t>
      </w:r>
    </w:p>
    <w:p w14:paraId="2D8155D3" w14:textId="77777777" w:rsidR="005D66FE" w:rsidRPr="002B2BE2" w:rsidRDefault="005D66FE" w:rsidP="005D66FE">
      <w:pPr>
        <w:spacing w:after="120" w:line="300" w:lineRule="auto"/>
        <w:ind w:left="709"/>
        <w:rPr>
          <w:rFonts w:eastAsia="Times New Roman" w:cs="Calibri"/>
        </w:rPr>
      </w:pPr>
      <w:r w:rsidRPr="002B2BE2">
        <w:rPr>
          <w:rFonts w:eastAsia="Times New Roman" w:cs="Calibri"/>
        </w:rPr>
        <w:lastRenderedPageBreak/>
        <w:t xml:space="preserve">Wyniki przeprowadzania programu weryfikacji sposobu wykorzystania mieszkaniowego zasobu Miasta przedstawia tabela nr 9. </w:t>
      </w:r>
      <w:r w:rsidRPr="002B2BE2">
        <w:rPr>
          <w:rFonts w:eastAsia="Times New Roman" w:cs="Calibri"/>
          <w:sz w:val="24"/>
          <w:szCs w:val="24"/>
        </w:rPr>
        <w:fldChar w:fldCharType="begin"/>
      </w:r>
      <w:r w:rsidRPr="002B2BE2">
        <w:rPr>
          <w:rFonts w:eastAsia="Times New Roman" w:cs="Calibri"/>
          <w:sz w:val="24"/>
          <w:szCs w:val="24"/>
        </w:rPr>
        <w:instrText xml:space="preserve"> LINK Excel.Sheet.12 "C:\\Users\\naduszkiewicz\\Desktop\\tab 8.xlsx" tab8!W1K1:W14K3 \a \f 4 \h  \* MERGEFORMAT </w:instrText>
      </w:r>
      <w:r w:rsidRPr="002B2BE2">
        <w:rPr>
          <w:rFonts w:eastAsia="Times New Roman" w:cs="Calibri"/>
          <w:sz w:val="24"/>
          <w:szCs w:val="24"/>
        </w:rPr>
        <w:fldChar w:fldCharType="separate"/>
      </w:r>
    </w:p>
    <w:tbl>
      <w:tblPr>
        <w:tblpPr w:leftFromText="141" w:rightFromText="141" w:vertAnchor="text" w:tblpY="1"/>
        <w:tblOverlap w:val="never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394"/>
        <w:gridCol w:w="3118"/>
      </w:tblGrid>
      <w:tr w:rsidR="002B2BE2" w:rsidRPr="002B2BE2" w14:paraId="3284298E" w14:textId="77777777" w:rsidTr="005D66FE">
        <w:trPr>
          <w:trHeight w:val="582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464F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Tabela nr 9. Wyniki przeprowadzania programu weryfikacji sposobu wykorzystania mieszkaniowego zasobu Miasta w 2024 r. (*)</w:t>
            </w:r>
          </w:p>
        </w:tc>
      </w:tr>
      <w:tr w:rsidR="002B2BE2" w:rsidRPr="002B2BE2" w14:paraId="132DB21B" w14:textId="77777777" w:rsidTr="005D66FE">
        <w:trPr>
          <w:trHeight w:val="549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AF2CC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Liczba lokali wyznaczonych do zweryfikowania przez poszczególnych administratorów w 2024 r.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3727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1705</w:t>
            </w:r>
          </w:p>
        </w:tc>
      </w:tr>
      <w:tr w:rsidR="002B2BE2" w:rsidRPr="002B2BE2" w14:paraId="76267A6D" w14:textId="77777777" w:rsidTr="005D66FE">
        <w:trPr>
          <w:trHeight w:val="544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6E9A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Liczba lokali zweryfikowanych formalnie poprzez rozesłanie ankiety/oświadczenia w 2024 r.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FE03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1633</w:t>
            </w:r>
          </w:p>
        </w:tc>
      </w:tr>
      <w:tr w:rsidR="002B2BE2" w:rsidRPr="002B2BE2" w14:paraId="536A77D0" w14:textId="77777777" w:rsidTr="005D66FE">
        <w:trPr>
          <w:trHeight w:val="537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3906C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 lokali zweryfikowanych poprzez bezpośredni kontakt w 2024 r. (tj. w których na skutek wizyty odebrano oświadczenie)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5D91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626</w:t>
            </w:r>
          </w:p>
        </w:tc>
      </w:tr>
      <w:tr w:rsidR="002B2BE2" w:rsidRPr="002B2BE2" w14:paraId="364AFA22" w14:textId="77777777" w:rsidTr="005D66FE">
        <w:trPr>
          <w:trHeight w:val="577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35562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Liczba lokali zweryfikowanych poprzez odebranie oświadczenia w siedzibie administracji/organu/jednostki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5CE0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1007</w:t>
            </w:r>
          </w:p>
        </w:tc>
      </w:tr>
      <w:tr w:rsidR="002B2BE2" w:rsidRPr="002B2BE2" w14:paraId="5505663D" w14:textId="77777777" w:rsidTr="005D66FE">
        <w:trPr>
          <w:trHeight w:val="667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AAE62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Liczba lokali, które nie zostały zweryfikowane w drodze bezpośredniego kontaktu w ciągu ostatnich 3 lat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E31C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1149</w:t>
            </w:r>
          </w:p>
        </w:tc>
      </w:tr>
      <w:tr w:rsidR="002B2BE2" w:rsidRPr="002B2BE2" w14:paraId="7A276B73" w14:textId="77777777" w:rsidTr="005D66FE">
        <w:trPr>
          <w:trHeight w:val="866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00D6C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 stwierdzonych nieprawidłowości w 2024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CB38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art.11 ust. 2 pkt. 3 podnajmowanie lokalu bez zgody właściciela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3D4CB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9 </w:t>
            </w:r>
          </w:p>
        </w:tc>
      </w:tr>
      <w:tr w:rsidR="002B2BE2" w:rsidRPr="002B2BE2" w14:paraId="5C51B909" w14:textId="77777777" w:rsidTr="005D66FE">
        <w:trPr>
          <w:trHeight w:val="547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216C8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E82C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art.11 ust. 3 pkt. 1 niezamieszkiwanie najemcy w lokalu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C0F1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14</w:t>
            </w:r>
          </w:p>
        </w:tc>
      </w:tr>
      <w:tr w:rsidR="002B2BE2" w:rsidRPr="002B2BE2" w14:paraId="7026C574" w14:textId="77777777" w:rsidTr="005D66FE">
        <w:trPr>
          <w:trHeight w:val="568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48628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77FB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art.11 ust. 3 pkt. 2  posiadanie tytułu prawnego do innego lokalu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D504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0 </w:t>
            </w:r>
          </w:p>
        </w:tc>
      </w:tr>
      <w:tr w:rsidR="002B2BE2" w:rsidRPr="002B2BE2" w14:paraId="65EB39DD" w14:textId="77777777" w:rsidTr="005D66FE">
        <w:trPr>
          <w:trHeight w:val="392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1EC87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B469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inne nieprawidłowości (dewastacja lokalu)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F0EB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2B2BE2" w:rsidRPr="002B2BE2" w14:paraId="2302FDC9" w14:textId="77777777" w:rsidTr="005D66FE">
        <w:trPr>
          <w:trHeight w:val="553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7D2F7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 dokonanych wypowiedzeń umów najmu w wyniku prowadzenia programu PSN w 2024 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14FE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1</w:t>
            </w:r>
          </w:p>
        </w:tc>
      </w:tr>
      <w:tr w:rsidR="002B2BE2" w:rsidRPr="002B2BE2" w14:paraId="0FE4B763" w14:textId="77777777" w:rsidTr="005D66FE">
        <w:trPr>
          <w:trHeight w:val="405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ED39F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Liczba wszczętych postępowań sądowych w wyniku prowadzenia programu PSN w 2024 r.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95F2A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B2BE2" w:rsidRPr="002B2BE2" w14:paraId="2262F574" w14:textId="77777777" w:rsidTr="005D66FE">
        <w:trPr>
          <w:trHeight w:val="497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FE5F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 odzyskanych lokali w wyniku prowadzenia programu PSN w 2024 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5F32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2 </w:t>
            </w:r>
          </w:p>
        </w:tc>
      </w:tr>
      <w:tr w:rsidR="002B2BE2" w:rsidRPr="002B2BE2" w14:paraId="5741E232" w14:textId="77777777" w:rsidTr="005D66FE">
        <w:trPr>
          <w:trHeight w:val="425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F3962" w14:textId="77777777" w:rsidR="005D66FE" w:rsidRPr="002B2BE2" w:rsidRDefault="005D66FE" w:rsidP="00A91B9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Inne działania podjęte w ramach programu PSN w 2024 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4110" w14:textId="56168F05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 xml:space="preserve">                               </w:t>
            </w:r>
            <w:r w:rsidRPr="002B2BE2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14:paraId="158F7AC6" w14:textId="77777777" w:rsidR="005D66FE" w:rsidRPr="002B2BE2" w:rsidRDefault="005D66FE" w:rsidP="005D66FE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B2BE2">
        <w:rPr>
          <w:rFonts w:eastAsia="Times New Roman" w:cs="Calibri"/>
          <w:sz w:val="24"/>
          <w:szCs w:val="24"/>
        </w:rPr>
        <w:fldChar w:fldCharType="end"/>
      </w:r>
      <w:r w:rsidRPr="002B2BE2">
        <w:rPr>
          <w:rFonts w:eastAsia="Times New Roman" w:cs="Calibri"/>
          <w:sz w:val="24"/>
          <w:szCs w:val="24"/>
        </w:rPr>
        <w:br w:type="textWrapping" w:clear="all"/>
      </w:r>
      <w:bookmarkStart w:id="8" w:name="_Hlk130988907"/>
      <w:r w:rsidRPr="002B2BE2">
        <w:rPr>
          <w:rFonts w:eastAsia="Times New Roman" w:cs="Calibri"/>
          <w:sz w:val="20"/>
          <w:szCs w:val="20"/>
        </w:rPr>
        <w:t>(*) zgodnie z założeniami Wieloletniego Programu Gospodarowania Mieszkaniowym Zasobem m. st. Warszawy na lata 2021-2025 oraz pismem Biura Polityki Lokalowej nr PL-WPM.7133.1.2020.JMJ.</w:t>
      </w:r>
    </w:p>
    <w:bookmarkEnd w:id="8"/>
    <w:p w14:paraId="45526D0C" w14:textId="77777777" w:rsidR="00232E65" w:rsidRPr="002B2BE2" w:rsidRDefault="00232E65" w:rsidP="00C125D4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262A6A93" w14:textId="5ABD03ED" w:rsidR="00071598" w:rsidRPr="002B2BE2" w:rsidRDefault="00071598" w:rsidP="00347D1F">
      <w:pPr>
        <w:pStyle w:val="Akapitzlist"/>
        <w:numPr>
          <w:ilvl w:val="2"/>
          <w:numId w:val="2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</w:rPr>
        <w:t>Wypowiedzenia z powodu: podnajmu, niezamieszkiwania</w:t>
      </w:r>
      <w:r w:rsidR="00223342" w:rsidRPr="002B2BE2">
        <w:rPr>
          <w:rFonts w:eastAsia="Times New Roman" w:cstheme="minorHAnsi"/>
          <w:b/>
        </w:rPr>
        <w:t>, posiadani</w:t>
      </w:r>
      <w:r w:rsidRPr="002B2BE2">
        <w:rPr>
          <w:rFonts w:eastAsia="Times New Roman" w:cstheme="minorHAnsi"/>
          <w:b/>
        </w:rPr>
        <w:t>a innego lokalu, innych powodów.</w:t>
      </w:r>
    </w:p>
    <w:p w14:paraId="1DDD03E4" w14:textId="342EC717" w:rsidR="0006327D" w:rsidRPr="002B2BE2" w:rsidRDefault="00347D1F" w:rsidP="00E050A1">
      <w:pPr>
        <w:spacing w:after="0" w:line="240" w:lineRule="auto"/>
        <w:ind w:left="709"/>
        <w:rPr>
          <w:rFonts w:eastAsia="Times New Roman" w:cstheme="minorHAnsi"/>
        </w:rPr>
      </w:pPr>
      <w:r w:rsidRPr="002B2BE2">
        <w:rPr>
          <w:rFonts w:eastAsia="Times New Roman" w:cstheme="minorHAnsi"/>
        </w:rPr>
        <w:t>Liczbę dokonanych wypowiedzeń umów najmu przedstawia tabela nr 10.</w:t>
      </w:r>
    </w:p>
    <w:p w14:paraId="6E4DEAE1" w14:textId="77777777" w:rsidR="0006327D" w:rsidRPr="002B2BE2" w:rsidRDefault="0006327D" w:rsidP="0006327D">
      <w:pPr>
        <w:spacing w:after="0" w:line="240" w:lineRule="auto"/>
        <w:ind w:left="709"/>
        <w:rPr>
          <w:rFonts w:eastAsia="Times New Roman" w:cstheme="minorHAnsi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157"/>
        <w:gridCol w:w="1065"/>
      </w:tblGrid>
      <w:tr w:rsidR="002B2BE2" w:rsidRPr="002B2BE2" w14:paraId="354B57E2" w14:textId="77777777" w:rsidTr="00E050A1">
        <w:trPr>
          <w:trHeight w:val="300"/>
          <w:jc w:val="center"/>
        </w:trPr>
        <w:tc>
          <w:tcPr>
            <w:tcW w:w="8931" w:type="dxa"/>
            <w:gridSpan w:val="3"/>
            <w:hideMark/>
          </w:tcPr>
          <w:p w14:paraId="3AD26A78" w14:textId="77777777" w:rsidR="006D1D4B" w:rsidRPr="002B2BE2" w:rsidRDefault="006D1D4B" w:rsidP="0098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Tabela nr 10. Liczba dokonanych wypowiedzeń umów najmu w 2024 r.</w:t>
            </w:r>
          </w:p>
        </w:tc>
      </w:tr>
      <w:tr w:rsidR="002B2BE2" w:rsidRPr="002B2BE2" w14:paraId="28296589" w14:textId="77777777" w:rsidTr="00E050A1">
        <w:trPr>
          <w:trHeight w:val="108"/>
          <w:jc w:val="center"/>
        </w:trPr>
        <w:tc>
          <w:tcPr>
            <w:tcW w:w="709" w:type="dxa"/>
          </w:tcPr>
          <w:p w14:paraId="26774E39" w14:textId="77777777" w:rsidR="006D1D4B" w:rsidRPr="002B2BE2" w:rsidRDefault="006D1D4B" w:rsidP="00FA31E9">
            <w:pPr>
              <w:numPr>
                <w:ilvl w:val="0"/>
                <w:numId w:val="13"/>
              </w:numPr>
              <w:spacing w:after="0" w:line="240" w:lineRule="auto"/>
              <w:ind w:left="351" w:hanging="369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57" w:type="dxa"/>
            <w:vAlign w:val="bottom"/>
          </w:tcPr>
          <w:p w14:paraId="4A00A15F" w14:textId="77777777" w:rsidR="006D1D4B" w:rsidRPr="002B2BE2" w:rsidRDefault="006D1D4B" w:rsidP="00981839">
            <w:pPr>
              <w:spacing w:after="0" w:line="240" w:lineRule="auto"/>
              <w:ind w:left="-1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art.11 ust. 2 pkt.3 (podnajmowanie lokalu bez zgody właściciela)</w:t>
            </w:r>
          </w:p>
        </w:tc>
        <w:tc>
          <w:tcPr>
            <w:tcW w:w="1065" w:type="dxa"/>
            <w:noWrap/>
            <w:vAlign w:val="bottom"/>
          </w:tcPr>
          <w:p w14:paraId="153B89FD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2B2BE2" w:rsidRPr="002B2BE2" w14:paraId="6CF6CC04" w14:textId="77777777" w:rsidTr="00E050A1">
        <w:trPr>
          <w:trHeight w:val="108"/>
          <w:jc w:val="center"/>
        </w:trPr>
        <w:tc>
          <w:tcPr>
            <w:tcW w:w="709" w:type="dxa"/>
          </w:tcPr>
          <w:p w14:paraId="5728FC34" w14:textId="77777777" w:rsidR="006D1D4B" w:rsidRPr="002B2BE2" w:rsidRDefault="006D1D4B" w:rsidP="00FA31E9">
            <w:pPr>
              <w:numPr>
                <w:ilvl w:val="0"/>
                <w:numId w:val="13"/>
              </w:numPr>
              <w:spacing w:after="0" w:line="240" w:lineRule="auto"/>
              <w:ind w:left="351" w:hanging="369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57" w:type="dxa"/>
            <w:vAlign w:val="bottom"/>
          </w:tcPr>
          <w:p w14:paraId="5A604303" w14:textId="77777777" w:rsidR="006D1D4B" w:rsidRPr="002B2BE2" w:rsidRDefault="006D1D4B" w:rsidP="00981839">
            <w:pPr>
              <w:spacing w:after="0" w:line="240" w:lineRule="auto"/>
              <w:ind w:left="-1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art.11 ust. 3 pkt.1 (niezamieszkiwanie najemcy w lokalu)</w:t>
            </w:r>
          </w:p>
        </w:tc>
        <w:tc>
          <w:tcPr>
            <w:tcW w:w="1065" w:type="dxa"/>
            <w:noWrap/>
            <w:vAlign w:val="bottom"/>
          </w:tcPr>
          <w:p w14:paraId="39F7A80D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2B2BE2" w:rsidRPr="002B2BE2" w14:paraId="4BBDE032" w14:textId="77777777" w:rsidTr="00E050A1">
        <w:trPr>
          <w:trHeight w:val="108"/>
          <w:jc w:val="center"/>
        </w:trPr>
        <w:tc>
          <w:tcPr>
            <w:tcW w:w="709" w:type="dxa"/>
          </w:tcPr>
          <w:p w14:paraId="52FDB8BA" w14:textId="77777777" w:rsidR="006D1D4B" w:rsidRPr="002B2BE2" w:rsidRDefault="006D1D4B" w:rsidP="00FA31E9">
            <w:pPr>
              <w:numPr>
                <w:ilvl w:val="0"/>
                <w:numId w:val="13"/>
              </w:numPr>
              <w:spacing w:after="0" w:line="240" w:lineRule="auto"/>
              <w:ind w:left="351" w:hanging="369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57" w:type="dxa"/>
            <w:vAlign w:val="bottom"/>
            <w:hideMark/>
          </w:tcPr>
          <w:p w14:paraId="6AA49A66" w14:textId="77777777" w:rsidR="006D1D4B" w:rsidRPr="002B2BE2" w:rsidRDefault="006D1D4B" w:rsidP="00981839">
            <w:pPr>
              <w:spacing w:after="0" w:line="240" w:lineRule="auto"/>
              <w:ind w:left="-1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art.11 ust. 3 pkt.2 (posiadanie tytułu prawnego do innego lokalu)</w:t>
            </w:r>
          </w:p>
        </w:tc>
        <w:tc>
          <w:tcPr>
            <w:tcW w:w="1065" w:type="dxa"/>
            <w:noWrap/>
            <w:vAlign w:val="bottom"/>
            <w:hideMark/>
          </w:tcPr>
          <w:p w14:paraId="47C42B4C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2B2BE2" w:rsidRPr="002B2BE2" w14:paraId="35519E09" w14:textId="77777777" w:rsidTr="00E050A1">
        <w:trPr>
          <w:trHeight w:val="467"/>
          <w:jc w:val="center"/>
        </w:trPr>
        <w:tc>
          <w:tcPr>
            <w:tcW w:w="709" w:type="dxa"/>
          </w:tcPr>
          <w:p w14:paraId="4E4EB2FB" w14:textId="77777777" w:rsidR="006D1D4B" w:rsidRPr="002B2BE2" w:rsidRDefault="006D1D4B" w:rsidP="00FA31E9">
            <w:pPr>
              <w:numPr>
                <w:ilvl w:val="0"/>
                <w:numId w:val="13"/>
              </w:numPr>
              <w:spacing w:after="0" w:line="240" w:lineRule="auto"/>
              <w:ind w:left="351" w:hanging="369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57" w:type="dxa"/>
            <w:vAlign w:val="bottom"/>
            <w:hideMark/>
          </w:tcPr>
          <w:p w14:paraId="3C3538B3" w14:textId="77777777" w:rsidR="006D1D4B" w:rsidRPr="002B2BE2" w:rsidRDefault="006D1D4B" w:rsidP="00981839">
            <w:pPr>
              <w:spacing w:after="0" w:line="240" w:lineRule="auto"/>
              <w:ind w:left="-1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art. 11 ust 2 pkt 1 (wykorzystywanie lokalu niezgodnie z przeznaczeniem i zakłócanie porządku)</w:t>
            </w:r>
          </w:p>
        </w:tc>
        <w:tc>
          <w:tcPr>
            <w:tcW w:w="1065" w:type="dxa"/>
            <w:noWrap/>
            <w:vAlign w:val="bottom"/>
            <w:hideMark/>
          </w:tcPr>
          <w:p w14:paraId="60CD0BFC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2B2BE2" w:rsidRPr="002B2BE2" w14:paraId="159352A5" w14:textId="77777777" w:rsidTr="00E050A1">
        <w:trPr>
          <w:trHeight w:val="300"/>
          <w:jc w:val="center"/>
        </w:trPr>
        <w:tc>
          <w:tcPr>
            <w:tcW w:w="709" w:type="dxa"/>
          </w:tcPr>
          <w:p w14:paraId="172890CB" w14:textId="77777777" w:rsidR="006D1D4B" w:rsidRPr="002B2BE2" w:rsidRDefault="006D1D4B" w:rsidP="00FA31E9">
            <w:pPr>
              <w:numPr>
                <w:ilvl w:val="0"/>
                <w:numId w:val="13"/>
              </w:numPr>
              <w:spacing w:after="0" w:line="240" w:lineRule="auto"/>
              <w:ind w:left="351" w:hanging="369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57" w:type="dxa"/>
            <w:vAlign w:val="bottom"/>
            <w:hideMark/>
          </w:tcPr>
          <w:p w14:paraId="0A478734" w14:textId="77777777" w:rsidR="006D1D4B" w:rsidRPr="002B2BE2" w:rsidRDefault="006D1D4B" w:rsidP="00981839">
            <w:pPr>
              <w:spacing w:after="0" w:line="240" w:lineRule="auto"/>
              <w:ind w:left="-1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9" w:name="_Hlk162426454"/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art. 11 ust 2 pkt 2 (zaległości czynszowe)</w:t>
            </w:r>
            <w:bookmarkEnd w:id="9"/>
          </w:p>
        </w:tc>
        <w:tc>
          <w:tcPr>
            <w:tcW w:w="1065" w:type="dxa"/>
            <w:noWrap/>
            <w:vAlign w:val="bottom"/>
            <w:hideMark/>
          </w:tcPr>
          <w:p w14:paraId="751A85FE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 (*)</w:t>
            </w:r>
          </w:p>
        </w:tc>
      </w:tr>
      <w:tr w:rsidR="002B2BE2" w:rsidRPr="002B2BE2" w14:paraId="4904B671" w14:textId="77777777" w:rsidTr="00E050A1">
        <w:trPr>
          <w:trHeight w:val="110"/>
          <w:jc w:val="center"/>
        </w:trPr>
        <w:tc>
          <w:tcPr>
            <w:tcW w:w="709" w:type="dxa"/>
          </w:tcPr>
          <w:p w14:paraId="4FD630AC" w14:textId="77777777" w:rsidR="006D1D4B" w:rsidRPr="002B2BE2" w:rsidRDefault="006D1D4B" w:rsidP="00FA31E9">
            <w:pPr>
              <w:numPr>
                <w:ilvl w:val="0"/>
                <w:numId w:val="13"/>
              </w:numPr>
              <w:spacing w:after="0" w:line="240" w:lineRule="auto"/>
              <w:ind w:left="351" w:hanging="369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57" w:type="dxa"/>
            <w:vAlign w:val="bottom"/>
            <w:hideMark/>
          </w:tcPr>
          <w:p w14:paraId="6716212E" w14:textId="77777777" w:rsidR="006D1D4B" w:rsidRPr="002B2BE2" w:rsidRDefault="006D1D4B" w:rsidP="009818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art. 13 (wykraczanie przeciwko porządkowi domowemu)</w:t>
            </w:r>
          </w:p>
        </w:tc>
        <w:tc>
          <w:tcPr>
            <w:tcW w:w="1065" w:type="dxa"/>
            <w:noWrap/>
            <w:vAlign w:val="bottom"/>
            <w:hideMark/>
          </w:tcPr>
          <w:p w14:paraId="5703D4BA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(*)</w:t>
            </w:r>
          </w:p>
        </w:tc>
      </w:tr>
      <w:tr w:rsidR="002B2BE2" w:rsidRPr="002B2BE2" w14:paraId="4E10D3CB" w14:textId="77777777" w:rsidTr="00E050A1">
        <w:trPr>
          <w:trHeight w:val="621"/>
          <w:jc w:val="center"/>
        </w:trPr>
        <w:tc>
          <w:tcPr>
            <w:tcW w:w="7866" w:type="dxa"/>
            <w:gridSpan w:val="2"/>
            <w:hideMark/>
          </w:tcPr>
          <w:p w14:paraId="54D7E2D8" w14:textId="77777777" w:rsidR="006D1D4B" w:rsidRPr="002B2BE2" w:rsidRDefault="006D1D4B" w:rsidP="009818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zgłoszonych wypowiedzeń w trybie art. 11 ust. 5 ustawy (z budynków nie wchodzących w skład mieszkaniowego zasobu gminy)</w:t>
            </w:r>
          </w:p>
        </w:tc>
        <w:tc>
          <w:tcPr>
            <w:tcW w:w="1065" w:type="dxa"/>
            <w:noWrap/>
            <w:vAlign w:val="bottom"/>
            <w:hideMark/>
          </w:tcPr>
          <w:p w14:paraId="7926517B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2B2BE2" w:rsidRPr="002B2BE2" w14:paraId="7278732C" w14:textId="77777777" w:rsidTr="00E050A1">
        <w:trPr>
          <w:trHeight w:val="312"/>
          <w:jc w:val="center"/>
        </w:trPr>
        <w:tc>
          <w:tcPr>
            <w:tcW w:w="7866" w:type="dxa"/>
            <w:gridSpan w:val="2"/>
            <w:hideMark/>
          </w:tcPr>
          <w:p w14:paraId="7699F32D" w14:textId="77777777" w:rsidR="006D1D4B" w:rsidRPr="002B2BE2" w:rsidRDefault="006D1D4B" w:rsidP="009818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wszystkich dokonanych wypowiedzeń stan na dzień 31.12 (suma poz. 1-6)</w:t>
            </w:r>
          </w:p>
        </w:tc>
        <w:tc>
          <w:tcPr>
            <w:tcW w:w="1065" w:type="dxa"/>
            <w:vAlign w:val="bottom"/>
            <w:hideMark/>
          </w:tcPr>
          <w:p w14:paraId="0B12FCC9" w14:textId="77777777" w:rsidR="006D1D4B" w:rsidRPr="002B2BE2" w:rsidRDefault="006D1D4B" w:rsidP="0098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 (**)</w:t>
            </w:r>
          </w:p>
        </w:tc>
      </w:tr>
    </w:tbl>
    <w:p w14:paraId="11E75C1E" w14:textId="77777777" w:rsidR="006D1D4B" w:rsidRPr="002B2BE2" w:rsidRDefault="006D1D4B" w:rsidP="006D1D4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B2BE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(*) w jednym przypadku wypowiedzenie umowy z tyt. art. 11 ust 2 pkt 2 (zaległości czynszowe) i art. 13 (wykraczanie przeciwko porządkowi domowemu),</w:t>
      </w:r>
    </w:p>
    <w:p w14:paraId="73C5AB8F" w14:textId="77777777" w:rsidR="006D1D4B" w:rsidRPr="002B2BE2" w:rsidRDefault="006D1D4B" w:rsidP="006D1D4B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B2BE2">
        <w:rPr>
          <w:rFonts w:ascii="Calibri" w:eastAsia="Times New Roman" w:hAnsi="Calibri" w:cs="Calibri"/>
          <w:sz w:val="20"/>
          <w:szCs w:val="20"/>
          <w:lang w:eastAsia="pl-PL"/>
        </w:rPr>
        <w:t xml:space="preserve">(**) ogólna liczba wszystkich  wypowiedzeń </w:t>
      </w:r>
    </w:p>
    <w:p w14:paraId="5460B6CB" w14:textId="45F96F25" w:rsidR="00E03705" w:rsidRPr="002B2BE2" w:rsidRDefault="00B70E58" w:rsidP="0006327D">
      <w:pPr>
        <w:pStyle w:val="Akapitzlist"/>
        <w:numPr>
          <w:ilvl w:val="2"/>
          <w:numId w:val="2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</w:rPr>
        <w:t>Mieszkania</w:t>
      </w:r>
      <w:r w:rsidR="00B64BDE" w:rsidRPr="002B2BE2">
        <w:rPr>
          <w:rFonts w:eastAsia="Times New Roman" w:cstheme="minorHAnsi"/>
          <w:b/>
        </w:rPr>
        <w:t xml:space="preserve"> wynajęte organizacjom społecznym</w:t>
      </w:r>
      <w:r w:rsidR="00E03705" w:rsidRPr="002B2BE2">
        <w:rPr>
          <w:rFonts w:eastAsia="Times New Roman" w:cstheme="minorHAnsi"/>
          <w:b/>
        </w:rPr>
        <w:t xml:space="preserve"> </w:t>
      </w:r>
    </w:p>
    <w:p w14:paraId="5CD2D392" w14:textId="77777777" w:rsidR="005D66FE" w:rsidRPr="002B2BE2" w:rsidRDefault="005D66FE" w:rsidP="005D66FE">
      <w:pPr>
        <w:spacing w:after="120" w:line="240" w:lineRule="auto"/>
        <w:ind w:left="709"/>
        <w:rPr>
          <w:rFonts w:eastAsia="Times New Roman" w:cs="Calibri"/>
        </w:rPr>
      </w:pPr>
      <w:r w:rsidRPr="002B2BE2">
        <w:rPr>
          <w:rFonts w:eastAsia="Times New Roman" w:cs="Calibri"/>
        </w:rPr>
        <w:t>Informacje dotyczące mieszkań wynajętych organizacjom społecznym przedstawia tabela nr 11.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110"/>
        <w:gridCol w:w="935"/>
        <w:gridCol w:w="1568"/>
        <w:gridCol w:w="850"/>
        <w:gridCol w:w="2693"/>
      </w:tblGrid>
      <w:tr w:rsidR="002B2BE2" w:rsidRPr="002B2BE2" w14:paraId="12BF6606" w14:textId="77777777" w:rsidTr="005D66FE">
        <w:trPr>
          <w:trHeight w:val="29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621B" w14:textId="77777777" w:rsidR="005D66FE" w:rsidRPr="002B2BE2" w:rsidRDefault="005D66FE" w:rsidP="00A91B9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Tabela nr 11. Mieszkania wynajęte organizacjom społecznym</w:t>
            </w:r>
          </w:p>
        </w:tc>
      </w:tr>
      <w:tr w:rsidR="002B2BE2" w:rsidRPr="002B2BE2" w14:paraId="77E79706" w14:textId="77777777" w:rsidTr="005D66FE">
        <w:trPr>
          <w:trHeight w:val="610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135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Obecnie wynajęte organizacjom społecznym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D9B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Wynajęte organizacjom społecznym w danym roku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47F" w14:textId="77777777" w:rsidR="005D66FE" w:rsidRPr="002B2BE2" w:rsidRDefault="005D66FE" w:rsidP="00A91B9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Zakończone umowy najmu</w:t>
            </w:r>
          </w:p>
        </w:tc>
      </w:tr>
      <w:tr w:rsidR="002B2BE2" w:rsidRPr="002B2BE2" w14:paraId="491315D6" w14:textId="77777777" w:rsidTr="005D66FE">
        <w:trPr>
          <w:trHeight w:val="2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A7AF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AAA2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C53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CF7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E24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FD2" w14:textId="77777777" w:rsidR="005D66FE" w:rsidRPr="002B2BE2" w:rsidRDefault="005D66FE" w:rsidP="00A91B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powierzchnia</w:t>
            </w:r>
          </w:p>
        </w:tc>
      </w:tr>
      <w:tr w:rsidR="002B2BE2" w:rsidRPr="002B2BE2" w14:paraId="733C80F7" w14:textId="77777777" w:rsidTr="005D66FE">
        <w:trPr>
          <w:trHeight w:val="2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7D1" w14:textId="77777777" w:rsidR="005D66FE" w:rsidRPr="002B2BE2" w:rsidRDefault="005D66FE" w:rsidP="00A91B91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 1 (*)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E67" w14:textId="77777777" w:rsidR="005D66FE" w:rsidRPr="002B2BE2" w:rsidRDefault="005D66FE" w:rsidP="00A91B91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136,21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A76" w14:textId="77777777" w:rsidR="005D66FE" w:rsidRPr="002B2BE2" w:rsidRDefault="005D66FE" w:rsidP="00A91B91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0EE" w14:textId="77777777" w:rsidR="005D66FE" w:rsidRPr="002B2BE2" w:rsidRDefault="005D66FE" w:rsidP="00A91B91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8B0" w14:textId="77777777" w:rsidR="005D66FE" w:rsidRPr="002B2BE2" w:rsidRDefault="005D66FE" w:rsidP="00A91B91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AE9" w14:textId="77777777" w:rsidR="005D66FE" w:rsidRPr="002B2BE2" w:rsidRDefault="005D66FE" w:rsidP="00A91B91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</w:tr>
    </w:tbl>
    <w:p w14:paraId="732C7B8A" w14:textId="77777777" w:rsidR="005D66FE" w:rsidRPr="002B2BE2" w:rsidRDefault="005D66FE" w:rsidP="005D66FE">
      <w:pPr>
        <w:spacing w:after="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>(*) Al. Niepodległości 227/233 m 71.</w:t>
      </w:r>
    </w:p>
    <w:p w14:paraId="685B748E" w14:textId="77777777" w:rsidR="009850E2" w:rsidRPr="002B2BE2" w:rsidRDefault="009850E2" w:rsidP="009D14B1">
      <w:pPr>
        <w:pStyle w:val="Akapitzlist"/>
        <w:spacing w:after="0" w:line="240" w:lineRule="auto"/>
        <w:ind w:left="709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D7597BD" w14:textId="690FBFB5" w:rsidR="00184A9A" w:rsidRPr="002B2BE2" w:rsidRDefault="00605ADD" w:rsidP="0006327D">
      <w:pPr>
        <w:pStyle w:val="Akapitzlist"/>
        <w:numPr>
          <w:ilvl w:val="2"/>
          <w:numId w:val="2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Lokale w placówkach oświatowych</w:t>
      </w:r>
      <w:r w:rsidR="004C6F41" w:rsidRPr="002B2BE2">
        <w:rPr>
          <w:rFonts w:eastAsia="Times New Roman" w:cstheme="minorHAnsi"/>
          <w:b/>
          <w:bCs/>
          <w:lang w:eastAsia="pl-PL"/>
        </w:rPr>
        <w:t>, którymi zarządza jednostka</w:t>
      </w:r>
    </w:p>
    <w:p w14:paraId="53CBBF2F" w14:textId="2F2DE8B4" w:rsidR="00DE6D6B" w:rsidRPr="002B2BE2" w:rsidRDefault="00DE6D6B" w:rsidP="002A4337">
      <w:pPr>
        <w:spacing w:after="120" w:line="24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Informacje dotyczące lokali w budynkach oświatowych przedstawia tabela nr 12.</w:t>
      </w:r>
    </w:p>
    <w:tbl>
      <w:tblPr>
        <w:tblW w:w="87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675"/>
        <w:gridCol w:w="1558"/>
        <w:gridCol w:w="978"/>
        <w:gridCol w:w="1418"/>
        <w:gridCol w:w="2693"/>
      </w:tblGrid>
      <w:tr w:rsidR="002B2BE2" w:rsidRPr="002B2BE2" w14:paraId="1E5A40E1" w14:textId="77777777" w:rsidTr="00C33F41">
        <w:trPr>
          <w:trHeight w:val="297"/>
        </w:trPr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4F55" w14:textId="77777777" w:rsidR="00DE6D6B" w:rsidRPr="002B2BE2" w:rsidRDefault="00DE6D6B" w:rsidP="00C33F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Tabela nr 12. Lokale w placówkach oświatowych</w:t>
            </w:r>
          </w:p>
        </w:tc>
      </w:tr>
      <w:tr w:rsidR="002B2BE2" w:rsidRPr="002B2BE2" w14:paraId="6EDE5809" w14:textId="77777777" w:rsidTr="00C33F41">
        <w:trPr>
          <w:trHeight w:val="59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8C8" w14:textId="77777777" w:rsidR="00DE6D6B" w:rsidRPr="002B2BE2" w:rsidRDefault="00DE6D6B" w:rsidP="00C33F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73F" w14:textId="77777777" w:rsidR="00DE6D6B" w:rsidRPr="002B2BE2" w:rsidRDefault="00DE6D6B" w:rsidP="00C33F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444" w14:textId="77777777" w:rsidR="00DE6D6B" w:rsidRPr="002B2BE2" w:rsidRDefault="00DE6D6B" w:rsidP="00C33F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061" w14:textId="77777777" w:rsidR="00DE6D6B" w:rsidRPr="002B2BE2" w:rsidRDefault="00DE6D6B" w:rsidP="00C33F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D64" w14:textId="77777777" w:rsidR="00DE6D6B" w:rsidRPr="002B2BE2" w:rsidRDefault="00DE6D6B" w:rsidP="00C33F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powierzchnia lokalu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8FE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Usytuowanie w budynku oświatowym (szkoła), czy w osobnym budynku </w:t>
            </w:r>
          </w:p>
        </w:tc>
      </w:tr>
      <w:tr w:rsidR="002B2BE2" w:rsidRPr="002B2BE2" w14:paraId="5263F15B" w14:textId="77777777" w:rsidTr="00C33F41">
        <w:trPr>
          <w:trHeight w:val="2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136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CD7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Barska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759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2C0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2D1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64,03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610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1D228BE2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1F53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A93E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Białobrzeska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6D30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B716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8900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64,09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FC62E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75D5557F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2748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C840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Bobrowskiego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29F3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1BEE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4C56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32,47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2EAD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5D4DB3F7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E140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0E52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Dickensa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30DD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564B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4414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22,28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7C05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341FA080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F701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A6E6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Grójecka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8E9C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D45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9CAB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587,03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41328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05DEE4E2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2677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8682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Jasielska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1CEB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49/53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283B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3681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57,32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A8E4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31214E6B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7277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1A32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Majewskiego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74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BA5D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7BFE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2A2EF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6E91E2EA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1D0F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BF83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Nowowiejska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D01D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C5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6634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118,26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88CE5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384DF95F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2099" w14:textId="053A05F8" w:rsidR="00DE6D6B" w:rsidRPr="002B2BE2" w:rsidRDefault="008800A6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4CBF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Radomska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19F2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3B99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188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521,35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B282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712B6CAF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8AAE" w14:textId="0D2645F8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EE89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P. Skarżyńskiego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AF8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7289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B6ED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78,92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950A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4854CC4B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5D6D" w14:textId="74E997AA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EF25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Spiska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426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025E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BCA6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81,74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E062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3F9F6F97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3807" w14:textId="17420060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5C21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Szczęśliwicka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33EE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50/54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186A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6404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245,47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A833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55264662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BD22" w14:textId="75BF6F99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B3EB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T. Budrysów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0DCB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1344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EE8C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92,54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3858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6C5BDA87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0335" w14:textId="63C72649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C76B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Urbanistów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326F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88A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DDE2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0CED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44A87715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65C1" w14:textId="387B35AA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6890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Wawelska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5925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AB98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2a, 2c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C72C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120,32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E4FC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  <w:tr w:rsidR="002B2BE2" w:rsidRPr="002B2BE2" w14:paraId="4BE65DAF" w14:textId="77777777" w:rsidTr="00C33F41">
        <w:trPr>
          <w:trHeight w:val="2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2AD0" w14:textId="0208E5B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800A6"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1A4B" w14:textId="77777777" w:rsidR="00DE6D6B" w:rsidRPr="002B2BE2" w:rsidRDefault="00DE6D6B" w:rsidP="00C33F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Wawelska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99F1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A592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7E8C" w14:textId="77777777" w:rsidR="00DE6D6B" w:rsidRPr="002B2BE2" w:rsidRDefault="00DE6D6B" w:rsidP="00C33F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83,90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E96A8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szkoły</w:t>
            </w:r>
          </w:p>
        </w:tc>
      </w:tr>
    </w:tbl>
    <w:p w14:paraId="554D1650" w14:textId="77777777" w:rsidR="000976EC" w:rsidRPr="002B2BE2" w:rsidRDefault="000976EC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296B6BC" w14:textId="77777777" w:rsidR="008800A6" w:rsidRDefault="008800A6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4E6F804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E30F678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E70CA51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56A5EEE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246CDB3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15C997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E446334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F8CC952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CCED576" w14:textId="77777777" w:rsidR="00035A8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5B415D" w14:textId="77777777" w:rsidR="00035A82" w:rsidRPr="002B2BE2" w:rsidRDefault="00035A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7577B7" w14:textId="6FF32B15" w:rsidR="007D1366" w:rsidRPr="002B2BE2" w:rsidRDefault="006B41DB" w:rsidP="002A4337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lastRenderedPageBreak/>
        <w:t>Lokale użytkowe</w:t>
      </w:r>
    </w:p>
    <w:p w14:paraId="7527A0AC" w14:textId="740E57C3" w:rsidR="00DE6D6B" w:rsidRPr="002B2BE2" w:rsidRDefault="00941562" w:rsidP="00232E65">
      <w:pPr>
        <w:spacing w:after="0" w:line="240" w:lineRule="auto"/>
        <w:ind w:left="709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noProof/>
          <w:sz w:val="20"/>
          <w:szCs w:val="20"/>
          <w:lang w:eastAsia="pl-PL"/>
        </w:rPr>
        <w:object w:dxaOrig="1440" w:dyaOrig="1440" w14:anchorId="1FBFEA70">
          <v:shape id="_x0000_s1074" type="#_x0000_t75" style="position:absolute;left:0;text-align:left;margin-left:-1.5pt;margin-top:20.5pt;width:479.35pt;height:551.5pt;z-index:251660288;mso-position-horizontal-relative:text;mso-position-vertical-relative:text">
            <v:imagedata r:id="rId21" o:title=""/>
            <w10:wrap type="square" side="right"/>
          </v:shape>
          <o:OLEObject Type="Embed" ProgID="Excel.Sheet.12" ShapeID="_x0000_s1074" DrawAspect="Content" ObjectID="_1805783759" r:id="rId22"/>
        </w:object>
      </w:r>
      <w:r w:rsidR="007D1366" w:rsidRPr="002B2BE2">
        <w:rPr>
          <w:rFonts w:eastAsia="Times New Roman" w:cstheme="minorHAnsi"/>
          <w:bCs/>
          <w:lang w:eastAsia="pl-PL"/>
        </w:rPr>
        <w:t>Zestawienie danych dotyczących lokali użytkowych</w:t>
      </w:r>
      <w:r w:rsidR="00E1285D" w:rsidRPr="002B2BE2">
        <w:rPr>
          <w:rFonts w:eastAsia="Times New Roman" w:cstheme="minorHAnsi"/>
          <w:bCs/>
          <w:lang w:eastAsia="pl-PL"/>
        </w:rPr>
        <w:t xml:space="preserve"> (w tym garaży)</w:t>
      </w:r>
      <w:r w:rsidR="001240A0" w:rsidRPr="002B2BE2">
        <w:rPr>
          <w:rFonts w:eastAsia="Times New Roman" w:cstheme="minorHAnsi"/>
          <w:bCs/>
          <w:lang w:eastAsia="pl-PL"/>
        </w:rPr>
        <w:t xml:space="preserve"> zawiera tabela nr </w:t>
      </w:r>
      <w:r w:rsidR="007D1366" w:rsidRPr="002B2BE2">
        <w:rPr>
          <w:rFonts w:eastAsia="Times New Roman" w:cstheme="minorHAnsi"/>
          <w:bCs/>
          <w:lang w:eastAsia="pl-PL"/>
        </w:rPr>
        <w:t>1</w:t>
      </w:r>
      <w:r w:rsidR="00EE333C" w:rsidRPr="002B2BE2">
        <w:rPr>
          <w:rFonts w:eastAsia="Times New Roman" w:cstheme="minorHAnsi"/>
          <w:bCs/>
          <w:lang w:eastAsia="pl-PL"/>
        </w:rPr>
        <w:t>3</w:t>
      </w:r>
      <w:r w:rsidR="007D1366" w:rsidRPr="002B2BE2">
        <w:rPr>
          <w:rFonts w:eastAsia="Times New Roman" w:cstheme="minorHAnsi"/>
          <w:bCs/>
          <w:lang w:eastAsia="pl-PL"/>
        </w:rPr>
        <w:t>.</w:t>
      </w:r>
    </w:p>
    <w:p w14:paraId="4DB105B8" w14:textId="77777777" w:rsidR="008933A3" w:rsidRPr="002B2BE2" w:rsidRDefault="008933A3" w:rsidP="008933A3">
      <w:pPr>
        <w:spacing w:after="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 xml:space="preserve">(*) Z ogólnej liczby 58 pustostanów do wynajęcia kwalifikuje się 56 lokali. W dwóch lokalach, ze względu na stan techniczny konieczne jest przeprowadzenie remontów kapitalnych. </w:t>
      </w:r>
    </w:p>
    <w:p w14:paraId="1B35313F" w14:textId="77777777" w:rsidR="008933A3" w:rsidRPr="002B2BE2" w:rsidRDefault="008933A3" w:rsidP="008933A3">
      <w:pPr>
        <w:spacing w:after="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 xml:space="preserve">(**) 1. Filtrowa 62 - suterena (wejście przez podwórze) lokal do remontu kapitalnego. Bardzo zły stan nawierzchni podwórza, pod którym częściowo usytuowany jest lokal. Konieczny jest remont podwórza, żeby zapobiec dalszej dewastacji lokalu; </w:t>
      </w:r>
    </w:p>
    <w:p w14:paraId="62AF09B6" w14:textId="77777777" w:rsidR="008933A3" w:rsidRPr="002B2BE2" w:rsidRDefault="008933A3" w:rsidP="00FA31E9">
      <w:pPr>
        <w:pStyle w:val="Akapitzlist"/>
        <w:numPr>
          <w:ilvl w:val="0"/>
          <w:numId w:val="23"/>
        </w:numPr>
        <w:spacing w:after="12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>Szczęśliwicka 57 - lokal po węźle grupowym, w podłodze studnia chłonna, do remontu kapitalnego.</w:t>
      </w:r>
    </w:p>
    <w:p w14:paraId="7014846C" w14:textId="77777777" w:rsidR="008933A3" w:rsidRPr="002B2BE2" w:rsidRDefault="008933A3" w:rsidP="008933A3">
      <w:pPr>
        <w:spacing w:after="12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 xml:space="preserve">(***) zadania wymienione od </w:t>
      </w:r>
      <w:proofErr w:type="spellStart"/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>ppkt</w:t>
      </w:r>
      <w:proofErr w:type="spellEnd"/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 xml:space="preserve"> 1d do </w:t>
      </w:r>
      <w:proofErr w:type="spellStart"/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>ppkt</w:t>
      </w:r>
      <w:proofErr w:type="spellEnd"/>
      <w:r w:rsidRPr="002B2BE2">
        <w:rPr>
          <w:rFonts w:eastAsia="Times New Roman" w:cs="Calibri"/>
          <w:i/>
          <w:iCs/>
          <w:sz w:val="20"/>
          <w:szCs w:val="20"/>
          <w:lang w:eastAsia="pl-PL"/>
        </w:rPr>
        <w:t xml:space="preserve"> 1g oraz pkt 2 nie są realizowane przez Zakład Gospodarowania Nieruchomościami w Dzielnicy Ochota. Zadania realizowane wg kompetencji przez Urząd Dzielnicy Ochota. </w:t>
      </w:r>
    </w:p>
    <w:p w14:paraId="500AB131" w14:textId="77777777" w:rsidR="00E050A1" w:rsidRPr="002B2BE2" w:rsidRDefault="00E050A1" w:rsidP="008933A3">
      <w:pPr>
        <w:spacing w:after="12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2F6262CB" w14:textId="690791CD" w:rsidR="0004273D" w:rsidRPr="002B2BE2" w:rsidRDefault="001525C8" w:rsidP="00705A9E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lastRenderedPageBreak/>
        <w:t>Udostępnianie</w:t>
      </w:r>
      <w:r w:rsidR="002D0A5A" w:rsidRPr="002B2BE2">
        <w:rPr>
          <w:rFonts w:eastAsia="Times New Roman" w:cstheme="minorHAnsi"/>
          <w:b/>
          <w:bCs/>
          <w:lang w:eastAsia="pl-PL"/>
        </w:rPr>
        <w:t xml:space="preserve"> części powierzchni budynków i innych urządzeń budowlanych </w:t>
      </w:r>
    </w:p>
    <w:p w14:paraId="69B1D53C" w14:textId="1513E059" w:rsidR="008518B3" w:rsidRPr="002B2BE2" w:rsidRDefault="008518B3" w:rsidP="008518B3">
      <w:pPr>
        <w:pStyle w:val="Akapitzlist"/>
        <w:spacing w:after="0" w:line="240" w:lineRule="auto"/>
        <w:rPr>
          <w:rFonts w:eastAsia="Times New Roman" w:cstheme="minorHAnsi"/>
          <w:bCs/>
          <w:iCs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>W 202</w:t>
      </w:r>
      <w:r w:rsidR="00AC6AE3" w:rsidRPr="002B2BE2">
        <w:rPr>
          <w:rFonts w:eastAsia="Times New Roman" w:cstheme="minorHAnsi"/>
          <w:bCs/>
          <w:iCs/>
          <w:lang w:eastAsia="pl-PL"/>
        </w:rPr>
        <w:t>4</w:t>
      </w:r>
      <w:r w:rsidRPr="002B2BE2">
        <w:rPr>
          <w:rFonts w:eastAsia="Times New Roman" w:cstheme="minorHAnsi"/>
          <w:bCs/>
          <w:iCs/>
          <w:lang w:eastAsia="pl-PL"/>
        </w:rPr>
        <w:t xml:space="preserve"> r zawarto łącznie 1</w:t>
      </w:r>
      <w:r w:rsidR="00AC6AE3" w:rsidRPr="002B2BE2">
        <w:rPr>
          <w:rFonts w:eastAsia="Times New Roman" w:cstheme="minorHAnsi"/>
          <w:bCs/>
          <w:iCs/>
          <w:lang w:eastAsia="pl-PL"/>
        </w:rPr>
        <w:t>7</w:t>
      </w:r>
      <w:r w:rsidRPr="002B2BE2">
        <w:rPr>
          <w:rFonts w:eastAsia="Times New Roman" w:cstheme="minorHAnsi"/>
          <w:bCs/>
          <w:iCs/>
          <w:lang w:eastAsia="pl-PL"/>
        </w:rPr>
        <w:t xml:space="preserve"> um</w:t>
      </w:r>
      <w:r w:rsidR="00AC6AE3" w:rsidRPr="002B2BE2">
        <w:rPr>
          <w:rFonts w:eastAsia="Times New Roman" w:cstheme="minorHAnsi"/>
          <w:bCs/>
          <w:iCs/>
          <w:lang w:eastAsia="pl-PL"/>
        </w:rPr>
        <w:t>ów</w:t>
      </w:r>
      <w:r w:rsidRPr="002B2BE2">
        <w:rPr>
          <w:rFonts w:eastAsia="Times New Roman" w:cstheme="minorHAnsi"/>
          <w:bCs/>
          <w:iCs/>
          <w:lang w:eastAsia="pl-PL"/>
        </w:rPr>
        <w:t xml:space="preserve"> na udostępnienie części powierzchni budynków </w:t>
      </w:r>
    </w:p>
    <w:p w14:paraId="58062DF1" w14:textId="664E5E8C" w:rsidR="0004273D" w:rsidRPr="002B2BE2" w:rsidRDefault="008518B3" w:rsidP="008518B3">
      <w:pPr>
        <w:pStyle w:val="Akapitzlist"/>
        <w:spacing w:after="120" w:line="240" w:lineRule="auto"/>
        <w:contextualSpacing w:val="0"/>
        <w:rPr>
          <w:rFonts w:eastAsia="Times New Roman" w:cstheme="minorHAnsi"/>
          <w:bCs/>
          <w:i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>pod reklamy, klimatyzatory.</w:t>
      </w:r>
    </w:p>
    <w:p w14:paraId="72365DAE" w14:textId="0CECB0E2" w:rsidR="00F326B1" w:rsidRPr="002B2BE2" w:rsidRDefault="001525C8" w:rsidP="00705A9E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Dzierżawa nieruchomości gruntowych</w:t>
      </w:r>
    </w:p>
    <w:p w14:paraId="3529E287" w14:textId="43A7413D" w:rsidR="0004273D" w:rsidRPr="002B2BE2" w:rsidRDefault="001525C8" w:rsidP="00705A9E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Dzierżawa gruntów na cele niezarobkowe na rzecz wspólnot mieszkaniowych oraz mieszkańców</w:t>
      </w:r>
    </w:p>
    <w:p w14:paraId="5A52FB05" w14:textId="77777777" w:rsidR="00AC6AE3" w:rsidRPr="002B2BE2" w:rsidRDefault="00AC6AE3" w:rsidP="00AC6AE3">
      <w:pPr>
        <w:spacing w:after="0" w:line="300" w:lineRule="auto"/>
        <w:ind w:left="720"/>
        <w:rPr>
          <w:rFonts w:eastAsia="Times New Roman" w:cs="Calibri"/>
          <w:bCs/>
          <w:iCs/>
          <w:lang w:eastAsia="pl-PL"/>
        </w:rPr>
      </w:pPr>
      <w:r w:rsidRPr="002B2BE2">
        <w:rPr>
          <w:rFonts w:eastAsia="Times New Roman" w:cs="Calibri"/>
          <w:bCs/>
          <w:iCs/>
          <w:lang w:eastAsia="pl-PL"/>
        </w:rPr>
        <w:t>W 2024 r. zawarto łącznie 23 umów dzierżawy gruntów na cele niezarobkowe o łącznej powierzchni 2 972,35 m</w:t>
      </w:r>
      <w:r w:rsidRPr="002B2BE2">
        <w:rPr>
          <w:rFonts w:eastAsia="Times New Roman" w:cs="Calibri"/>
          <w:bCs/>
          <w:iCs/>
          <w:vertAlign w:val="superscript"/>
          <w:lang w:eastAsia="pl-PL"/>
        </w:rPr>
        <w:t>2</w:t>
      </w:r>
      <w:r w:rsidRPr="002B2BE2">
        <w:rPr>
          <w:rFonts w:eastAsia="Times New Roman" w:cs="Calibri"/>
          <w:bCs/>
          <w:iCs/>
          <w:lang w:eastAsia="pl-PL"/>
        </w:rPr>
        <w:t>.</w:t>
      </w:r>
    </w:p>
    <w:p w14:paraId="3C74D88A" w14:textId="77777777" w:rsidR="00AC6AE3" w:rsidRPr="002B2BE2" w:rsidRDefault="00AC6AE3" w:rsidP="00AC6AE3">
      <w:pPr>
        <w:spacing w:after="120" w:line="300" w:lineRule="auto"/>
        <w:ind w:left="720"/>
        <w:rPr>
          <w:rFonts w:eastAsia="Times New Roman" w:cs="Calibri"/>
          <w:b/>
          <w:bCs/>
          <w:i/>
          <w:lang w:eastAsia="pl-PL"/>
        </w:rPr>
      </w:pPr>
      <w:bookmarkStart w:id="10" w:name="_Hlk162427459"/>
      <w:r w:rsidRPr="002B2BE2">
        <w:rPr>
          <w:rFonts w:eastAsia="Times New Roman" w:cs="Calibri"/>
          <w:bCs/>
          <w:iCs/>
          <w:lang w:eastAsia="pl-PL"/>
        </w:rPr>
        <w:t xml:space="preserve">Wysokość naliczonych opłat z tytułu dzierżawy to kwota </w:t>
      </w:r>
      <w:bookmarkEnd w:id="10"/>
      <w:r w:rsidRPr="002B2BE2">
        <w:rPr>
          <w:rFonts w:eastAsia="Times New Roman" w:cs="Calibri"/>
          <w:bCs/>
          <w:iCs/>
          <w:lang w:eastAsia="pl-PL"/>
        </w:rPr>
        <w:t>1 295,46 zł/rok.</w:t>
      </w:r>
    </w:p>
    <w:p w14:paraId="12CD11B2" w14:textId="77777777" w:rsidR="001525C8" w:rsidRPr="002B2BE2" w:rsidRDefault="001525C8" w:rsidP="004F145B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Dzierżawa gruntów na cele komercyjne</w:t>
      </w:r>
    </w:p>
    <w:p w14:paraId="03ACE056" w14:textId="77777777" w:rsidR="00AC6AE3" w:rsidRPr="002B2BE2" w:rsidRDefault="00AC6AE3" w:rsidP="00AC6AE3">
      <w:pPr>
        <w:pStyle w:val="Akapitzlist"/>
        <w:spacing w:after="0" w:line="300" w:lineRule="auto"/>
        <w:rPr>
          <w:rFonts w:eastAsia="Times New Roman" w:cs="Calibri"/>
          <w:bCs/>
          <w:iCs/>
          <w:lang w:eastAsia="pl-PL"/>
        </w:rPr>
      </w:pPr>
      <w:r w:rsidRPr="002B2BE2">
        <w:rPr>
          <w:rFonts w:eastAsia="Times New Roman" w:cs="Calibri"/>
          <w:bCs/>
          <w:iCs/>
          <w:lang w:eastAsia="pl-PL"/>
        </w:rPr>
        <w:t>W 2024 r. zawarto łącznie 48 umów dzierżawy gruntów na cele komercyjne (ogródki gastronomiczne, zaplecza budowy, punkt edukacyjno-promocyjny, grunt pod garaże) o łącznej powierzchni 10 372,97 m</w:t>
      </w:r>
      <w:r w:rsidRPr="002B2BE2">
        <w:rPr>
          <w:rFonts w:eastAsia="Times New Roman" w:cs="Calibri"/>
          <w:bCs/>
          <w:iCs/>
          <w:vertAlign w:val="superscript"/>
          <w:lang w:eastAsia="pl-PL"/>
        </w:rPr>
        <w:t>2</w:t>
      </w:r>
      <w:r w:rsidRPr="002B2BE2">
        <w:rPr>
          <w:rFonts w:eastAsia="Times New Roman" w:cs="Calibri"/>
          <w:bCs/>
          <w:iCs/>
          <w:lang w:eastAsia="pl-PL"/>
        </w:rPr>
        <w:t>.</w:t>
      </w:r>
    </w:p>
    <w:p w14:paraId="1A2704E2" w14:textId="77777777" w:rsidR="00AC6AE3" w:rsidRPr="002B2BE2" w:rsidRDefault="00AC6AE3" w:rsidP="00AC6AE3">
      <w:pPr>
        <w:pStyle w:val="Akapitzlist"/>
        <w:spacing w:after="120" w:line="240" w:lineRule="auto"/>
        <w:contextualSpacing w:val="0"/>
        <w:rPr>
          <w:rFonts w:eastAsia="Times New Roman" w:cs="Calibri"/>
          <w:bCs/>
          <w:iCs/>
          <w:lang w:eastAsia="pl-PL"/>
        </w:rPr>
      </w:pPr>
      <w:r w:rsidRPr="002B2BE2">
        <w:rPr>
          <w:rFonts w:eastAsia="Times New Roman" w:cs="Calibri"/>
          <w:bCs/>
          <w:iCs/>
          <w:lang w:eastAsia="pl-PL"/>
        </w:rPr>
        <w:t>Wysokość naliczonych opłat z tytułu dzierżawy to kwota 495 013,65 zł/rok</w:t>
      </w:r>
    </w:p>
    <w:p w14:paraId="183A86F6" w14:textId="798B3321" w:rsidR="001C7089" w:rsidRPr="002B2BE2" w:rsidRDefault="001525C8" w:rsidP="000B08C6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Windykacja</w:t>
      </w:r>
      <w:r w:rsidR="00402031" w:rsidRPr="002B2BE2">
        <w:rPr>
          <w:rFonts w:eastAsia="Times New Roman" w:cstheme="minorHAnsi"/>
          <w:b/>
          <w:bCs/>
          <w:lang w:eastAsia="pl-PL"/>
        </w:rPr>
        <w:t xml:space="preserve"> należności</w:t>
      </w:r>
    </w:p>
    <w:p w14:paraId="7D2E1361" w14:textId="77777777" w:rsidR="006D1D4B" w:rsidRPr="002B2BE2" w:rsidRDefault="006D1D4B" w:rsidP="006D1D4B">
      <w:pPr>
        <w:spacing w:after="120" w:line="300" w:lineRule="auto"/>
        <w:ind w:left="709"/>
        <w:jc w:val="both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b/>
          <w:bCs/>
          <w:lang w:eastAsia="pl-PL"/>
        </w:rPr>
        <w:t>Skuteczna windykacja należności w 2024 roku</w:t>
      </w:r>
    </w:p>
    <w:p w14:paraId="6BAA6FD7" w14:textId="7AC3A3C7" w:rsidR="006D1D4B" w:rsidRPr="002B2BE2" w:rsidRDefault="006D1D4B" w:rsidP="006D1D4B">
      <w:pPr>
        <w:spacing w:after="120" w:line="300" w:lineRule="auto"/>
        <w:ind w:left="709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lang w:eastAsia="pl-PL"/>
        </w:rPr>
        <w:t>Rok 2024 był kolejnym okresem intensyfikacji działań windykacyjnych, ze szczególnym uwzględnieniem działań podejmowanych przez pracowników Działu Windykacji na etapie przedsądowym. Działania te, do których należało m.in. kontakt telefoniczny z najemcami miały na celu odzyskanie w jak najszybszym czasie należności z pominięciem postępowania sądowego z uwagi na konieczność ponoszenia dodatkowych kosztów związanych z wniesieniem powództwa o zapłatę.</w:t>
      </w:r>
    </w:p>
    <w:p w14:paraId="049171D6" w14:textId="77777777" w:rsidR="006D1D4B" w:rsidRPr="002B2BE2" w:rsidRDefault="006D1D4B" w:rsidP="006D1D4B">
      <w:pPr>
        <w:spacing w:after="120" w:line="300" w:lineRule="auto"/>
        <w:ind w:left="709"/>
        <w:jc w:val="both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lang w:eastAsia="pl-PL"/>
        </w:rPr>
        <w:t>Celem ww. działań było utrzymanie dobrych relacji z najemcami, by móc uzyskać informację dotycząca przyczyny zadłużenia i ocenić sytuację majątkową danej osoby.</w:t>
      </w:r>
    </w:p>
    <w:p w14:paraId="5AC8D36A" w14:textId="77777777" w:rsidR="006D1D4B" w:rsidRPr="002B2BE2" w:rsidRDefault="006D1D4B" w:rsidP="006D1D4B">
      <w:pPr>
        <w:spacing w:after="120" w:line="300" w:lineRule="auto"/>
        <w:ind w:left="709"/>
        <w:jc w:val="both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lang w:eastAsia="pl-PL"/>
        </w:rPr>
        <w:t xml:space="preserve">W ten sposób umożliwiło to wypracowanie optymalnych rozwiązań mających na celu okazanie pomocy osobom potrzebującym w postaci zawarcia porozumienia z wierzycielem w sprawie spłaty zadłużenia w formie ratalnej z korzyścią dla obu stron. </w:t>
      </w:r>
    </w:p>
    <w:p w14:paraId="65637DF2" w14:textId="2B47287F" w:rsidR="006D1D4B" w:rsidRPr="002B2BE2" w:rsidRDefault="006D1D4B" w:rsidP="006D1D4B">
      <w:pPr>
        <w:spacing w:after="120" w:line="300" w:lineRule="auto"/>
        <w:ind w:left="709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lang w:eastAsia="pl-PL"/>
        </w:rPr>
        <w:t xml:space="preserve">Efektywność podjętych działań przedsądowych znajduje odzwierciedlenie w wymiernych wynikach finansowych. </w:t>
      </w:r>
      <w:r w:rsidRPr="002B2BE2">
        <w:rPr>
          <w:rFonts w:ascii="Calibri" w:hAnsi="Calibri" w:cs="Calibri"/>
          <w:lang w:eastAsia="pl-PL"/>
        </w:rPr>
        <w:br/>
        <w:t>W 2024 roku, bez konieczności kierowania spraw do sądu, Zakład Gospodarowania Nieruchomościami w Dzielnicy Ochota odzyskał:</w:t>
      </w:r>
    </w:p>
    <w:p w14:paraId="34E39118" w14:textId="77777777" w:rsidR="006D1D4B" w:rsidRPr="002B2BE2" w:rsidRDefault="006D1D4B" w:rsidP="00FA31E9">
      <w:pPr>
        <w:pStyle w:val="Akapitzlist"/>
        <w:numPr>
          <w:ilvl w:val="0"/>
          <w:numId w:val="20"/>
        </w:numPr>
        <w:spacing w:after="120" w:line="300" w:lineRule="auto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b/>
          <w:bCs/>
          <w:lang w:eastAsia="pl-PL"/>
        </w:rPr>
        <w:t>178 393,99 zł</w:t>
      </w:r>
      <w:r w:rsidRPr="002B2BE2">
        <w:rPr>
          <w:rFonts w:ascii="Calibri" w:hAnsi="Calibri" w:cs="Calibri"/>
          <w:lang w:eastAsia="pl-PL"/>
        </w:rPr>
        <w:t xml:space="preserve"> z tytułu zaległości za lokale użytkowe,</w:t>
      </w:r>
    </w:p>
    <w:p w14:paraId="194219F1" w14:textId="77777777" w:rsidR="006D1D4B" w:rsidRPr="002B2BE2" w:rsidRDefault="006D1D4B" w:rsidP="00FA31E9">
      <w:pPr>
        <w:pStyle w:val="Akapitzlist"/>
        <w:numPr>
          <w:ilvl w:val="0"/>
          <w:numId w:val="20"/>
        </w:numPr>
        <w:spacing w:after="120" w:line="300" w:lineRule="auto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b/>
          <w:bCs/>
          <w:lang w:eastAsia="pl-PL"/>
        </w:rPr>
        <w:t>164 293,99 zł</w:t>
      </w:r>
      <w:r w:rsidRPr="002B2BE2">
        <w:rPr>
          <w:rFonts w:ascii="Calibri" w:hAnsi="Calibri" w:cs="Calibri"/>
          <w:lang w:eastAsia="pl-PL"/>
        </w:rPr>
        <w:t xml:space="preserve"> z tytułu zaległości za lokale mieszkalne,</w:t>
      </w:r>
    </w:p>
    <w:p w14:paraId="041BE15B" w14:textId="11FA9755" w:rsidR="006D1D4B" w:rsidRPr="002B2BE2" w:rsidRDefault="006D1D4B" w:rsidP="00FA31E9">
      <w:pPr>
        <w:pStyle w:val="Akapitzlist"/>
        <w:numPr>
          <w:ilvl w:val="0"/>
          <w:numId w:val="20"/>
        </w:numPr>
        <w:spacing w:after="120" w:line="300" w:lineRule="auto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b/>
          <w:bCs/>
          <w:lang w:eastAsia="pl-PL"/>
        </w:rPr>
        <w:t>8 337,06 zł</w:t>
      </w:r>
      <w:r w:rsidRPr="002B2BE2">
        <w:rPr>
          <w:rFonts w:ascii="Calibri" w:hAnsi="Calibri" w:cs="Calibri"/>
          <w:lang w:eastAsia="pl-PL"/>
        </w:rPr>
        <w:t xml:space="preserve"> z tytułu zaległości za garaże.</w:t>
      </w:r>
    </w:p>
    <w:p w14:paraId="3CA11230" w14:textId="77777777" w:rsidR="006D1D4B" w:rsidRPr="002B2BE2" w:rsidRDefault="006D1D4B" w:rsidP="006D1D4B">
      <w:pPr>
        <w:spacing w:after="120" w:line="300" w:lineRule="auto"/>
        <w:ind w:left="709"/>
        <w:jc w:val="both"/>
        <w:rPr>
          <w:rFonts w:ascii="Calibri" w:hAnsi="Calibri" w:cs="Calibri"/>
          <w:highlight w:val="cyan"/>
          <w:lang w:eastAsia="pl-PL"/>
        </w:rPr>
      </w:pPr>
      <w:r w:rsidRPr="002B2BE2">
        <w:rPr>
          <w:rFonts w:ascii="Calibri" w:hAnsi="Calibri" w:cs="Calibri"/>
          <w:lang w:eastAsia="pl-PL"/>
        </w:rPr>
        <w:t xml:space="preserve">Dodatkowo w sprawach, które z etapu sądowego zostały skierowane na etap egzekucyjny </w:t>
      </w:r>
      <w:r w:rsidRPr="002B2BE2">
        <w:rPr>
          <w:rFonts w:ascii="Calibri" w:hAnsi="Calibri" w:cs="Calibri"/>
          <w:lang w:eastAsia="pl-PL"/>
        </w:rPr>
        <w:br/>
        <w:t xml:space="preserve">z zamiarem wyegzekwowania zasądzonych roszczeń za pośrednictwem komornika sadowego udało się odzyskać kwotę w wysokości </w:t>
      </w:r>
      <w:r w:rsidRPr="002B2BE2">
        <w:rPr>
          <w:rFonts w:ascii="Calibri" w:hAnsi="Calibri" w:cs="Calibri"/>
          <w:b/>
          <w:bCs/>
          <w:lang w:eastAsia="pl-PL"/>
        </w:rPr>
        <w:t>1 440 900,03 zł</w:t>
      </w:r>
      <w:r w:rsidRPr="002B2BE2">
        <w:rPr>
          <w:rFonts w:ascii="Calibri" w:hAnsi="Calibri" w:cs="Calibri"/>
          <w:lang w:eastAsia="pl-PL"/>
        </w:rPr>
        <w:t xml:space="preserve"> na konto ZGN Ochota.</w:t>
      </w:r>
    </w:p>
    <w:p w14:paraId="0A4382C6" w14:textId="77777777" w:rsidR="006D1D4B" w:rsidRPr="002B2BE2" w:rsidRDefault="006D1D4B" w:rsidP="006D1D4B">
      <w:pPr>
        <w:spacing w:after="120" w:line="300" w:lineRule="auto"/>
        <w:ind w:left="709"/>
        <w:jc w:val="both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lang w:eastAsia="pl-PL"/>
        </w:rPr>
        <w:t xml:space="preserve">Powyższe dane pokazują, iż kluczowym jest stosowanie metod zarówno miękkiej jak i twardej windykacji, które dążą do jednego – do odzyskania zaległych długów. </w:t>
      </w:r>
    </w:p>
    <w:p w14:paraId="5AFC9668" w14:textId="1AA94868" w:rsidR="006D1D4B" w:rsidRPr="002B2BE2" w:rsidRDefault="006D1D4B" w:rsidP="006D1D4B">
      <w:pPr>
        <w:spacing w:after="240" w:line="300" w:lineRule="auto"/>
        <w:ind w:left="709"/>
        <w:jc w:val="both"/>
        <w:rPr>
          <w:rFonts w:ascii="Calibri" w:hAnsi="Calibri" w:cs="Calibri"/>
          <w:lang w:eastAsia="pl-PL"/>
        </w:rPr>
      </w:pPr>
      <w:r w:rsidRPr="002B2BE2">
        <w:rPr>
          <w:rFonts w:ascii="Calibri" w:hAnsi="Calibri" w:cs="Calibri"/>
          <w:lang w:eastAsia="pl-PL"/>
        </w:rPr>
        <w:lastRenderedPageBreak/>
        <w:t xml:space="preserve">Wyniki te potwierdzają skuteczność przyjętej strategii windykacyjnej oraz efektywność podejmowanych działań, które przyczyniają się do poprawy płynności finansowej jednostki i </w:t>
      </w:r>
      <w:r w:rsidR="00C000D8" w:rsidRPr="002B2BE2">
        <w:rPr>
          <w:rFonts w:ascii="Calibri" w:hAnsi="Calibri" w:cs="Calibri"/>
          <w:lang w:eastAsia="pl-PL"/>
        </w:rPr>
        <w:t xml:space="preserve">zmniejszenia </w:t>
      </w:r>
      <w:r w:rsidRPr="002B2BE2">
        <w:rPr>
          <w:rFonts w:ascii="Calibri" w:hAnsi="Calibri" w:cs="Calibri"/>
          <w:lang w:eastAsia="pl-PL"/>
        </w:rPr>
        <w:t>zaległości czynszowych.</w:t>
      </w:r>
    </w:p>
    <w:p w14:paraId="103B616F" w14:textId="736D2AE2" w:rsidR="00184A9A" w:rsidRPr="002B2BE2" w:rsidRDefault="00631925" w:rsidP="00E050A1">
      <w:pPr>
        <w:pStyle w:val="Akapitzlist"/>
        <w:numPr>
          <w:ilvl w:val="2"/>
          <w:numId w:val="3"/>
        </w:numPr>
        <w:spacing w:after="120" w:line="24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 xml:space="preserve">Analiza zadłużeń </w:t>
      </w:r>
      <w:r w:rsidR="00A06312" w:rsidRPr="002B2BE2">
        <w:rPr>
          <w:rFonts w:eastAsia="Times New Roman" w:cstheme="minorHAnsi"/>
          <w:b/>
          <w:bCs/>
          <w:lang w:eastAsia="pl-PL"/>
        </w:rPr>
        <w:t>lokali</w:t>
      </w:r>
      <w:r w:rsidRPr="002B2BE2">
        <w:rPr>
          <w:rFonts w:eastAsia="Times New Roman" w:cstheme="minorHAnsi"/>
          <w:b/>
          <w:bCs/>
          <w:lang w:eastAsia="pl-PL"/>
        </w:rPr>
        <w:t xml:space="preserve"> </w:t>
      </w:r>
      <w:r w:rsidR="00A06312" w:rsidRPr="002B2BE2">
        <w:rPr>
          <w:rFonts w:eastAsia="Times New Roman" w:cstheme="minorHAnsi"/>
          <w:b/>
          <w:bCs/>
          <w:lang w:eastAsia="pl-PL"/>
        </w:rPr>
        <w:t>mieszkalnych i użytkowych</w:t>
      </w:r>
    </w:p>
    <w:p w14:paraId="260C6DAC" w14:textId="2A04020A" w:rsidR="000C6756" w:rsidRPr="002B2BE2" w:rsidRDefault="00347D1F" w:rsidP="00232E65">
      <w:pPr>
        <w:spacing w:after="0" w:line="24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Dane dotyczące zaległości przedstawia tabela nr 14.</w:t>
      </w:r>
    </w:p>
    <w:p w14:paraId="62B7C8A8" w14:textId="77777777" w:rsidR="00347D1F" w:rsidRPr="002B2BE2" w:rsidRDefault="00347D1F" w:rsidP="00347D1F">
      <w:pPr>
        <w:spacing w:after="0" w:line="240" w:lineRule="auto"/>
        <w:ind w:left="709"/>
        <w:rPr>
          <w:rFonts w:eastAsia="Times New Roman" w:cstheme="minorHAnsi"/>
          <w:bCs/>
          <w:highlight w:val="yellow"/>
          <w:lang w:eastAsia="pl-PL"/>
        </w:rPr>
      </w:pPr>
    </w:p>
    <w:bookmarkStart w:id="11" w:name="_MON_1636193455"/>
    <w:bookmarkEnd w:id="11"/>
    <w:p w14:paraId="3F99B4DD" w14:textId="16180225" w:rsidR="00347D1F" w:rsidRPr="002B2BE2" w:rsidRDefault="007757B0" w:rsidP="00347D1F">
      <w:pPr>
        <w:spacing w:after="0" w:line="240" w:lineRule="auto"/>
        <w:ind w:right="-142"/>
        <w:rPr>
          <w:rFonts w:eastAsia="Times New Roman" w:cstheme="minorHAnsi"/>
          <w:bCs/>
          <w:highlight w:val="yellow"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object w:dxaOrig="9097" w:dyaOrig="4802" w14:anchorId="5A8FD1BE">
          <v:shape id="_x0000_i1032" type="#_x0000_t75" style="width:465pt;height:241.5pt" o:ole="">
            <v:imagedata r:id="rId23" o:title=""/>
          </v:shape>
          <o:OLEObject Type="Embed" ProgID="Excel.Sheet.12" ShapeID="_x0000_i1032" DrawAspect="Content" ObjectID="_1805783753" r:id="rId24"/>
        </w:object>
      </w:r>
    </w:p>
    <w:p w14:paraId="20CD3BD2" w14:textId="77777777" w:rsidR="002B0FAA" w:rsidRPr="002B2BE2" w:rsidRDefault="002B0FAA" w:rsidP="002B0FAA">
      <w:pPr>
        <w:spacing w:after="0" w:line="240" w:lineRule="auto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(*) </w:t>
      </w:r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Średnia zaległość przypadająca na 1 najemcę lokalu mieszkalnego, użytkowego (w tym garaże):</w:t>
      </w:r>
    </w:p>
    <w:p w14:paraId="7C7CBDE7" w14:textId="77777777" w:rsidR="002B0FAA" w:rsidRPr="002B2BE2" w:rsidRDefault="002B0FAA" w:rsidP="00FA31E9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>lokale mieszkalne (ogółem):                                  17 359,94 zł</w:t>
      </w:r>
    </w:p>
    <w:p w14:paraId="588E4638" w14:textId="3F6A322C" w:rsidR="002B0FAA" w:rsidRPr="002B2BE2" w:rsidRDefault="002B0FAA" w:rsidP="00FA31E9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  <w:bookmarkStart w:id="12" w:name="_Hlk130552991"/>
      <w:bookmarkStart w:id="13" w:name="_Hlk130553114"/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średnia zaległość</w:t>
      </w:r>
      <w:bookmarkEnd w:id="12"/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 xml:space="preserve"> za najem                           </w:t>
      </w:r>
      <w:bookmarkStart w:id="14" w:name="_Hlk130553242"/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 xml:space="preserve">  12 702,70 zł</w:t>
      </w:r>
      <w:bookmarkEnd w:id="14"/>
    </w:p>
    <w:p w14:paraId="6528C38F" w14:textId="35C2ABEB" w:rsidR="002B0FAA" w:rsidRPr="002B2BE2" w:rsidRDefault="002B0FAA" w:rsidP="00FA31E9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średnia zaległość z tyt. odszkodowania         1 158,32 zł</w:t>
      </w:r>
    </w:p>
    <w:p w14:paraId="67E33065" w14:textId="0600FC83" w:rsidR="002B0FAA" w:rsidRPr="002B2BE2" w:rsidRDefault="002B0FAA" w:rsidP="00FA31E9">
      <w:pPr>
        <w:pStyle w:val="Akapitzlist"/>
        <w:numPr>
          <w:ilvl w:val="0"/>
          <w:numId w:val="15"/>
        </w:numPr>
        <w:spacing w:after="0" w:line="240" w:lineRule="auto"/>
        <w:ind w:left="1077" w:hanging="357"/>
        <w:contextualSpacing w:val="0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średnia zaległość lokale zdane                      12 936,92</w:t>
      </w:r>
      <w:r w:rsidRPr="002B2BE2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 xml:space="preserve"> zł</w:t>
      </w:r>
    </w:p>
    <w:bookmarkEnd w:id="13"/>
    <w:p w14:paraId="11C47EAB" w14:textId="084A36CF" w:rsidR="002B0FAA" w:rsidRPr="002B2BE2" w:rsidRDefault="002B0FAA" w:rsidP="00FA31E9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>lokale użytkowe, w tym garaże (ogółem):         21 208,48 zł</w:t>
      </w:r>
    </w:p>
    <w:p w14:paraId="3A3C0FC8" w14:textId="5B5838F4" w:rsidR="002B0FAA" w:rsidRPr="002B2BE2" w:rsidRDefault="002B0FAA" w:rsidP="00FA31E9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 xml:space="preserve">średnia zaległość za najem                        </w:t>
      </w:r>
      <w:bookmarkStart w:id="15" w:name="_Hlk130553342"/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 xml:space="preserve">      3 442,32</w:t>
      </w:r>
      <w:r w:rsidRPr="002B2BE2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 xml:space="preserve"> zł</w:t>
      </w:r>
      <w:bookmarkEnd w:id="15"/>
    </w:p>
    <w:p w14:paraId="2D364532" w14:textId="7B4A3D11" w:rsidR="002B0FAA" w:rsidRPr="002B2BE2" w:rsidRDefault="002B0FAA" w:rsidP="00FA31E9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średnia zaległość z tyt. odszkodowania         6 983,11</w:t>
      </w:r>
      <w:r w:rsidRPr="002B2BE2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 xml:space="preserve"> zł</w:t>
      </w:r>
    </w:p>
    <w:p w14:paraId="16096B54" w14:textId="1ABC6822" w:rsidR="002B0FAA" w:rsidRPr="002B2BE2" w:rsidRDefault="002B0FAA" w:rsidP="00FA31E9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średnia zaległość lokale zdane                   37 429,897</w:t>
      </w:r>
      <w:r w:rsidRPr="002B2BE2">
        <w:rPr>
          <w:rFonts w:ascii="Calibri" w:eastAsia="Times New Roman" w:hAnsi="Calibri" w:cs="Calibri"/>
          <w:b/>
          <w:i/>
          <w:iCs/>
          <w:sz w:val="18"/>
          <w:szCs w:val="18"/>
          <w:lang w:eastAsia="pl-PL"/>
        </w:rPr>
        <w:t xml:space="preserve"> zł</w:t>
      </w:r>
    </w:p>
    <w:p w14:paraId="3ACB61B3" w14:textId="77777777" w:rsidR="00F33F0E" w:rsidRPr="002B2BE2" w:rsidRDefault="00F33F0E" w:rsidP="008246D6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710EBDA2" w14:textId="2CF95A75" w:rsidR="00A644D4" w:rsidRPr="002B2BE2" w:rsidRDefault="00631925" w:rsidP="00E050A1">
      <w:pPr>
        <w:pStyle w:val="Akapitzlist"/>
        <w:numPr>
          <w:ilvl w:val="2"/>
          <w:numId w:val="3"/>
        </w:numPr>
        <w:spacing w:after="120" w:line="24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Windykacja należności z tytułu dzierżawy</w:t>
      </w:r>
      <w:r w:rsidR="00B0201F" w:rsidRPr="002B2BE2">
        <w:rPr>
          <w:rFonts w:eastAsia="Times New Roman" w:cstheme="minorHAnsi"/>
          <w:b/>
          <w:bCs/>
          <w:lang w:eastAsia="pl-PL"/>
        </w:rPr>
        <w:t xml:space="preserve"> </w:t>
      </w:r>
      <w:r w:rsidR="00865874" w:rsidRPr="002B2BE2">
        <w:rPr>
          <w:rFonts w:eastAsia="Times New Roman" w:cstheme="minorHAnsi"/>
          <w:b/>
          <w:bCs/>
          <w:lang w:eastAsia="pl-PL"/>
        </w:rPr>
        <w:t>i koszty dochodzenia roszczeń</w:t>
      </w:r>
      <w:r w:rsidR="007B64EB" w:rsidRPr="002B2BE2">
        <w:rPr>
          <w:rFonts w:eastAsia="Times New Roman" w:cstheme="minorHAnsi"/>
          <w:b/>
          <w:bCs/>
          <w:lang w:eastAsia="pl-PL"/>
        </w:rPr>
        <w:t xml:space="preserve"> (w tym reklamy)</w:t>
      </w:r>
      <w:r w:rsidR="00865874" w:rsidRPr="002B2BE2">
        <w:rPr>
          <w:rFonts w:eastAsia="Times New Roman" w:cstheme="minorHAnsi"/>
          <w:b/>
          <w:bCs/>
          <w:lang w:eastAsia="pl-PL"/>
        </w:rPr>
        <w:t>.</w:t>
      </w:r>
    </w:p>
    <w:p w14:paraId="62AF587F" w14:textId="453C9199" w:rsidR="0062329C" w:rsidRPr="002B2BE2" w:rsidRDefault="00415824" w:rsidP="00E050A1">
      <w:pPr>
        <w:spacing w:after="0" w:line="30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Dane dotyczące zaległości przedstawia tabela nr 14-a.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3836"/>
      </w:tblGrid>
      <w:tr w:rsidR="002B2BE2" w:rsidRPr="002B2BE2" w14:paraId="7B4648D4" w14:textId="77777777" w:rsidTr="00981839">
        <w:trPr>
          <w:trHeight w:val="33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AB83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16" w:name="_Hlk191555076"/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Windykacja należności z tytułu dzierżawy i koszty dochodzenia roszczeń (w tym reklamy)</w:t>
            </w:r>
          </w:p>
          <w:p w14:paraId="36307005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B2BE2" w:rsidRPr="002B2BE2" w14:paraId="03B6DD10" w14:textId="77777777" w:rsidTr="00981839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E520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Tabela nr 14-a </w:t>
            </w:r>
            <w:r w:rsidRPr="002B2BE2">
              <w:rPr>
                <w:rFonts w:ascii="Calibri" w:eastAsia="Times New Roman" w:hAnsi="Calibri" w:cs="Calibri"/>
                <w:lang w:eastAsia="pl-PL"/>
              </w:rPr>
              <w:t>Windykacja należności</w:t>
            </w:r>
          </w:p>
        </w:tc>
      </w:tr>
      <w:tr w:rsidR="002B2BE2" w:rsidRPr="002B2BE2" w14:paraId="3A9CF5C5" w14:textId="77777777" w:rsidTr="00981839">
        <w:trPr>
          <w:trHeight w:val="52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5986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Opis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31AF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Stan na 31.12.2024</w:t>
            </w:r>
          </w:p>
        </w:tc>
      </w:tr>
      <w:tr w:rsidR="002B2BE2" w:rsidRPr="002B2BE2" w14:paraId="25E3B776" w14:textId="77777777" w:rsidTr="00981839">
        <w:trPr>
          <w:trHeight w:val="3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4F53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1.zaległości z tytułu dzierżaw, w tym reklamy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E4F0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3 254 542,74</w:t>
            </w:r>
          </w:p>
        </w:tc>
      </w:tr>
      <w:tr w:rsidR="002B2BE2" w:rsidRPr="002B2BE2" w14:paraId="5EED6882" w14:textId="77777777" w:rsidTr="00981839">
        <w:trPr>
          <w:trHeight w:val="3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EF7A" w14:textId="77777777" w:rsidR="0062329C" w:rsidRPr="002B2BE2" w:rsidRDefault="0062329C" w:rsidP="00FA31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opłaty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EB58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1 656 292,29</w:t>
            </w:r>
          </w:p>
        </w:tc>
      </w:tr>
      <w:tr w:rsidR="002B2BE2" w:rsidRPr="002B2BE2" w14:paraId="341DBED5" w14:textId="77777777" w:rsidTr="00981839">
        <w:trPr>
          <w:trHeight w:val="3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1F63" w14:textId="77777777" w:rsidR="0062329C" w:rsidRPr="002B2BE2" w:rsidRDefault="0062329C" w:rsidP="00FA31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wynagrodzenie za bezumowne korzystanie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02D7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82 505,38</w:t>
            </w:r>
          </w:p>
        </w:tc>
      </w:tr>
      <w:tr w:rsidR="002B2BE2" w:rsidRPr="002B2BE2" w14:paraId="516273FE" w14:textId="77777777" w:rsidTr="00981839">
        <w:trPr>
          <w:trHeight w:val="3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CB37" w14:textId="77777777" w:rsidR="0062329C" w:rsidRPr="002B2BE2" w:rsidRDefault="0062329C" w:rsidP="00FA31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odsetki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F504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1 515 745,07</w:t>
            </w:r>
          </w:p>
        </w:tc>
      </w:tr>
      <w:tr w:rsidR="002B2BE2" w:rsidRPr="002B2BE2" w14:paraId="2893D841" w14:textId="77777777" w:rsidTr="00981839">
        <w:trPr>
          <w:trHeight w:val="3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B36F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2.Koszty dochodzenia roszczeń dzierżawy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9332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56 327,79</w:t>
            </w:r>
          </w:p>
        </w:tc>
      </w:tr>
      <w:tr w:rsidR="0062329C" w:rsidRPr="002B2BE2" w14:paraId="5F9152F3" w14:textId="77777777" w:rsidTr="00981839">
        <w:trPr>
          <w:trHeight w:val="3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0F74" w14:textId="77777777" w:rsidR="0062329C" w:rsidRPr="002B2BE2" w:rsidRDefault="0062329C" w:rsidP="009818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3.Koszty dochodzenia roszczeń reklamy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A6CF" w14:textId="77777777" w:rsidR="0062329C" w:rsidRPr="002B2BE2" w:rsidRDefault="0062329C" w:rsidP="00981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9 604,71</w:t>
            </w:r>
          </w:p>
        </w:tc>
      </w:tr>
      <w:bookmarkEnd w:id="16"/>
    </w:tbl>
    <w:p w14:paraId="0D55924B" w14:textId="77777777" w:rsidR="0062329C" w:rsidRPr="002B2BE2" w:rsidRDefault="0062329C" w:rsidP="00232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pl-PL"/>
        </w:rPr>
      </w:pPr>
    </w:p>
    <w:p w14:paraId="3698D833" w14:textId="77777777" w:rsidR="00E050A1" w:rsidRDefault="00E050A1" w:rsidP="00232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pl-PL"/>
        </w:rPr>
      </w:pPr>
    </w:p>
    <w:p w14:paraId="775930D0" w14:textId="77777777" w:rsidR="00035A82" w:rsidRDefault="00035A82" w:rsidP="00232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pl-PL"/>
        </w:rPr>
      </w:pPr>
    </w:p>
    <w:p w14:paraId="66AF78B5" w14:textId="77777777" w:rsidR="00035A82" w:rsidRPr="002B2BE2" w:rsidRDefault="00035A82" w:rsidP="00232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pl-PL"/>
        </w:rPr>
      </w:pPr>
    </w:p>
    <w:p w14:paraId="7368D0C4" w14:textId="4E485D75" w:rsidR="00580529" w:rsidRPr="002B2BE2" w:rsidRDefault="005B0D5B" w:rsidP="004F145B">
      <w:pPr>
        <w:pStyle w:val="Akapitzlist"/>
        <w:numPr>
          <w:ilvl w:val="2"/>
          <w:numId w:val="3"/>
        </w:numPr>
        <w:spacing w:after="0" w:line="240" w:lineRule="auto"/>
        <w:ind w:left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lastRenderedPageBreak/>
        <w:t>Windykacja</w:t>
      </w:r>
      <w:r w:rsidR="00B0201F" w:rsidRPr="002B2BE2">
        <w:rPr>
          <w:rFonts w:eastAsia="Times New Roman" w:cstheme="minorHAnsi"/>
          <w:b/>
          <w:bCs/>
          <w:lang w:eastAsia="pl-PL"/>
        </w:rPr>
        <w:t xml:space="preserve"> przedsądowa, sądowa, egzekucyjna</w:t>
      </w:r>
    </w:p>
    <w:p w14:paraId="49362BDE" w14:textId="77777777" w:rsidR="00B963E3" w:rsidRPr="002B2BE2" w:rsidRDefault="00B963E3" w:rsidP="00B963E3">
      <w:pPr>
        <w:pStyle w:val="Akapitzlist"/>
        <w:spacing w:after="0" w:line="240" w:lineRule="auto"/>
        <w:ind w:left="709"/>
        <w:rPr>
          <w:rFonts w:eastAsia="Times New Roman" w:cstheme="minorHAnsi"/>
          <w:b/>
          <w:bCs/>
          <w:highlight w:val="yellow"/>
          <w:lang w:eastAsia="pl-PL"/>
        </w:rPr>
      </w:pPr>
    </w:p>
    <w:p w14:paraId="608FF7B0" w14:textId="77777777" w:rsidR="008F75AD" w:rsidRPr="002B2BE2" w:rsidRDefault="008F75AD" w:rsidP="008F75AD">
      <w:pPr>
        <w:spacing w:after="0" w:line="240" w:lineRule="auto"/>
        <w:ind w:left="709"/>
        <w:rPr>
          <w:rFonts w:ascii="Calibri" w:hAnsi="Calibri" w:cs="Calibri"/>
        </w:rPr>
      </w:pPr>
      <w:r w:rsidRPr="002B2BE2">
        <w:rPr>
          <w:rFonts w:ascii="Calibri" w:hAnsi="Calibri" w:cs="Calibri"/>
        </w:rPr>
        <w:t xml:space="preserve">W ramach windykacji przedsądowej Zakład Gospodarowania Nieruchomościami w Dzielnicy Ochota skierował do dłużników lokali mieszkalnych, użytkowych, garaży, dzierżaw oraz reklam </w:t>
      </w:r>
      <w:r w:rsidRPr="002B2BE2">
        <w:rPr>
          <w:rFonts w:ascii="Calibri" w:hAnsi="Calibri" w:cs="Calibri"/>
          <w:b/>
          <w:bCs/>
        </w:rPr>
        <w:t>2 709</w:t>
      </w:r>
      <w:r w:rsidRPr="002B2BE2">
        <w:rPr>
          <w:rFonts w:ascii="Calibri" w:hAnsi="Calibri" w:cs="Calibri"/>
        </w:rPr>
        <w:t xml:space="preserve"> wezwań do zapłaty, podejmując skuteczne działania mające na celu odzyskanie należności.</w:t>
      </w:r>
    </w:p>
    <w:p w14:paraId="0E1E0843" w14:textId="77777777" w:rsidR="008F75AD" w:rsidRPr="002B2BE2" w:rsidRDefault="008F75AD" w:rsidP="008F75AD">
      <w:pPr>
        <w:spacing w:after="0" w:line="240" w:lineRule="auto"/>
        <w:ind w:left="709"/>
        <w:rPr>
          <w:rFonts w:ascii="Calibri" w:hAnsi="Calibri" w:cs="Calibri"/>
        </w:rPr>
      </w:pPr>
    </w:p>
    <w:p w14:paraId="312FA657" w14:textId="77777777" w:rsidR="008F75AD" w:rsidRPr="002B2BE2" w:rsidRDefault="008F75AD" w:rsidP="008F75AD">
      <w:pPr>
        <w:spacing w:after="0" w:line="240" w:lineRule="auto"/>
        <w:ind w:left="709"/>
        <w:rPr>
          <w:rFonts w:ascii="Calibri" w:hAnsi="Calibri" w:cs="Calibri"/>
        </w:rPr>
      </w:pPr>
      <w:r w:rsidRPr="002B2BE2">
        <w:rPr>
          <w:rFonts w:ascii="Calibri" w:hAnsi="Calibri" w:cs="Calibri"/>
        </w:rPr>
        <w:t>W 2024 roku do sądu złożono 544 pozwy, w tym:</w:t>
      </w:r>
    </w:p>
    <w:p w14:paraId="0C0D33B2" w14:textId="77777777" w:rsidR="008F75AD" w:rsidRPr="002B2BE2" w:rsidRDefault="008F75AD" w:rsidP="00FA31E9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2B2BE2">
        <w:rPr>
          <w:rFonts w:ascii="Calibri" w:hAnsi="Calibri" w:cs="Calibri"/>
        </w:rPr>
        <w:t>472 pozwy o wydanie nakazów zapłaty na łączną kwotę 3 724 509,44 zł,</w:t>
      </w:r>
    </w:p>
    <w:p w14:paraId="7184F034" w14:textId="77777777" w:rsidR="008F75AD" w:rsidRPr="002B2BE2" w:rsidRDefault="008F75AD" w:rsidP="00FA31E9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2B2BE2">
        <w:rPr>
          <w:rFonts w:ascii="Calibri" w:hAnsi="Calibri" w:cs="Calibri"/>
        </w:rPr>
        <w:t>29 pozwów o orzeczenie eksmisji,</w:t>
      </w:r>
    </w:p>
    <w:p w14:paraId="13FFF21B" w14:textId="77777777" w:rsidR="008F75AD" w:rsidRPr="002B2BE2" w:rsidRDefault="008F75AD" w:rsidP="00FA31E9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2B2BE2">
        <w:rPr>
          <w:rFonts w:ascii="Calibri" w:hAnsi="Calibri" w:cs="Calibri"/>
        </w:rPr>
        <w:t>43 wnioski o poszukiwanie spadkobierców.</w:t>
      </w:r>
    </w:p>
    <w:p w14:paraId="5CF7A8FC" w14:textId="77777777" w:rsidR="008F75AD" w:rsidRPr="002B2BE2" w:rsidRDefault="008F75AD" w:rsidP="008F75AD">
      <w:pPr>
        <w:pStyle w:val="Akapitzlist"/>
        <w:spacing w:after="0" w:line="240" w:lineRule="auto"/>
        <w:ind w:left="1429"/>
        <w:rPr>
          <w:rFonts w:ascii="Calibri" w:hAnsi="Calibri" w:cs="Calibri"/>
        </w:rPr>
      </w:pPr>
    </w:p>
    <w:p w14:paraId="241AA7B6" w14:textId="77777777" w:rsidR="008F75AD" w:rsidRPr="002B2BE2" w:rsidRDefault="008F75AD" w:rsidP="008F75AD">
      <w:pPr>
        <w:spacing w:after="0" w:line="240" w:lineRule="auto"/>
        <w:ind w:left="709"/>
        <w:rPr>
          <w:rFonts w:ascii="Calibri" w:hAnsi="Calibri" w:cs="Calibri"/>
        </w:rPr>
      </w:pPr>
      <w:r w:rsidRPr="002B2BE2">
        <w:rPr>
          <w:rFonts w:ascii="Calibri" w:hAnsi="Calibri" w:cs="Calibri"/>
        </w:rPr>
        <w:t>W wyniku prowadzonych postępowań sądowych wydano 7 wyroków orzekających eksmisję z lokali mieszkalnych oraz 1 wyrok dotyczący eksmisji z lokalu użytkowego.</w:t>
      </w:r>
    </w:p>
    <w:p w14:paraId="2DA0B4A1" w14:textId="77777777" w:rsidR="008F75AD" w:rsidRPr="002B2BE2" w:rsidRDefault="008F75AD" w:rsidP="008F75AD">
      <w:pPr>
        <w:spacing w:after="0" w:line="240" w:lineRule="auto"/>
        <w:ind w:left="709"/>
        <w:rPr>
          <w:rFonts w:ascii="Calibri" w:hAnsi="Calibri" w:cs="Calibri"/>
        </w:rPr>
      </w:pPr>
    </w:p>
    <w:p w14:paraId="093E5138" w14:textId="77777777" w:rsidR="008F75AD" w:rsidRPr="002B2BE2" w:rsidRDefault="008F75AD" w:rsidP="008F75AD">
      <w:pPr>
        <w:spacing w:after="0" w:line="240" w:lineRule="auto"/>
        <w:ind w:left="709"/>
        <w:rPr>
          <w:rFonts w:ascii="Calibri" w:hAnsi="Calibri" w:cs="Calibri"/>
        </w:rPr>
      </w:pPr>
      <w:r w:rsidRPr="002B2BE2">
        <w:rPr>
          <w:rFonts w:ascii="Calibri" w:hAnsi="Calibri" w:cs="Calibri"/>
        </w:rPr>
        <w:t>Dodatkowo, w 2024 roku wznowiono 209 postępowań egzekucyjnych dotyczących należności z lat ubiegłych, co stanowi istotny element skutecznej windykacji i dalszego dochodzenia zaległych opłat.</w:t>
      </w:r>
    </w:p>
    <w:p w14:paraId="6E460AD7" w14:textId="77777777" w:rsidR="009850E2" w:rsidRPr="002B2BE2" w:rsidRDefault="009850E2" w:rsidP="005E0D53">
      <w:pPr>
        <w:spacing w:after="0" w:line="240" w:lineRule="auto"/>
        <w:ind w:left="709"/>
        <w:rPr>
          <w:rFonts w:eastAsia="Times New Roman" w:cstheme="minorHAnsi"/>
          <w:bCs/>
          <w:i/>
          <w:highlight w:val="yellow"/>
          <w:lang w:eastAsia="pl-PL"/>
        </w:rPr>
      </w:pPr>
    </w:p>
    <w:p w14:paraId="101AC40F" w14:textId="77777777" w:rsidR="005B0D5B" w:rsidRPr="002B2BE2" w:rsidRDefault="005B0D5B" w:rsidP="004F145B">
      <w:pPr>
        <w:pStyle w:val="Akapitzlist"/>
        <w:numPr>
          <w:ilvl w:val="1"/>
          <w:numId w:val="7"/>
        </w:numPr>
        <w:spacing w:after="0" w:line="24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</w:rPr>
        <w:t>Ulgi w spłacie należności, w tym program restrukturyzacji zadłużenia użytkowników lokali wchodzących w skład miesz</w:t>
      </w:r>
      <w:r w:rsidR="00720365" w:rsidRPr="002B2BE2">
        <w:rPr>
          <w:rFonts w:eastAsia="Times New Roman" w:cstheme="minorHAnsi"/>
          <w:b/>
        </w:rPr>
        <w:t>kaniowego zasobu m.st. Warszawy.</w:t>
      </w:r>
    </w:p>
    <w:p w14:paraId="6DE020EE" w14:textId="77777777" w:rsidR="00720365" w:rsidRPr="002B2BE2" w:rsidRDefault="00720365" w:rsidP="009850E2">
      <w:pPr>
        <w:spacing w:after="0" w:line="240" w:lineRule="auto"/>
        <w:rPr>
          <w:rFonts w:eastAsia="Times New Roman" w:cstheme="minorHAnsi"/>
          <w:b/>
          <w:bCs/>
          <w:highlight w:val="yellow"/>
          <w:lang w:eastAsia="pl-PL"/>
        </w:rPr>
      </w:pPr>
    </w:p>
    <w:p w14:paraId="4873C189" w14:textId="77777777" w:rsidR="007D251D" w:rsidRPr="002B2BE2" w:rsidRDefault="007D251D" w:rsidP="007D251D">
      <w:pPr>
        <w:spacing w:after="0" w:line="240" w:lineRule="auto"/>
        <w:ind w:left="709"/>
        <w:jc w:val="both"/>
        <w:rPr>
          <w:rFonts w:eastAsia="Calibri" w:cstheme="minorHAnsi"/>
          <w:lang w:eastAsia="pl-PL"/>
        </w:rPr>
      </w:pPr>
      <w:r w:rsidRPr="002B2BE2">
        <w:rPr>
          <w:rFonts w:eastAsia="Calibri" w:cstheme="minorHAnsi"/>
          <w:lang w:eastAsia="pl-PL"/>
        </w:rPr>
        <w:t>Dane liczbowe dotyczące ulg w spłacie należności przedstawiają tabele nr 15 i 16.</w:t>
      </w:r>
    </w:p>
    <w:p w14:paraId="1BD47F96" w14:textId="77777777" w:rsidR="007D251D" w:rsidRPr="002B2BE2" w:rsidRDefault="007D251D" w:rsidP="007D251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bookmarkStart w:id="17" w:name="_MON_1636198143"/>
    <w:bookmarkEnd w:id="17"/>
    <w:p w14:paraId="422F56AA" w14:textId="45DA786B" w:rsidR="007D251D" w:rsidRPr="002B2BE2" w:rsidRDefault="00C000D8" w:rsidP="007D251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object w:dxaOrig="8986" w:dyaOrig="2573" w14:anchorId="2B4A8579">
          <v:shape id="_x0000_i1033" type="#_x0000_t75" style="width:426pt;height:138pt" o:ole="">
            <v:imagedata r:id="rId25" o:title=""/>
          </v:shape>
          <o:OLEObject Type="Embed" ProgID="Excel.Sheet.12" ShapeID="_x0000_i1033" DrawAspect="Content" ObjectID="_1805783754" r:id="rId26"/>
        </w:object>
      </w:r>
    </w:p>
    <w:p w14:paraId="340DB059" w14:textId="77777777" w:rsidR="008F75AD" w:rsidRPr="002B2BE2" w:rsidRDefault="008F75AD" w:rsidP="008F75AD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2B2BE2">
        <w:rPr>
          <w:rFonts w:ascii="Calibri" w:eastAsia="Times New Roman" w:hAnsi="Calibri" w:cs="Calibri"/>
          <w:bCs/>
          <w:sz w:val="18"/>
          <w:szCs w:val="18"/>
          <w:lang w:eastAsia="pl-PL"/>
        </w:rPr>
        <w:t>(*) liczba umów czynnych na dzień 31.12.2024 r. - 140</w:t>
      </w:r>
    </w:p>
    <w:p w14:paraId="39B1A749" w14:textId="77777777" w:rsidR="007D251D" w:rsidRPr="002B2BE2" w:rsidRDefault="007D251D" w:rsidP="007D251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bookmarkStart w:id="18" w:name="_MON_1636198188"/>
    <w:bookmarkEnd w:id="18"/>
    <w:p w14:paraId="05492137" w14:textId="26EBDE98" w:rsidR="007D251D" w:rsidRPr="002B2BE2" w:rsidRDefault="008F75AD" w:rsidP="007D251D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object w:dxaOrig="9081" w:dyaOrig="2258" w14:anchorId="64EF393D">
          <v:shape id="_x0000_i1034" type="#_x0000_t75" style="width:435.75pt;height:126pt" o:ole="">
            <v:imagedata r:id="rId27" o:title=""/>
          </v:shape>
          <o:OLEObject Type="Embed" ProgID="Excel.Sheet.12" ShapeID="_x0000_i1034" DrawAspect="Content" ObjectID="_1805783755" r:id="rId28"/>
        </w:object>
      </w:r>
    </w:p>
    <w:p w14:paraId="05B8A470" w14:textId="77777777" w:rsidR="000976EC" w:rsidRDefault="000976EC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197E4ADD" w14:textId="77777777" w:rsidR="00035A82" w:rsidRDefault="00035A82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3E209734" w14:textId="77777777" w:rsidR="00035A82" w:rsidRDefault="00035A82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006E4D7E" w14:textId="77777777" w:rsidR="00035A82" w:rsidRDefault="00035A82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5C3E14A6" w14:textId="77777777" w:rsidR="00035A82" w:rsidRDefault="00035A82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40D19CF9" w14:textId="77777777" w:rsidR="00035A82" w:rsidRDefault="00035A82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75530A0A" w14:textId="77777777" w:rsidR="00035A82" w:rsidRPr="002B2BE2" w:rsidRDefault="00035A82" w:rsidP="005E0D53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0DF4CFE5" w14:textId="4B52D790" w:rsidR="00DB10D2" w:rsidRPr="002B2BE2" w:rsidRDefault="005B0D5B" w:rsidP="00DB10D2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lastRenderedPageBreak/>
        <w:t>Świadczenie niepieniężne</w:t>
      </w:r>
    </w:p>
    <w:p w14:paraId="2AEC3426" w14:textId="646CF21D" w:rsidR="005B0D5B" w:rsidRPr="002B2BE2" w:rsidRDefault="00941562" w:rsidP="005E0D53">
      <w:pPr>
        <w:spacing w:after="0" w:line="240" w:lineRule="auto"/>
        <w:ind w:left="709"/>
        <w:rPr>
          <w:rFonts w:eastAsia="Times New Roman" w:cstheme="minorHAnsi"/>
          <w:bCs/>
          <w:highlight w:val="yellow"/>
          <w:lang w:eastAsia="pl-PL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object w:dxaOrig="1440" w:dyaOrig="1440" w14:anchorId="42DD1F6E">
          <v:shape id="_x0000_s1040" type="#_x0000_t75" style="position:absolute;left:0;text-align:left;margin-left:0;margin-top:27.2pt;width:439.05pt;height:80.65pt;z-index:251659264;mso-position-horizontal:left">
            <v:imagedata r:id="rId29" o:title=""/>
            <w10:wrap type="square" side="right"/>
          </v:shape>
          <o:OLEObject Type="Embed" ProgID="Excel.Sheet.12" ShapeID="_x0000_s1040" DrawAspect="Content" ObjectID="_1805783760" r:id="rId30"/>
        </w:object>
      </w:r>
      <w:r w:rsidR="00185E0A" w:rsidRPr="002B2BE2">
        <w:rPr>
          <w:rFonts w:eastAsia="Times New Roman" w:cstheme="minorHAnsi"/>
          <w:bCs/>
          <w:lang w:eastAsia="pl-PL"/>
        </w:rPr>
        <w:t>Dane liczbowe dotyczące „odpracowania długu” przedstawia tabela nr 1</w:t>
      </w:r>
      <w:r w:rsidR="00CD7FD7" w:rsidRPr="002B2BE2">
        <w:rPr>
          <w:rFonts w:eastAsia="Times New Roman" w:cstheme="minorHAnsi"/>
          <w:bCs/>
          <w:lang w:eastAsia="pl-PL"/>
        </w:rPr>
        <w:t>7</w:t>
      </w:r>
      <w:r w:rsidR="00185E0A" w:rsidRPr="002B2BE2">
        <w:rPr>
          <w:rFonts w:eastAsia="Times New Roman" w:cstheme="minorHAnsi"/>
          <w:bCs/>
          <w:lang w:eastAsia="pl-PL"/>
        </w:rPr>
        <w:t>.</w:t>
      </w:r>
    </w:p>
    <w:p w14:paraId="42996A40" w14:textId="33A1E222" w:rsidR="00EF67DC" w:rsidRPr="002B2BE2" w:rsidRDefault="00EF67DC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30406E88" w14:textId="77777777" w:rsidR="008F75AD" w:rsidRPr="002B2BE2" w:rsidRDefault="008F75AD" w:rsidP="008F75AD">
      <w:pPr>
        <w:spacing w:after="0" w:line="300" w:lineRule="auto"/>
        <w:ind w:left="709"/>
        <w:rPr>
          <w:rFonts w:ascii="Calibri" w:eastAsia="Times New Roman" w:hAnsi="Calibri" w:cs="Calibri"/>
          <w:bCs/>
          <w:iCs/>
          <w:lang w:eastAsia="pl-PL"/>
        </w:rPr>
      </w:pPr>
      <w:r w:rsidRPr="002B2BE2">
        <w:rPr>
          <w:rFonts w:ascii="Calibri" w:eastAsia="Times New Roman" w:hAnsi="Calibri" w:cs="Calibri"/>
          <w:bCs/>
          <w:iCs/>
          <w:lang w:eastAsia="pl-PL"/>
        </w:rPr>
        <w:t xml:space="preserve">W 2024 r. w ramach programu spłaty zadłużenia w formie świadczeń niepieniężnych dłużnicy wykonywali pracę na rzecz Zakładu Gospodarowania Nieruchomościami w Dzielnicy Ochota jak również na rzecz innych jednostek. </w:t>
      </w:r>
    </w:p>
    <w:p w14:paraId="32DD27A8" w14:textId="77777777" w:rsidR="008F75AD" w:rsidRPr="002B2BE2" w:rsidRDefault="008F75AD" w:rsidP="008F75AD">
      <w:pPr>
        <w:spacing w:after="0" w:line="300" w:lineRule="auto"/>
        <w:ind w:left="709"/>
        <w:rPr>
          <w:rFonts w:ascii="Calibri" w:eastAsia="Times New Roman" w:hAnsi="Calibri" w:cs="Calibri"/>
          <w:bCs/>
          <w:iCs/>
          <w:lang w:eastAsia="pl-PL"/>
        </w:rPr>
      </w:pPr>
      <w:r w:rsidRPr="002B2BE2">
        <w:rPr>
          <w:rFonts w:ascii="Calibri" w:eastAsia="Times New Roman" w:hAnsi="Calibri" w:cs="Calibri"/>
          <w:bCs/>
          <w:iCs/>
          <w:lang w:eastAsia="pl-PL"/>
        </w:rPr>
        <w:t xml:space="preserve">Były to prace takie jak: sprzątanie terenów zewnętrznych na terenie Dzielnicy Ochota. </w:t>
      </w:r>
    </w:p>
    <w:p w14:paraId="55EDC339" w14:textId="77777777" w:rsidR="009518C1" w:rsidRPr="002B2BE2" w:rsidRDefault="009518C1" w:rsidP="00232E65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highlight w:val="yellow"/>
          <w:lang w:eastAsia="pl-PL"/>
        </w:rPr>
      </w:pPr>
    </w:p>
    <w:p w14:paraId="1D6744D7" w14:textId="13CFEBD6" w:rsidR="008F0FFF" w:rsidRPr="002B2BE2" w:rsidRDefault="009518C1" w:rsidP="004F145B">
      <w:pPr>
        <w:pStyle w:val="Akapitzlist"/>
        <w:numPr>
          <w:ilvl w:val="1"/>
          <w:numId w:val="7"/>
        </w:numPr>
        <w:spacing w:after="0" w:line="24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 xml:space="preserve">Pozostałe, w tym obniżki czynszu, dodatki </w:t>
      </w:r>
      <w:r w:rsidR="00BD1103" w:rsidRPr="002B2BE2">
        <w:rPr>
          <w:rFonts w:eastAsia="Times New Roman" w:cstheme="minorHAnsi"/>
          <w:b/>
          <w:bCs/>
          <w:lang w:eastAsia="pl-PL"/>
        </w:rPr>
        <w:t>mieszkaniowe (</w:t>
      </w:r>
      <w:r w:rsidR="0020530A" w:rsidRPr="002B2BE2">
        <w:rPr>
          <w:rFonts w:eastAsia="Times New Roman" w:cstheme="minorHAnsi"/>
          <w:b/>
          <w:bCs/>
          <w:lang w:eastAsia="pl-PL"/>
        </w:rPr>
        <w:t>opis, liczba gospodarstw korzystających, kwoty</w:t>
      </w:r>
      <w:r w:rsidRPr="002B2BE2">
        <w:rPr>
          <w:rFonts w:eastAsia="Times New Roman" w:cstheme="minorHAnsi"/>
          <w:b/>
          <w:bCs/>
          <w:lang w:eastAsia="pl-PL"/>
        </w:rPr>
        <w:t xml:space="preserve"> itp.</w:t>
      </w:r>
      <w:r w:rsidR="0020530A" w:rsidRPr="002B2BE2">
        <w:rPr>
          <w:rFonts w:eastAsia="Times New Roman" w:cstheme="minorHAnsi"/>
          <w:b/>
          <w:bCs/>
          <w:lang w:eastAsia="pl-PL"/>
        </w:rPr>
        <w:t>)</w:t>
      </w:r>
    </w:p>
    <w:p w14:paraId="3667F43D" w14:textId="23FEC951" w:rsidR="001240A0" w:rsidRPr="002B2BE2" w:rsidRDefault="001240A0" w:rsidP="00B03CED">
      <w:pPr>
        <w:spacing w:after="0" w:line="240" w:lineRule="auto"/>
        <w:rPr>
          <w:rFonts w:eastAsia="Times New Roman" w:cstheme="minorHAnsi"/>
          <w:b/>
          <w:bCs/>
          <w:highlight w:val="yellow"/>
          <w:lang w:eastAsia="pl-PL"/>
        </w:rPr>
      </w:pPr>
    </w:p>
    <w:p w14:paraId="1DE0E684" w14:textId="77777777" w:rsidR="00AC6AE3" w:rsidRPr="002B2BE2" w:rsidRDefault="00AC6AE3" w:rsidP="00FA31E9">
      <w:pPr>
        <w:pStyle w:val="Akapitzlist"/>
        <w:numPr>
          <w:ilvl w:val="0"/>
          <w:numId w:val="16"/>
        </w:numPr>
        <w:spacing w:after="0" w:line="300" w:lineRule="auto"/>
        <w:rPr>
          <w:rFonts w:eastAsia="Times New Roman" w:cs="Calibri"/>
          <w:lang w:eastAsia="pl-PL"/>
        </w:rPr>
      </w:pPr>
      <w:r w:rsidRPr="002B2BE2">
        <w:rPr>
          <w:rFonts w:eastAsia="Times New Roman" w:cs="Calibri"/>
          <w:lang w:eastAsia="pl-PL"/>
        </w:rPr>
        <w:t>Dodatek mieszkaniowy, dodatek energetyczny 4 458 szt., średniomiesięczna ilość 371  szt. na kwotę 1 665 553,04 zł,</w:t>
      </w:r>
    </w:p>
    <w:p w14:paraId="57F815A4" w14:textId="77777777" w:rsidR="00AC6AE3" w:rsidRPr="002B2BE2" w:rsidRDefault="00AC6AE3" w:rsidP="00FA31E9">
      <w:pPr>
        <w:pStyle w:val="Akapitzlist"/>
        <w:numPr>
          <w:ilvl w:val="0"/>
          <w:numId w:val="16"/>
        </w:numPr>
        <w:spacing w:after="0" w:line="300" w:lineRule="auto"/>
        <w:rPr>
          <w:rFonts w:eastAsia="Times New Roman" w:cs="Calibri"/>
          <w:lang w:eastAsia="pl-PL"/>
        </w:rPr>
      </w:pPr>
      <w:r w:rsidRPr="002B2BE2">
        <w:rPr>
          <w:rFonts w:eastAsia="Times New Roman" w:cs="Calibri"/>
          <w:lang w:eastAsia="pl-PL"/>
        </w:rPr>
        <w:t>Obniżka czynszu z uwagi na niskie dochody: 573 szt., na kwotę 797 279,72 zł,</w:t>
      </w:r>
    </w:p>
    <w:p w14:paraId="63631D8D" w14:textId="77777777" w:rsidR="00AC6AE3" w:rsidRPr="002B2BE2" w:rsidRDefault="00AC6AE3" w:rsidP="00FA31E9">
      <w:pPr>
        <w:pStyle w:val="Akapitzlist"/>
        <w:numPr>
          <w:ilvl w:val="0"/>
          <w:numId w:val="16"/>
        </w:numPr>
        <w:spacing w:after="120" w:line="300" w:lineRule="auto"/>
        <w:ind w:left="1066" w:hanging="357"/>
        <w:contextualSpacing w:val="0"/>
        <w:rPr>
          <w:rFonts w:eastAsia="Times New Roman" w:cs="Calibri"/>
          <w:lang w:eastAsia="pl-PL"/>
        </w:rPr>
      </w:pPr>
      <w:r w:rsidRPr="002B2BE2">
        <w:rPr>
          <w:rFonts w:eastAsia="Times New Roman" w:cs="Calibri"/>
          <w:lang w:eastAsia="pl-PL"/>
        </w:rPr>
        <w:t>Obniżka czynszu z uwagi na stan techniczny: 1283 szt. ze średniomiesięczną kwotą   60 025,72 zł.</w:t>
      </w:r>
    </w:p>
    <w:p w14:paraId="37F991C0" w14:textId="6AFCD738" w:rsidR="00E12117" w:rsidRPr="002B2BE2" w:rsidRDefault="00E12117" w:rsidP="00705A9E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Nadzór właścicielski (obsługa Wspólnot Mieszkaniowych)</w:t>
      </w:r>
    </w:p>
    <w:p w14:paraId="0805891A" w14:textId="4C589AF3" w:rsidR="0004273D" w:rsidRPr="002B2BE2" w:rsidRDefault="0055212F" w:rsidP="00705A9E">
      <w:pPr>
        <w:pStyle w:val="Akapitzlist"/>
        <w:numPr>
          <w:ilvl w:val="2"/>
          <w:numId w:val="7"/>
        </w:numPr>
        <w:spacing w:after="120" w:line="240" w:lineRule="auto"/>
        <w:ind w:left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Informacje o zebraniach wspólnot mieszkaniowych</w:t>
      </w:r>
    </w:p>
    <w:p w14:paraId="26E0C82A" w14:textId="6B4AECE3" w:rsidR="00DE6D6B" w:rsidRPr="002B2BE2" w:rsidRDefault="00AC6AE3" w:rsidP="00757273">
      <w:pPr>
        <w:spacing w:after="120" w:line="300" w:lineRule="auto"/>
        <w:ind w:left="709"/>
        <w:rPr>
          <w:rFonts w:eastAsia="Times New Roman" w:cstheme="minorHAnsi"/>
          <w:bCs/>
          <w:lang w:eastAsia="pl-PL"/>
        </w:rPr>
      </w:pPr>
      <w:bookmarkStart w:id="19" w:name="_Hlk130373745"/>
      <w:r w:rsidRPr="002B2BE2">
        <w:rPr>
          <w:rFonts w:ascii="Calibri" w:eastAsia="Times New Roman" w:hAnsi="Calibri" w:cs="Calibri"/>
          <w:lang w:eastAsia="pl-PL"/>
        </w:rPr>
        <w:t>Na dzień 31.12.2024 r. m.st. Warszawa posiadało udziały w 345 wspólnotach mieszkaniowych znajdujących się na terenie Dzielnicy Ochota. Zakład Gospodarowania Nieruchomościami w Dzielnicy Ochota nie posiada ,,etatowych” pracowników (pełnomocników) do obsługi wspólnot mieszkaniowych i do reprezentowania w nich m.st. Warszawy. Na podstawie udzielonych pełnomocnictw - zadania te były realizowane przez 8 pracowników Zakładu Gospodarowania Nieruchomościami w Dzielnicy Ochota, którzy na co dzień realizowali inne obowiązki z zakresu zarządzania zasobem (lokalami mieszkalnymi, użytkowymi, garażami itp.). W ramach posiadanych możliwości, osoby te uczestniczą w zebraniach, w których udział miasta przekracza 25%, lub gdy na zebraniach głosowane są uchwały istotne z punktu interesu miasta. Ilość zebrań w okresie sprawozdawczym przypadająca na jednego pracownika wyniosła średnio 30. Razem w roku 2024 pracownicy uczestniczyli w trybie stacjonarnym w 240 zebraniach wspólnot mieszkaniowych z udziałem miasta. W pozostałych przypadkach prawo i obowiązek współdziałania w zarządzie nieruchomością wspólną realizowane było poprzez oddawanie głosów w trybie indywidualnego ich zbierania</w:t>
      </w:r>
    </w:p>
    <w:p w14:paraId="754FC74F" w14:textId="2FECBD34" w:rsidR="00DE6D6B" w:rsidRPr="002B2BE2" w:rsidRDefault="00DE6D6B" w:rsidP="00705A9E">
      <w:pPr>
        <w:pStyle w:val="Akapitzlist"/>
        <w:numPr>
          <w:ilvl w:val="2"/>
          <w:numId w:val="8"/>
        </w:numPr>
        <w:spacing w:after="12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Informacje o działaniach pełnomocników m.st. Warszawy</w:t>
      </w:r>
    </w:p>
    <w:p w14:paraId="60CC3E58" w14:textId="77777777" w:rsidR="00757273" w:rsidRPr="002B2BE2" w:rsidRDefault="00757273" w:rsidP="00757273">
      <w:pPr>
        <w:spacing w:after="0" w:line="300" w:lineRule="auto"/>
        <w:ind w:left="601"/>
        <w:rPr>
          <w:rFonts w:eastAsia="Times New Roman" w:cs="Calibri"/>
          <w:bCs/>
          <w:lang w:eastAsia="pl-PL"/>
        </w:rPr>
      </w:pPr>
      <w:r w:rsidRPr="002B2BE2">
        <w:rPr>
          <w:rFonts w:eastAsia="Times New Roman" w:cs="Calibri"/>
          <w:bCs/>
          <w:lang w:eastAsia="pl-PL"/>
        </w:rPr>
        <w:t xml:space="preserve">W 2024 r. Zakład Gospodarowania Nieruchomościami w Dzielnicy Ochota w dalszym ciągu nie posiadał zatrudnionych osób pełniących funkcje pełnomocnika m.st. Warszawy we wspólnotach mieszkaniowych. Na zebraniach wspólnot mieszkaniowych, m.st. Warszawa </w:t>
      </w:r>
      <w:r w:rsidRPr="002B2BE2">
        <w:rPr>
          <w:rFonts w:eastAsia="Times New Roman" w:cs="Calibri"/>
          <w:bCs/>
          <w:lang w:eastAsia="pl-PL"/>
        </w:rPr>
        <w:lastRenderedPageBreak/>
        <w:t>reprezentowane było przez pracowników Zakładu, na bieżąco wykonujących inne zadania            nie związane z funkcjonowaniem wspólnot mieszkaniowych.</w:t>
      </w:r>
    </w:p>
    <w:p w14:paraId="0DEDC968" w14:textId="77777777" w:rsidR="00E646AD" w:rsidRPr="002B2BE2" w:rsidRDefault="00E646AD" w:rsidP="00705A9E">
      <w:pPr>
        <w:spacing w:after="0" w:line="240" w:lineRule="auto"/>
        <w:rPr>
          <w:rFonts w:eastAsia="Times New Roman" w:cs="Calibri"/>
          <w:bCs/>
          <w:sz w:val="24"/>
          <w:szCs w:val="24"/>
          <w:highlight w:val="yellow"/>
          <w:lang w:eastAsia="pl-PL"/>
        </w:rPr>
      </w:pPr>
    </w:p>
    <w:bookmarkEnd w:id="19"/>
    <w:p w14:paraId="319875E8" w14:textId="7B6E2BB2" w:rsidR="000F26F8" w:rsidRPr="002B2BE2" w:rsidRDefault="00E12117" w:rsidP="004F145B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Dane techniczne</w:t>
      </w:r>
    </w:p>
    <w:p w14:paraId="40F013BB" w14:textId="77777777" w:rsidR="004C2F7A" w:rsidRPr="002B2BE2" w:rsidRDefault="0055212F" w:rsidP="004F145B">
      <w:pPr>
        <w:pStyle w:val="Akapitzlist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Remonty, konserwacje</w:t>
      </w:r>
      <w:r w:rsidR="002044C2" w:rsidRPr="002B2BE2">
        <w:rPr>
          <w:rFonts w:eastAsia="Times New Roman" w:cstheme="minorHAnsi"/>
          <w:b/>
          <w:bCs/>
          <w:lang w:eastAsia="pl-PL"/>
        </w:rPr>
        <w:t>, mo</w:t>
      </w:r>
      <w:r w:rsidR="00CD7FD7" w:rsidRPr="002B2BE2">
        <w:rPr>
          <w:rFonts w:eastAsia="Times New Roman" w:cstheme="minorHAnsi"/>
          <w:b/>
          <w:bCs/>
          <w:lang w:eastAsia="pl-PL"/>
        </w:rPr>
        <w:t>dernizacje zasobu gminnego.</w:t>
      </w:r>
    </w:p>
    <w:p w14:paraId="5531CD97" w14:textId="77777777" w:rsidR="003229F9" w:rsidRPr="002B2BE2" w:rsidRDefault="003229F9" w:rsidP="005E0D53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72A8FFD5" w14:textId="3787BA42" w:rsidR="005F3DA0" w:rsidRPr="002B2BE2" w:rsidRDefault="00EA35DD" w:rsidP="00E0528B">
      <w:pPr>
        <w:spacing w:after="120" w:line="30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Informacje dotyczące</w:t>
      </w:r>
      <w:r w:rsidR="00E0528B" w:rsidRPr="002B2BE2">
        <w:rPr>
          <w:rFonts w:eastAsia="Times New Roman" w:cstheme="minorHAnsi"/>
          <w:bCs/>
          <w:lang w:eastAsia="pl-PL"/>
        </w:rPr>
        <w:t xml:space="preserve"> </w:t>
      </w:r>
      <w:r w:rsidRPr="002B2BE2">
        <w:rPr>
          <w:rFonts w:eastAsia="Times New Roman" w:cstheme="minorHAnsi"/>
          <w:bCs/>
          <w:lang w:eastAsia="pl-PL"/>
        </w:rPr>
        <w:t>remontów, konserwacji i modernizacji zasobu przedstawia tabela nr 18</w:t>
      </w:r>
      <w:r w:rsidR="00FE029B" w:rsidRPr="002B2BE2">
        <w:rPr>
          <w:rFonts w:eastAsia="Times New Roman" w:cstheme="minorHAnsi"/>
          <w:bCs/>
          <w:lang w:eastAsia="pl-PL"/>
        </w:rPr>
        <w:t>,</w:t>
      </w:r>
    </w:p>
    <w:p w14:paraId="23CA7ABB" w14:textId="77777777" w:rsidR="00E76B50" w:rsidRPr="002B2BE2" w:rsidRDefault="00E76B50" w:rsidP="00AB50B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bookmarkStart w:id="20" w:name="_MON_1636264270"/>
    <w:bookmarkEnd w:id="20"/>
    <w:p w14:paraId="68DA36B7" w14:textId="2B5E4E88" w:rsidR="002F0A20" w:rsidRPr="002B2BE2" w:rsidRDefault="00C000D8" w:rsidP="002F0A20">
      <w:pPr>
        <w:spacing w:after="0" w:line="240" w:lineRule="auto"/>
        <w:ind w:right="141"/>
        <w:rPr>
          <w:rFonts w:cstheme="minorHAnsi"/>
          <w:sz w:val="24"/>
          <w:szCs w:val="24"/>
          <w:lang w:eastAsia="pl-PL"/>
        </w:rPr>
      </w:pPr>
      <w:r w:rsidRPr="002B2BE2">
        <w:rPr>
          <w:rFonts w:cstheme="minorHAnsi"/>
          <w:sz w:val="24"/>
          <w:szCs w:val="24"/>
          <w:lang w:eastAsia="pl-PL"/>
        </w:rPr>
        <w:object w:dxaOrig="10115" w:dyaOrig="13719" w14:anchorId="2A49914D">
          <v:shape id="_x0000_i1036" type="#_x0000_t75" style="width:468.75pt;height:669.75pt" o:ole="">
            <v:imagedata r:id="rId31" o:title=""/>
          </v:shape>
          <o:OLEObject Type="Embed" ProgID="Excel.Sheet.12" ShapeID="_x0000_i1036" DrawAspect="Content" ObjectID="_1805783756" r:id="rId32"/>
        </w:object>
      </w:r>
    </w:p>
    <w:p w14:paraId="289840C5" w14:textId="77777777" w:rsidR="00DD7820" w:rsidRPr="002B2BE2" w:rsidRDefault="00DD7820" w:rsidP="002F0A20">
      <w:pPr>
        <w:spacing w:after="0" w:line="240" w:lineRule="auto"/>
        <w:ind w:right="141"/>
        <w:rPr>
          <w:rFonts w:cstheme="minorHAnsi"/>
          <w:i/>
          <w:iCs/>
          <w:sz w:val="20"/>
          <w:szCs w:val="20"/>
          <w:highlight w:val="yellow"/>
          <w:lang w:eastAsia="pl-PL"/>
        </w:rPr>
      </w:pPr>
    </w:p>
    <w:p w14:paraId="0211905E" w14:textId="77777777" w:rsidR="0053024B" w:rsidRDefault="0053024B" w:rsidP="0053024B">
      <w:pPr>
        <w:spacing w:after="0" w:line="240" w:lineRule="auto"/>
        <w:ind w:right="141"/>
        <w:rPr>
          <w:rFonts w:cstheme="minorHAnsi"/>
          <w:u w:val="single"/>
          <w:lang w:eastAsia="pl-PL"/>
        </w:rPr>
      </w:pPr>
    </w:p>
    <w:p w14:paraId="7844A778" w14:textId="77777777" w:rsidR="00035A82" w:rsidRDefault="00035A82" w:rsidP="0053024B">
      <w:pPr>
        <w:spacing w:after="0" w:line="240" w:lineRule="auto"/>
        <w:ind w:right="141"/>
        <w:rPr>
          <w:rFonts w:cstheme="minorHAnsi"/>
          <w:u w:val="single"/>
          <w:lang w:eastAsia="pl-PL"/>
        </w:rPr>
      </w:pPr>
    </w:p>
    <w:p w14:paraId="44B593B9" w14:textId="77777777" w:rsidR="00035A82" w:rsidRPr="002B2BE2" w:rsidRDefault="00035A82" w:rsidP="0053024B">
      <w:pPr>
        <w:spacing w:after="0" w:line="240" w:lineRule="auto"/>
        <w:ind w:right="141"/>
        <w:rPr>
          <w:rFonts w:cstheme="minorHAnsi"/>
          <w:u w:val="single"/>
          <w:lang w:eastAsia="pl-PL"/>
        </w:rPr>
      </w:pPr>
    </w:p>
    <w:p w14:paraId="2B0EF907" w14:textId="30CB4B39" w:rsidR="0053024B" w:rsidRPr="002B2BE2" w:rsidRDefault="0053024B" w:rsidP="0053024B">
      <w:pPr>
        <w:spacing w:after="120" w:line="300" w:lineRule="auto"/>
        <w:ind w:right="142"/>
        <w:rPr>
          <w:rFonts w:cstheme="minorHAnsi"/>
          <w:u w:val="single"/>
          <w:lang w:eastAsia="pl-PL"/>
        </w:rPr>
      </w:pPr>
      <w:r w:rsidRPr="002B2BE2">
        <w:rPr>
          <w:rFonts w:cstheme="minorHAnsi"/>
          <w:u w:val="single"/>
          <w:lang w:eastAsia="pl-PL"/>
        </w:rPr>
        <w:lastRenderedPageBreak/>
        <w:t>Wymiana drzwi lokalowych, wejściowych, typowych jednoskrzydłowych do lokali mieszkalnych:</w:t>
      </w:r>
    </w:p>
    <w:p w14:paraId="21F3FB02" w14:textId="6924772C" w:rsidR="0053024B" w:rsidRPr="002B2BE2" w:rsidRDefault="0053024B" w:rsidP="0053024B">
      <w:pPr>
        <w:spacing w:after="0" w:line="300" w:lineRule="auto"/>
        <w:ind w:right="141"/>
        <w:rPr>
          <w:rFonts w:cstheme="minorHAnsi"/>
          <w:lang w:eastAsia="pl-PL"/>
        </w:rPr>
      </w:pPr>
      <w:r w:rsidRPr="002B2BE2">
        <w:rPr>
          <w:rFonts w:cstheme="minorHAnsi"/>
          <w:lang w:eastAsia="pl-PL"/>
        </w:rPr>
        <w:t xml:space="preserve">W 2024 roku wymieniono drzwi wejściowe do 43 lokali mieszkalnych na ogólną kwotę 205 768,73 zł </w:t>
      </w:r>
    </w:p>
    <w:p w14:paraId="59EB4912" w14:textId="3CA68230" w:rsidR="00D35B1D" w:rsidRPr="002B2BE2" w:rsidRDefault="0053024B" w:rsidP="0053024B">
      <w:pPr>
        <w:spacing w:after="0" w:line="300" w:lineRule="auto"/>
        <w:ind w:right="141"/>
        <w:rPr>
          <w:rFonts w:cstheme="minorHAnsi"/>
          <w:lang w:eastAsia="pl-PL"/>
        </w:rPr>
      </w:pPr>
      <w:r w:rsidRPr="002B2BE2">
        <w:rPr>
          <w:rFonts w:cstheme="minorHAnsi"/>
          <w:lang w:eastAsia="pl-PL"/>
        </w:rPr>
        <w:t>Wymieniono 2 szt. drzwi (witryny) na klatkę schodową w budynku na kwotę 56 925,06 zł.</w:t>
      </w:r>
    </w:p>
    <w:p w14:paraId="7330C38F" w14:textId="77777777" w:rsidR="0053024B" w:rsidRPr="002B2BE2" w:rsidRDefault="0053024B" w:rsidP="0053024B">
      <w:pPr>
        <w:spacing w:after="0" w:line="240" w:lineRule="auto"/>
        <w:ind w:right="141"/>
        <w:rPr>
          <w:rFonts w:cstheme="minorHAnsi"/>
          <w:highlight w:val="yellow"/>
          <w:lang w:eastAsia="pl-PL"/>
        </w:rPr>
      </w:pPr>
    </w:p>
    <w:p w14:paraId="5BDDCEEC" w14:textId="77777777" w:rsidR="007439EB" w:rsidRPr="002B2BE2" w:rsidRDefault="002044C2" w:rsidP="004F145B">
      <w:pPr>
        <w:pStyle w:val="Akapitzlist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Likwidacja pieców na paliwo stałe:</w:t>
      </w:r>
    </w:p>
    <w:p w14:paraId="67582ACB" w14:textId="77777777" w:rsidR="0060621F" w:rsidRPr="002B2BE2" w:rsidRDefault="0060621F" w:rsidP="0060621F">
      <w:pPr>
        <w:pStyle w:val="Akapitzlist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7912441" w14:textId="77777777" w:rsidR="00DE6D6B" w:rsidRPr="002B2BE2" w:rsidRDefault="00DE6D6B" w:rsidP="00DE6D6B">
      <w:pPr>
        <w:pStyle w:val="Akapitzlist"/>
        <w:spacing w:after="0" w:line="240" w:lineRule="auto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Informacje dotyczące likwidacji pieców na paliwo stałe przedstawia tabela nr 19.</w:t>
      </w:r>
    </w:p>
    <w:p w14:paraId="1628C17C" w14:textId="77777777" w:rsidR="00DE6D6B" w:rsidRPr="002B2BE2" w:rsidRDefault="00DE6D6B" w:rsidP="00DE6D6B">
      <w:pPr>
        <w:pStyle w:val="Akapitzlist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W w:w="8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167"/>
        <w:gridCol w:w="1270"/>
        <w:gridCol w:w="960"/>
        <w:gridCol w:w="996"/>
        <w:gridCol w:w="1051"/>
        <w:gridCol w:w="2029"/>
      </w:tblGrid>
      <w:tr w:rsidR="002B2BE2" w:rsidRPr="002B2BE2" w14:paraId="16C44AAE" w14:textId="77777777" w:rsidTr="00C33F41">
        <w:trPr>
          <w:trHeight w:val="307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CDE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Tabela nr 19. Likwidacja pieców na paliwo stałe w danym roku sprawozdawczym w komunalnych lokalach mieszkalnych</w:t>
            </w:r>
          </w:p>
        </w:tc>
      </w:tr>
      <w:tr w:rsidR="002B2BE2" w:rsidRPr="002B2BE2" w14:paraId="67D58D41" w14:textId="77777777" w:rsidTr="00C33F41">
        <w:trPr>
          <w:trHeight w:val="675"/>
        </w:trPr>
        <w:tc>
          <w:tcPr>
            <w:tcW w:w="6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BA60" w14:textId="44F0294E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lokali </w:t>
            </w:r>
            <w:r w:rsidRPr="002B2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wyposażonych </w:t>
            </w: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piece na paliwo stałe ogółem na dzień 01.01.202</w:t>
            </w:r>
            <w:r w:rsidR="00DD7820"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 sprawozdawczego: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B17" w14:textId="1E6E5617" w:rsidR="00DE6D6B" w:rsidRPr="002B2BE2" w:rsidRDefault="00DD7820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2B2BE2" w:rsidRPr="002B2BE2" w14:paraId="35446178" w14:textId="77777777" w:rsidTr="00C33F41">
        <w:trPr>
          <w:trHeight w:val="307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F6E5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likwidacji na:</w:t>
            </w:r>
          </w:p>
        </w:tc>
      </w:tr>
      <w:tr w:rsidR="002B2BE2" w:rsidRPr="002B2BE2" w14:paraId="213E0D68" w14:textId="77777777" w:rsidTr="00C33F41">
        <w:trPr>
          <w:trHeight w:val="9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DDD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ogrzewanie z sieci ciepłowniczej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5E3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ogrzewanie gazowe kotłownie/ etażowe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DB1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ogrzewanie elektryczne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366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(OZE)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2E2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ekoprojekt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858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lokal opróżniony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58E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łączna liczba lokali, w których dokonano likwidacji </w:t>
            </w:r>
          </w:p>
        </w:tc>
      </w:tr>
      <w:tr w:rsidR="002B2BE2" w:rsidRPr="002B2BE2" w14:paraId="703AEE42" w14:textId="77777777" w:rsidTr="00C33F41">
        <w:trPr>
          <w:trHeight w:val="44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9EF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C6C8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224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6F7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D2E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A8B" w14:textId="77777777" w:rsidR="00DE6D6B" w:rsidRPr="002B2BE2" w:rsidRDefault="00DE6D6B" w:rsidP="00C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1A6" w14:textId="77777777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2B2BE2" w:rsidRPr="002B2BE2" w14:paraId="04BC4A76" w14:textId="77777777" w:rsidTr="00C33F41">
        <w:trPr>
          <w:trHeight w:val="521"/>
        </w:trPr>
        <w:tc>
          <w:tcPr>
            <w:tcW w:w="6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35BD4" w14:textId="20651820" w:rsidR="00DE6D6B" w:rsidRPr="002B2BE2" w:rsidRDefault="00DE6D6B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2B2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pozostałych </w:t>
            </w: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pieców na paliwo stałe ogółem na dzień 31.12.202</w:t>
            </w:r>
            <w:r w:rsidR="00E27AEA"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 sprawozdawczego: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59E" w14:textId="5B11E3C1" w:rsidR="00DE6D6B" w:rsidRPr="002B2BE2" w:rsidRDefault="00DD7820" w:rsidP="00C3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01A421C9" w14:textId="18A62ECC" w:rsidR="00FB37D3" w:rsidRPr="002B2BE2" w:rsidRDefault="004A2681" w:rsidP="005E0D53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2B2BE2">
        <w:rPr>
          <w:rFonts w:cstheme="minorHAnsi"/>
          <w:b/>
          <w:sz w:val="24"/>
          <w:szCs w:val="24"/>
          <w:highlight w:val="yellow"/>
          <w:lang w:eastAsia="pl-PL"/>
        </w:rPr>
        <w:fldChar w:fldCharType="begin"/>
      </w:r>
      <w:r w:rsidRPr="002B2BE2">
        <w:rPr>
          <w:rFonts w:cstheme="minorHAnsi"/>
          <w:b/>
          <w:sz w:val="24"/>
          <w:szCs w:val="24"/>
          <w:highlight w:val="yellow"/>
          <w:lang w:eastAsia="pl-PL"/>
        </w:rPr>
        <w:instrText xml:space="preserve"> LINK </w:instrText>
      </w:r>
      <w:r w:rsidR="00FB37D3" w:rsidRPr="002B2BE2">
        <w:rPr>
          <w:rFonts w:cstheme="minorHAnsi"/>
          <w:b/>
          <w:sz w:val="24"/>
          <w:szCs w:val="24"/>
          <w:highlight w:val="yellow"/>
          <w:lang w:eastAsia="pl-PL"/>
        </w:rPr>
        <w:instrText xml:space="preserve">Excel.Sheet.12 "C:\\Users\\naduszkiewicz\\Desktop\\tab 8.xlsx" "tab 18!W1K1:W5K6" </w:instrText>
      </w:r>
      <w:r w:rsidRPr="002B2BE2">
        <w:rPr>
          <w:rFonts w:cstheme="minorHAnsi"/>
          <w:b/>
          <w:sz w:val="24"/>
          <w:szCs w:val="24"/>
          <w:highlight w:val="yellow"/>
          <w:lang w:eastAsia="pl-PL"/>
        </w:rPr>
        <w:instrText xml:space="preserve">\a \f 4 \h </w:instrText>
      </w:r>
      <w:r w:rsidR="008C19CC" w:rsidRPr="002B2BE2">
        <w:rPr>
          <w:rFonts w:cstheme="minorHAnsi"/>
          <w:b/>
          <w:sz w:val="24"/>
          <w:szCs w:val="24"/>
          <w:highlight w:val="yellow"/>
          <w:lang w:eastAsia="pl-PL"/>
        </w:rPr>
        <w:instrText xml:space="preserve"> \* MERGEFORMAT </w:instrText>
      </w:r>
      <w:r w:rsidRPr="002B2BE2">
        <w:rPr>
          <w:rFonts w:cstheme="minorHAnsi"/>
          <w:b/>
          <w:sz w:val="24"/>
          <w:szCs w:val="24"/>
          <w:highlight w:val="yellow"/>
          <w:lang w:eastAsia="pl-PL"/>
        </w:rPr>
        <w:fldChar w:fldCharType="separate"/>
      </w:r>
    </w:p>
    <w:p w14:paraId="10B0D558" w14:textId="77777777" w:rsidR="00C956BA" w:rsidRPr="002B2BE2" w:rsidRDefault="004A2681" w:rsidP="004F145B">
      <w:pPr>
        <w:pStyle w:val="Akapitzlist"/>
        <w:numPr>
          <w:ilvl w:val="2"/>
          <w:numId w:val="7"/>
        </w:numPr>
        <w:spacing w:after="120"/>
        <w:contextualSpacing w:val="0"/>
        <w:rPr>
          <w:rFonts w:cstheme="minorHAnsi"/>
          <w:b/>
          <w:lang w:eastAsia="pl-PL"/>
        </w:rPr>
      </w:pPr>
      <w:r w:rsidRPr="002B2BE2">
        <w:rPr>
          <w:rFonts w:cstheme="minorHAnsi"/>
          <w:b/>
          <w:sz w:val="24"/>
          <w:szCs w:val="24"/>
          <w:highlight w:val="yellow"/>
          <w:lang w:eastAsia="pl-PL"/>
        </w:rPr>
        <w:fldChar w:fldCharType="end"/>
      </w:r>
      <w:r w:rsidR="002044C2" w:rsidRPr="002B2BE2">
        <w:rPr>
          <w:rFonts w:cstheme="minorHAnsi"/>
          <w:b/>
          <w:lang w:eastAsia="pl-PL"/>
        </w:rPr>
        <w:t>Doposażenia w system grzewczy z sieci gazowej i ciepłowniczej</w:t>
      </w:r>
      <w:r w:rsidR="00147AEC" w:rsidRPr="002B2BE2">
        <w:rPr>
          <w:rFonts w:cstheme="minorHAnsi"/>
          <w:b/>
          <w:lang w:eastAsia="pl-PL"/>
        </w:rPr>
        <w:t>.</w:t>
      </w:r>
    </w:p>
    <w:p w14:paraId="2596E4FF" w14:textId="13D476FD" w:rsidR="00723E7B" w:rsidRPr="002B2BE2" w:rsidRDefault="00723E7B" w:rsidP="00E646AD">
      <w:pPr>
        <w:spacing w:after="0" w:line="300" w:lineRule="auto"/>
        <w:ind w:left="709"/>
        <w:rPr>
          <w:rFonts w:eastAsia="Times New Roman" w:cstheme="minorHAnsi"/>
          <w:bCs/>
          <w:iCs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>W 202</w:t>
      </w:r>
      <w:r w:rsidR="00D87299" w:rsidRPr="002B2BE2">
        <w:rPr>
          <w:rFonts w:eastAsia="Times New Roman" w:cstheme="minorHAnsi"/>
          <w:bCs/>
          <w:iCs/>
          <w:lang w:eastAsia="pl-PL"/>
        </w:rPr>
        <w:t>4</w:t>
      </w:r>
      <w:r w:rsidRPr="002B2BE2">
        <w:rPr>
          <w:rFonts w:eastAsia="Times New Roman" w:cstheme="minorHAnsi"/>
          <w:bCs/>
          <w:iCs/>
          <w:lang w:eastAsia="pl-PL"/>
        </w:rPr>
        <w:t xml:space="preserve"> r. nie były prowadzone przez </w:t>
      </w:r>
      <w:r w:rsidR="004A4C45" w:rsidRPr="002B2BE2">
        <w:rPr>
          <w:rFonts w:eastAsia="Times New Roman" w:cstheme="minorHAnsi"/>
          <w:bCs/>
          <w:iCs/>
          <w:lang w:eastAsia="pl-PL"/>
        </w:rPr>
        <w:t>Zakład Gospodarowania Nieruchomościami w Dzielnicy Ochota</w:t>
      </w:r>
      <w:r w:rsidR="00CF5AF0" w:rsidRPr="002B2BE2">
        <w:rPr>
          <w:rFonts w:eastAsia="Times New Roman" w:cstheme="minorHAnsi"/>
          <w:bCs/>
          <w:iCs/>
          <w:lang w:eastAsia="pl-PL"/>
        </w:rPr>
        <w:t xml:space="preserve"> </w:t>
      </w:r>
      <w:r w:rsidRPr="002B2BE2">
        <w:rPr>
          <w:rFonts w:eastAsia="Times New Roman" w:cstheme="minorHAnsi"/>
          <w:bCs/>
          <w:iCs/>
          <w:lang w:eastAsia="pl-PL"/>
        </w:rPr>
        <w:t>inwestycje dotyczące doposażenia budynków w systemy grzewcze jak wyżej.</w:t>
      </w:r>
    </w:p>
    <w:p w14:paraId="5E0D898F" w14:textId="77777777" w:rsidR="00327398" w:rsidRPr="002B2BE2" w:rsidRDefault="00327398" w:rsidP="001F3114">
      <w:pPr>
        <w:spacing w:after="0" w:line="240" w:lineRule="auto"/>
        <w:ind w:left="567"/>
        <w:rPr>
          <w:rFonts w:eastAsia="Times New Roman" w:cstheme="minorHAnsi"/>
          <w:bCs/>
          <w:i/>
          <w:highlight w:val="yellow"/>
          <w:lang w:eastAsia="pl-PL"/>
        </w:rPr>
      </w:pPr>
    </w:p>
    <w:p w14:paraId="48632D28" w14:textId="77777777" w:rsidR="004F6B2A" w:rsidRPr="002B2BE2" w:rsidRDefault="002044C2" w:rsidP="004F145B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Termomodernizacja budynków</w:t>
      </w:r>
      <w:r w:rsidR="00327398" w:rsidRPr="002B2BE2">
        <w:rPr>
          <w:rFonts w:eastAsia="Times New Roman" w:cstheme="minorHAnsi"/>
          <w:b/>
          <w:bCs/>
          <w:lang w:eastAsia="pl-PL"/>
        </w:rPr>
        <w:t xml:space="preserve"> częściowa i kompleksowa</w:t>
      </w:r>
      <w:r w:rsidR="0003108C" w:rsidRPr="002B2BE2">
        <w:rPr>
          <w:rFonts w:eastAsia="Times New Roman" w:cstheme="minorHAnsi"/>
          <w:b/>
          <w:bCs/>
          <w:lang w:eastAsia="pl-PL"/>
        </w:rPr>
        <w:t>:</w:t>
      </w:r>
    </w:p>
    <w:p w14:paraId="5F936A3E" w14:textId="3BCC1090" w:rsidR="001F3114" w:rsidRPr="002B2BE2" w:rsidRDefault="00D779AD" w:rsidP="00D779AD">
      <w:pPr>
        <w:pStyle w:val="Akapitzlist"/>
        <w:spacing w:after="120" w:line="30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>W 202</w:t>
      </w:r>
      <w:r w:rsidR="00D87299" w:rsidRPr="002B2BE2">
        <w:rPr>
          <w:rFonts w:eastAsia="Times New Roman" w:cstheme="minorHAnsi"/>
          <w:bCs/>
          <w:iCs/>
          <w:lang w:eastAsia="pl-PL"/>
        </w:rPr>
        <w:t>4</w:t>
      </w:r>
      <w:r w:rsidRPr="002B2BE2">
        <w:rPr>
          <w:rFonts w:eastAsia="Times New Roman" w:cstheme="minorHAnsi"/>
          <w:bCs/>
          <w:iCs/>
          <w:lang w:eastAsia="pl-PL"/>
        </w:rPr>
        <w:t xml:space="preserve"> nie prowadzono przez Zakład Gospodarowania Nieruchomościami w Dzielnicy Ochota  inwestycji polegających na termomodernizacji budynków.</w:t>
      </w:r>
    </w:p>
    <w:p w14:paraId="0D827F0B" w14:textId="519109C0" w:rsidR="00C628DC" w:rsidRPr="002B2BE2" w:rsidRDefault="002044C2" w:rsidP="004F145B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 xml:space="preserve">Rewitalizacja </w:t>
      </w:r>
      <w:r w:rsidR="00C956BA" w:rsidRPr="002B2BE2">
        <w:rPr>
          <w:rFonts w:eastAsia="Times New Roman" w:cstheme="minorHAnsi"/>
          <w:b/>
          <w:bCs/>
          <w:lang w:eastAsia="pl-PL"/>
        </w:rPr>
        <w:t>–</w:t>
      </w:r>
      <w:r w:rsidRPr="002B2BE2">
        <w:rPr>
          <w:rFonts w:eastAsia="Times New Roman" w:cstheme="minorHAnsi"/>
          <w:b/>
          <w:bCs/>
          <w:lang w:eastAsia="pl-PL"/>
        </w:rPr>
        <w:t xml:space="preserve"> kompleksowa</w:t>
      </w:r>
      <w:r w:rsidR="00C628DC" w:rsidRPr="002B2BE2">
        <w:rPr>
          <w:rFonts w:eastAsia="Times New Roman" w:cstheme="minorHAnsi"/>
          <w:b/>
          <w:bCs/>
          <w:lang w:eastAsia="pl-PL"/>
        </w:rPr>
        <w:t xml:space="preserve"> w ramach Programu </w:t>
      </w:r>
    </w:p>
    <w:p w14:paraId="1C422CA5" w14:textId="1EFF63AF" w:rsidR="003258B5" w:rsidRPr="002B2BE2" w:rsidRDefault="003258B5" w:rsidP="003258B5">
      <w:pPr>
        <w:pStyle w:val="Akapitzlist"/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>W 202</w:t>
      </w:r>
      <w:r w:rsidR="00D87299" w:rsidRPr="002B2BE2">
        <w:rPr>
          <w:rFonts w:eastAsia="Times New Roman" w:cstheme="minorHAnsi"/>
          <w:bCs/>
          <w:iCs/>
          <w:lang w:eastAsia="pl-PL"/>
        </w:rPr>
        <w:t>4</w:t>
      </w:r>
      <w:r w:rsidRPr="002B2BE2">
        <w:rPr>
          <w:rFonts w:eastAsia="Times New Roman" w:cstheme="minorHAnsi"/>
          <w:bCs/>
          <w:iCs/>
          <w:lang w:eastAsia="pl-PL"/>
        </w:rPr>
        <w:t xml:space="preserve"> r. nie były prowadzone przez Zakład Gospodarowania Nieruchomościami w Dzielnicy Ochota kompleksowe rewitalizacje.</w:t>
      </w:r>
    </w:p>
    <w:p w14:paraId="4E390D9D" w14:textId="77777777" w:rsidR="00D87299" w:rsidRPr="002B2BE2" w:rsidRDefault="00D87299" w:rsidP="00D8729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731"/>
        <w:gridCol w:w="2275"/>
        <w:gridCol w:w="5925"/>
      </w:tblGrid>
      <w:tr w:rsidR="002B2BE2" w:rsidRPr="002B2BE2" w14:paraId="1C42ACD4" w14:textId="77777777" w:rsidTr="00A6510E">
        <w:trPr>
          <w:trHeight w:val="395"/>
        </w:trPr>
        <w:tc>
          <w:tcPr>
            <w:tcW w:w="8931" w:type="dxa"/>
            <w:gridSpan w:val="3"/>
          </w:tcPr>
          <w:p w14:paraId="7DCC28B5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Tabela nr 20. Zadania inwestycyjne</w:t>
            </w:r>
          </w:p>
        </w:tc>
      </w:tr>
      <w:tr w:rsidR="002B2BE2" w:rsidRPr="002B2BE2" w14:paraId="2449AFB4" w14:textId="77777777" w:rsidTr="00D87299">
        <w:trPr>
          <w:trHeight w:val="576"/>
        </w:trPr>
        <w:tc>
          <w:tcPr>
            <w:tcW w:w="731" w:type="dxa"/>
          </w:tcPr>
          <w:p w14:paraId="44ED0B45" w14:textId="77777777" w:rsidR="00D87299" w:rsidRPr="002B2BE2" w:rsidRDefault="00D87299" w:rsidP="00A6510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75" w:type="dxa"/>
          </w:tcPr>
          <w:p w14:paraId="54D63021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 zadania inwestycyjnego</w:t>
            </w:r>
          </w:p>
        </w:tc>
        <w:tc>
          <w:tcPr>
            <w:tcW w:w="5925" w:type="dxa"/>
          </w:tcPr>
          <w:p w14:paraId="38014891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Zakres wykonanych prac – </w:t>
            </w:r>
            <w:r w:rsidRPr="002B2BE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syntetyczny opis na podstawie kart inwestycyjnych</w:t>
            </w:r>
          </w:p>
        </w:tc>
      </w:tr>
      <w:tr w:rsidR="002B2BE2" w:rsidRPr="002B2BE2" w14:paraId="3070765E" w14:textId="77777777" w:rsidTr="00D87299">
        <w:trPr>
          <w:trHeight w:val="358"/>
        </w:trPr>
        <w:tc>
          <w:tcPr>
            <w:tcW w:w="731" w:type="dxa"/>
          </w:tcPr>
          <w:p w14:paraId="39E65BBE" w14:textId="77777777" w:rsidR="00D87299" w:rsidRPr="002B2BE2" w:rsidRDefault="00D87299" w:rsidP="00A6510E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5" w:type="dxa"/>
          </w:tcPr>
          <w:p w14:paraId="555A4936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Targowisko Zieleniak Grójecka 97</w:t>
            </w:r>
          </w:p>
        </w:tc>
        <w:tc>
          <w:tcPr>
            <w:tcW w:w="5925" w:type="dxa"/>
          </w:tcPr>
          <w:p w14:paraId="03B77782" w14:textId="50E97AC3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Budowa zadaszenia na targowisku Zieleniak – 220 293,00 zł</w:t>
            </w:r>
            <w:r w:rsidR="003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dokumentacja projektowa</w:t>
            </w:r>
          </w:p>
        </w:tc>
      </w:tr>
      <w:tr w:rsidR="002B2BE2" w:rsidRPr="002B2BE2" w14:paraId="37503403" w14:textId="77777777" w:rsidTr="00D87299">
        <w:trPr>
          <w:trHeight w:val="358"/>
        </w:trPr>
        <w:tc>
          <w:tcPr>
            <w:tcW w:w="731" w:type="dxa"/>
          </w:tcPr>
          <w:p w14:paraId="6579BA34" w14:textId="77777777" w:rsidR="00D87299" w:rsidRPr="002B2BE2" w:rsidRDefault="00D87299" w:rsidP="00A6510E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5" w:type="dxa"/>
          </w:tcPr>
          <w:p w14:paraId="09E956BA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Targowisko Mołdawska</w:t>
            </w:r>
          </w:p>
        </w:tc>
        <w:tc>
          <w:tcPr>
            <w:tcW w:w="5925" w:type="dxa"/>
          </w:tcPr>
          <w:p w14:paraId="57B0DE62" w14:textId="388DD70C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Budowa przyłącza </w:t>
            </w:r>
            <w:proofErr w:type="spellStart"/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wod-kan</w:t>
            </w:r>
            <w:proofErr w:type="spellEnd"/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- 51660,00 zł</w:t>
            </w:r>
            <w:r w:rsidR="003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 dokumentacja projektowa</w:t>
            </w:r>
          </w:p>
        </w:tc>
      </w:tr>
      <w:tr w:rsidR="002B2BE2" w:rsidRPr="002B2BE2" w14:paraId="5ED4D275" w14:textId="77777777" w:rsidTr="00D87299">
        <w:trPr>
          <w:trHeight w:val="358"/>
        </w:trPr>
        <w:tc>
          <w:tcPr>
            <w:tcW w:w="731" w:type="dxa"/>
          </w:tcPr>
          <w:p w14:paraId="1AE82BD6" w14:textId="77777777" w:rsidR="00D87299" w:rsidRPr="002B2BE2" w:rsidRDefault="00D87299" w:rsidP="00A6510E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5" w:type="dxa"/>
          </w:tcPr>
          <w:p w14:paraId="57E674ED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Grójecka 47/51, Pasteura 6</w:t>
            </w:r>
          </w:p>
        </w:tc>
        <w:tc>
          <w:tcPr>
            <w:tcW w:w="5925" w:type="dxa"/>
          </w:tcPr>
          <w:p w14:paraId="3F208D2D" w14:textId="21F9C0C2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Modernizacja podwórek – 12 300,00 zł</w:t>
            </w:r>
            <w:r w:rsidR="003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 dokumentacja projektowa</w:t>
            </w:r>
          </w:p>
        </w:tc>
      </w:tr>
      <w:tr w:rsidR="00D87299" w:rsidRPr="002B2BE2" w14:paraId="5AEBB428" w14:textId="77777777" w:rsidTr="00D87299">
        <w:trPr>
          <w:trHeight w:val="358"/>
        </w:trPr>
        <w:tc>
          <w:tcPr>
            <w:tcW w:w="731" w:type="dxa"/>
          </w:tcPr>
          <w:p w14:paraId="259ACDEA" w14:textId="77777777" w:rsidR="00D87299" w:rsidRPr="002B2BE2" w:rsidRDefault="00D87299" w:rsidP="00A6510E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75" w:type="dxa"/>
          </w:tcPr>
          <w:p w14:paraId="3EDA43B4" w14:textId="77777777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Tarczyńska 1, ul. Tarczyńska 3 i 3A, Dunajecka 11</w:t>
            </w:r>
          </w:p>
        </w:tc>
        <w:tc>
          <w:tcPr>
            <w:tcW w:w="5925" w:type="dxa"/>
          </w:tcPr>
          <w:p w14:paraId="566424FC" w14:textId="551514F2" w:rsidR="00D87299" w:rsidRPr="002B2BE2" w:rsidRDefault="00D87299" w:rsidP="00A651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Doposażenie budynków – 18 000,00 zł</w:t>
            </w:r>
            <w:r w:rsidR="003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 dokumentacja projektowa</w:t>
            </w:r>
          </w:p>
        </w:tc>
      </w:tr>
    </w:tbl>
    <w:p w14:paraId="1F6B4FDB" w14:textId="77777777" w:rsidR="00D87299" w:rsidRPr="002B2BE2" w:rsidRDefault="00D87299" w:rsidP="00D87299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0BDC5569" w14:textId="77777777" w:rsidR="007757B0" w:rsidRPr="002B2BE2" w:rsidRDefault="007757B0" w:rsidP="00D87299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109C0D7E" w14:textId="77777777" w:rsidR="007757B0" w:rsidRDefault="007757B0" w:rsidP="00D87299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296B0A6A" w14:textId="77777777" w:rsidR="00035A82" w:rsidRDefault="00035A82" w:rsidP="00D87299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394F9479" w14:textId="77777777" w:rsidR="00035A82" w:rsidRPr="002B2BE2" w:rsidRDefault="00035A82" w:rsidP="00D87299">
      <w:pPr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0F040082" w14:textId="77777777" w:rsidR="003258B5" w:rsidRPr="002B2BE2" w:rsidRDefault="003258B5" w:rsidP="003258B5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</w:rPr>
      </w:pPr>
      <w:r w:rsidRPr="002B2BE2">
        <w:rPr>
          <w:rFonts w:eastAsia="Times New Roman" w:cstheme="minorHAnsi"/>
          <w:b/>
          <w:bCs/>
          <w:lang w:eastAsia="pl-PL"/>
        </w:rPr>
        <w:lastRenderedPageBreak/>
        <w:t>Windy – budowa, doposażenie</w:t>
      </w:r>
    </w:p>
    <w:p w14:paraId="101C88C7" w14:textId="72D0AE82" w:rsidR="00BF5DEC" w:rsidRPr="002B2BE2" w:rsidRDefault="00D87299" w:rsidP="007757B0">
      <w:pPr>
        <w:pStyle w:val="Akapitzlist"/>
        <w:spacing w:after="120" w:line="300" w:lineRule="auto"/>
        <w:ind w:left="709"/>
        <w:contextualSpacing w:val="0"/>
        <w:rPr>
          <w:rFonts w:eastAsia="Times New Roman" w:cstheme="minorHAnsi"/>
          <w:bCs/>
          <w:iCs/>
          <w:lang w:eastAsia="pl-PL"/>
        </w:rPr>
      </w:pPr>
      <w:r w:rsidRPr="002B2BE2">
        <w:rPr>
          <w:rFonts w:eastAsia="Times New Roman" w:cstheme="minorHAnsi"/>
          <w:bCs/>
          <w:iCs/>
          <w:lang w:eastAsia="pl-PL"/>
        </w:rPr>
        <w:t>W 2024 roku  Zakład Gospodarowania Nieruchomościami w Dzielnicy Ochota nie realizował zadań z budową wind.</w:t>
      </w:r>
    </w:p>
    <w:p w14:paraId="31B7EB39" w14:textId="77777777" w:rsidR="00BF5DEC" w:rsidRPr="002B2BE2" w:rsidRDefault="00BF5DEC" w:rsidP="00BF5DEC">
      <w:pPr>
        <w:pStyle w:val="Akapitzlist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</w:rPr>
      </w:pPr>
      <w:r w:rsidRPr="002B2BE2">
        <w:rPr>
          <w:rFonts w:eastAsia="Times New Roman" w:cstheme="minorHAnsi"/>
          <w:b/>
          <w:bCs/>
          <w:lang w:eastAsia="pl-PL"/>
        </w:rPr>
        <w:t>Stan realizacji innych zadań inwestycyjnych</w:t>
      </w:r>
    </w:p>
    <w:p w14:paraId="77C7B4A2" w14:textId="77777777" w:rsidR="00BF5DEC" w:rsidRPr="002B2BE2" w:rsidRDefault="00BF5DEC" w:rsidP="00BF5DEC">
      <w:pPr>
        <w:spacing w:after="0" w:line="240" w:lineRule="auto"/>
        <w:rPr>
          <w:rFonts w:eastAsia="Times New Roman" w:cstheme="minorHAnsi"/>
          <w:b/>
          <w:bCs/>
          <w:highlight w:val="yellow"/>
          <w:lang w:eastAsia="pl-PL"/>
        </w:rPr>
      </w:pPr>
      <w:r w:rsidRPr="002B2BE2">
        <w:rPr>
          <w:rFonts w:eastAsia="Times New Roman" w:cstheme="minorHAnsi"/>
          <w:b/>
          <w:bCs/>
          <w:highlight w:val="yellow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2B2BE2" w:rsidRPr="002B2BE2" w14:paraId="68D74774" w14:textId="77777777" w:rsidTr="00E319E1">
        <w:tc>
          <w:tcPr>
            <w:tcW w:w="562" w:type="dxa"/>
          </w:tcPr>
          <w:p w14:paraId="43699D44" w14:textId="77777777" w:rsidR="00BF5DEC" w:rsidRPr="002B2BE2" w:rsidRDefault="00BF5DEC" w:rsidP="00E319E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985" w:type="dxa"/>
          </w:tcPr>
          <w:p w14:paraId="45C321A1" w14:textId="77777777" w:rsidR="00BF5DEC" w:rsidRPr="002B2BE2" w:rsidRDefault="00BF5DEC" w:rsidP="00E319E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</w:t>
            </w:r>
          </w:p>
        </w:tc>
        <w:tc>
          <w:tcPr>
            <w:tcW w:w="6513" w:type="dxa"/>
          </w:tcPr>
          <w:p w14:paraId="69EDF4DA" w14:textId="77777777" w:rsidR="00BF5DEC" w:rsidRPr="002B2BE2" w:rsidRDefault="00BF5DEC" w:rsidP="00E319E1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 realizacji zadań inwestycyjnych w trakcie</w:t>
            </w:r>
          </w:p>
        </w:tc>
      </w:tr>
      <w:tr w:rsidR="002B2BE2" w:rsidRPr="002B2BE2" w14:paraId="4A34FDDC" w14:textId="77777777" w:rsidTr="00E319E1">
        <w:tc>
          <w:tcPr>
            <w:tcW w:w="562" w:type="dxa"/>
          </w:tcPr>
          <w:p w14:paraId="25DD1B70" w14:textId="77777777" w:rsidR="00BF5DEC" w:rsidRPr="002B2BE2" w:rsidRDefault="00BF5DEC" w:rsidP="00E319E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85" w:type="dxa"/>
          </w:tcPr>
          <w:p w14:paraId="2E72598D" w14:textId="60D84683" w:rsidR="00BF5DEC" w:rsidRPr="002B2BE2" w:rsidRDefault="0038742E" w:rsidP="00E3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513" w:type="dxa"/>
          </w:tcPr>
          <w:p w14:paraId="73E24319" w14:textId="3B018C18" w:rsidR="00BF5DEC" w:rsidRPr="002B2BE2" w:rsidRDefault="0038742E" w:rsidP="00E3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F5DEC" w:rsidRPr="002B2BE2" w14:paraId="69BCED47" w14:textId="77777777" w:rsidTr="00E319E1">
        <w:tc>
          <w:tcPr>
            <w:tcW w:w="562" w:type="dxa"/>
          </w:tcPr>
          <w:p w14:paraId="6DFBAA6D" w14:textId="77777777" w:rsidR="00BF5DEC" w:rsidRPr="002B2BE2" w:rsidRDefault="00BF5DEC" w:rsidP="00E319E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985" w:type="dxa"/>
          </w:tcPr>
          <w:p w14:paraId="6AC5F8B4" w14:textId="6415FFC1" w:rsidR="00BF5DEC" w:rsidRPr="002B2BE2" w:rsidRDefault="0038742E" w:rsidP="00E3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513" w:type="dxa"/>
          </w:tcPr>
          <w:p w14:paraId="47E2FAD1" w14:textId="45684DA9" w:rsidR="00BF5DEC" w:rsidRPr="002B2BE2" w:rsidRDefault="0038742E" w:rsidP="00E3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B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1B50F472" w14:textId="77777777" w:rsidR="001240A0" w:rsidRPr="002B2BE2" w:rsidRDefault="001240A0" w:rsidP="005E0D53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594BF49" w14:textId="0E92C8A3" w:rsidR="00C11992" w:rsidRPr="002B2BE2" w:rsidRDefault="00C11992" w:rsidP="007757B0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Decyzje organu nadzoru budowlanego wyda</w:t>
      </w:r>
      <w:r w:rsidR="00AF7DB5" w:rsidRPr="002B2BE2">
        <w:rPr>
          <w:rFonts w:eastAsia="Times New Roman" w:cstheme="minorHAnsi"/>
          <w:b/>
          <w:bCs/>
          <w:lang w:eastAsia="pl-PL"/>
        </w:rPr>
        <w:t>ne w danym roku (m.in. dot. wyłą</w:t>
      </w:r>
      <w:r w:rsidRPr="002B2BE2">
        <w:rPr>
          <w:rFonts w:eastAsia="Times New Roman" w:cstheme="minorHAnsi"/>
          <w:b/>
          <w:bCs/>
          <w:lang w:eastAsia="pl-PL"/>
        </w:rPr>
        <w:t xml:space="preserve">czeń z użytkowania)  </w:t>
      </w:r>
    </w:p>
    <w:p w14:paraId="49049398" w14:textId="3415261D" w:rsidR="00502DF7" w:rsidRPr="002B2BE2" w:rsidRDefault="008B459F" w:rsidP="007757B0">
      <w:pPr>
        <w:spacing w:after="120" w:line="240" w:lineRule="auto"/>
        <w:ind w:left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 xml:space="preserve">Decyzje organu nadzoru budowlanego zostały przedstawione w tabeli nr </w:t>
      </w:r>
      <w:r w:rsidR="00086EA0" w:rsidRPr="002B2BE2">
        <w:rPr>
          <w:rFonts w:eastAsia="Times New Roman" w:cstheme="minorHAnsi"/>
          <w:bCs/>
          <w:lang w:eastAsia="pl-PL"/>
        </w:rPr>
        <w:t>2</w:t>
      </w:r>
      <w:r w:rsidR="003F5261" w:rsidRPr="002B2BE2">
        <w:rPr>
          <w:rFonts w:eastAsia="Times New Roman" w:cstheme="minorHAnsi"/>
          <w:bCs/>
          <w:lang w:eastAsia="pl-PL"/>
        </w:rPr>
        <w:t>1</w:t>
      </w:r>
      <w:r w:rsidRPr="002B2BE2">
        <w:rPr>
          <w:rFonts w:eastAsia="Times New Roman" w:cstheme="minorHAnsi"/>
          <w:bCs/>
          <w:lang w:eastAsia="pl-PL"/>
        </w:rPr>
        <w:t>.</w:t>
      </w:r>
    </w:p>
    <w:tbl>
      <w:tblPr>
        <w:tblStyle w:val="Tabela-Siatka"/>
        <w:tblW w:w="8364" w:type="dxa"/>
        <w:tblInd w:w="-5" w:type="dxa"/>
        <w:tblLook w:val="04A0" w:firstRow="1" w:lastRow="0" w:firstColumn="1" w:lastColumn="0" w:noHBand="0" w:noVBand="1"/>
      </w:tblPr>
      <w:tblGrid>
        <w:gridCol w:w="1891"/>
        <w:gridCol w:w="3442"/>
        <w:gridCol w:w="1613"/>
        <w:gridCol w:w="1418"/>
      </w:tblGrid>
      <w:tr w:rsidR="002B2BE2" w:rsidRPr="002B2BE2" w14:paraId="217B2AD7" w14:textId="77777777" w:rsidTr="00683CE4">
        <w:trPr>
          <w:trHeight w:val="310"/>
        </w:trPr>
        <w:tc>
          <w:tcPr>
            <w:tcW w:w="8364" w:type="dxa"/>
            <w:gridSpan w:val="4"/>
          </w:tcPr>
          <w:p w14:paraId="4F9EFDCB" w14:textId="77777777" w:rsidR="008B459F" w:rsidRPr="002B2BE2" w:rsidRDefault="008B459F" w:rsidP="005E0D5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Tabela nr </w:t>
            </w:r>
            <w:r w:rsidR="00DC3C53"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CD7FD7"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3F5261"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Decyzje nadzoru budowlanego.</w:t>
            </w:r>
          </w:p>
        </w:tc>
      </w:tr>
      <w:tr w:rsidR="002B2BE2" w:rsidRPr="002B2BE2" w14:paraId="6E972C8D" w14:textId="77777777" w:rsidTr="001E5610">
        <w:trPr>
          <w:trHeight w:val="308"/>
        </w:trPr>
        <w:tc>
          <w:tcPr>
            <w:tcW w:w="1891" w:type="dxa"/>
          </w:tcPr>
          <w:p w14:paraId="0D2748A2" w14:textId="77777777" w:rsidR="008B459F" w:rsidRPr="002B2BE2" w:rsidRDefault="008B459F" w:rsidP="005E0D53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Numer decyzji</w:t>
            </w:r>
          </w:p>
        </w:tc>
        <w:tc>
          <w:tcPr>
            <w:tcW w:w="3442" w:type="dxa"/>
          </w:tcPr>
          <w:p w14:paraId="371A301D" w14:textId="77777777" w:rsidR="008B459F" w:rsidRPr="002B2BE2" w:rsidRDefault="008B459F" w:rsidP="005E0D53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613" w:type="dxa"/>
          </w:tcPr>
          <w:p w14:paraId="02B4AA65" w14:textId="77777777" w:rsidR="008B459F" w:rsidRPr="002B2BE2" w:rsidRDefault="008B459F" w:rsidP="005E0D53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Powód</w:t>
            </w:r>
          </w:p>
        </w:tc>
        <w:tc>
          <w:tcPr>
            <w:tcW w:w="1418" w:type="dxa"/>
          </w:tcPr>
          <w:p w14:paraId="67F9A0B5" w14:textId="77777777" w:rsidR="008B459F" w:rsidRPr="002B2BE2" w:rsidRDefault="008B459F" w:rsidP="005E0D5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Zakres</w:t>
            </w:r>
          </w:p>
        </w:tc>
      </w:tr>
      <w:tr w:rsidR="002B2BE2" w:rsidRPr="002B2BE2" w14:paraId="39E54CBE" w14:textId="77777777" w:rsidTr="001E5610">
        <w:trPr>
          <w:trHeight w:val="258"/>
        </w:trPr>
        <w:tc>
          <w:tcPr>
            <w:tcW w:w="1891" w:type="dxa"/>
          </w:tcPr>
          <w:p w14:paraId="3895042D" w14:textId="2F8AF288" w:rsidR="008B459F" w:rsidRPr="002B2BE2" w:rsidRDefault="004D7BA9" w:rsidP="004D7BA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42" w:type="dxa"/>
          </w:tcPr>
          <w:p w14:paraId="47CDFC01" w14:textId="0087136B" w:rsidR="008B459F" w:rsidRPr="002B2BE2" w:rsidRDefault="004D7BA9" w:rsidP="004D7BA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13" w:type="dxa"/>
          </w:tcPr>
          <w:p w14:paraId="44497B0B" w14:textId="59009256" w:rsidR="008B459F" w:rsidRPr="002B2BE2" w:rsidRDefault="004D7BA9" w:rsidP="004D7BA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5202362D" w14:textId="05FADC5E" w:rsidR="008B459F" w:rsidRPr="002B2BE2" w:rsidRDefault="004D7BA9" w:rsidP="004D7BA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14:paraId="2FE9332A" w14:textId="77777777" w:rsidR="005A4882" w:rsidRPr="002B2BE2" w:rsidRDefault="005A4882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4471792" w14:textId="5DC984E7" w:rsidR="001240A0" w:rsidRPr="002B2BE2" w:rsidRDefault="001525C8" w:rsidP="007757B0">
      <w:pPr>
        <w:pStyle w:val="Akapitzlist"/>
        <w:numPr>
          <w:ilvl w:val="1"/>
          <w:numId w:val="7"/>
        </w:numPr>
        <w:spacing w:after="120" w:line="240" w:lineRule="auto"/>
        <w:ind w:left="357" w:hanging="357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Zamówienia publiczne</w:t>
      </w:r>
    </w:p>
    <w:p w14:paraId="4A6E8052" w14:textId="77777777" w:rsidR="0085152C" w:rsidRPr="002B2BE2" w:rsidRDefault="0085152C" w:rsidP="0085152C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Informacje dotyczące zamówień publicznych przedstawia tabela nr 22.</w:t>
      </w:r>
    </w:p>
    <w:bookmarkStart w:id="21" w:name="_MON_1636350411"/>
    <w:bookmarkEnd w:id="21"/>
    <w:p w14:paraId="0C3DAC06" w14:textId="63A819EC" w:rsidR="0085152C" w:rsidRPr="002B2BE2" w:rsidRDefault="00B2664B" w:rsidP="0085152C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  <w:r w:rsidRPr="002B2BE2">
        <w:rPr>
          <w:rFonts w:eastAsia="Times New Roman" w:cstheme="minorHAnsi"/>
          <w:bCs/>
          <w:sz w:val="24"/>
          <w:szCs w:val="24"/>
          <w:lang w:eastAsia="pl-PL"/>
        </w:rPr>
        <w:object w:dxaOrig="10423" w:dyaOrig="6268" w14:anchorId="5C8429E3">
          <v:shape id="_x0000_i1037" type="#_x0000_t75" style="width:473.25pt;height:284.25pt" o:ole="">
            <v:imagedata r:id="rId33" o:title=""/>
          </v:shape>
          <o:OLEObject Type="Embed" ProgID="Excel.Sheet.12" ShapeID="_x0000_i1037" DrawAspect="Content" ObjectID="_1805783757" r:id="rId34"/>
        </w:object>
      </w:r>
    </w:p>
    <w:p w14:paraId="2947BCAD" w14:textId="77777777" w:rsidR="00122832" w:rsidRPr="002B2BE2" w:rsidRDefault="00122832" w:rsidP="00892297">
      <w:pPr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488E5BC7" w14:textId="0908D0CB" w:rsidR="00502DF7" w:rsidRPr="002B2BE2" w:rsidRDefault="00AE4BC8" w:rsidP="007757B0">
      <w:pPr>
        <w:pStyle w:val="Akapitzlist"/>
        <w:numPr>
          <w:ilvl w:val="1"/>
          <w:numId w:val="7"/>
        </w:numPr>
        <w:spacing w:after="120" w:line="240" w:lineRule="auto"/>
        <w:ind w:left="709" w:hanging="709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 xml:space="preserve">Przeprowadzone w </w:t>
      </w:r>
      <w:r w:rsidR="008E53C8" w:rsidRPr="002B2BE2">
        <w:rPr>
          <w:rFonts w:eastAsia="Times New Roman" w:cstheme="minorHAnsi"/>
          <w:b/>
          <w:bCs/>
          <w:lang w:eastAsia="pl-PL"/>
        </w:rPr>
        <w:t>202</w:t>
      </w:r>
      <w:r w:rsidR="00E871EF" w:rsidRPr="002B2BE2">
        <w:rPr>
          <w:rFonts w:eastAsia="Times New Roman" w:cstheme="minorHAnsi"/>
          <w:b/>
          <w:bCs/>
          <w:lang w:eastAsia="pl-PL"/>
        </w:rPr>
        <w:t>4</w:t>
      </w:r>
      <w:r w:rsidRPr="002B2BE2">
        <w:rPr>
          <w:rFonts w:eastAsia="Times New Roman" w:cstheme="minorHAnsi"/>
          <w:b/>
          <w:bCs/>
          <w:lang w:eastAsia="pl-PL"/>
        </w:rPr>
        <w:t xml:space="preserve"> roku kontrole w jednostce</w:t>
      </w:r>
    </w:p>
    <w:p w14:paraId="1863C387" w14:textId="58BD6BBD" w:rsidR="00F66017" w:rsidRPr="002B2BE2" w:rsidRDefault="00395BB0" w:rsidP="004F145B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I</w:t>
      </w:r>
      <w:r w:rsidR="00AE4BC8" w:rsidRPr="002B2BE2">
        <w:rPr>
          <w:rFonts w:eastAsia="Times New Roman" w:cstheme="minorHAnsi"/>
          <w:b/>
          <w:lang w:eastAsia="pl-PL"/>
        </w:rPr>
        <w:t>nformacje o przeprowadzonych kontrolach</w:t>
      </w:r>
    </w:p>
    <w:p w14:paraId="4650CA8A" w14:textId="7E332843" w:rsidR="00502DF7" w:rsidRPr="002B2BE2" w:rsidRDefault="005F2CEA" w:rsidP="00FA31E9">
      <w:pPr>
        <w:pStyle w:val="Akapitzlist"/>
        <w:numPr>
          <w:ilvl w:val="0"/>
          <w:numId w:val="11"/>
        </w:numPr>
        <w:spacing w:after="120" w:line="300" w:lineRule="auto"/>
        <w:ind w:left="1077" w:hanging="357"/>
        <w:contextualSpacing w:val="0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>03.06.2024 – 01.07.2024 Biuro Kontroli – Wybrane zagadnienia gospodarowania lokalami użytkowymi.</w:t>
      </w:r>
    </w:p>
    <w:p w14:paraId="2476E853" w14:textId="77777777" w:rsidR="00AE4BC8" w:rsidRPr="002B2BE2" w:rsidRDefault="00395BB0" w:rsidP="004F145B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>Z</w:t>
      </w:r>
      <w:r w:rsidR="00AE4BC8" w:rsidRPr="002B2BE2">
        <w:rPr>
          <w:rFonts w:eastAsia="Times New Roman" w:cstheme="minorHAnsi"/>
          <w:b/>
          <w:lang w:eastAsia="pl-PL"/>
        </w:rPr>
        <w:t>adania audytowe</w:t>
      </w:r>
    </w:p>
    <w:p w14:paraId="065974E7" w14:textId="77777777" w:rsidR="005F2CEA" w:rsidRPr="002B2BE2" w:rsidRDefault="005F2CEA" w:rsidP="00FA31E9">
      <w:pPr>
        <w:pStyle w:val="Akapitzlist"/>
        <w:numPr>
          <w:ilvl w:val="0"/>
          <w:numId w:val="11"/>
        </w:num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>23-25.10.2024 Biuro Audytu – Czynności sprawdzające. Ocena Bezpieczeństwa informacji w jednostkach m.st. Warszawy</w:t>
      </w:r>
    </w:p>
    <w:p w14:paraId="2EF67101" w14:textId="3B80D88D" w:rsidR="003F5261" w:rsidRPr="002B2BE2" w:rsidRDefault="00395BB0" w:rsidP="00DB10D2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lastRenderedPageBreak/>
        <w:t>B</w:t>
      </w:r>
      <w:r w:rsidR="00AE4BC8" w:rsidRPr="002B2BE2">
        <w:rPr>
          <w:rFonts w:eastAsia="Times New Roman" w:cstheme="minorHAnsi"/>
          <w:b/>
          <w:lang w:eastAsia="pl-PL"/>
        </w:rPr>
        <w:t>adania</w:t>
      </w:r>
      <w:r w:rsidR="00623EC7" w:rsidRPr="002B2BE2">
        <w:rPr>
          <w:rFonts w:eastAsia="Times New Roman" w:cstheme="minorHAnsi"/>
          <w:b/>
          <w:lang w:eastAsia="pl-PL"/>
        </w:rPr>
        <w:t xml:space="preserve"> </w:t>
      </w:r>
    </w:p>
    <w:p w14:paraId="7C7178CB" w14:textId="4F629229" w:rsidR="00B4451F" w:rsidRPr="002B2BE2" w:rsidRDefault="00395BB0" w:rsidP="00E6225A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W</w:t>
      </w:r>
      <w:r w:rsidR="00AE4BC8" w:rsidRPr="002B2BE2">
        <w:rPr>
          <w:rFonts w:eastAsia="Times New Roman" w:cstheme="minorHAnsi"/>
          <w:b/>
          <w:bCs/>
          <w:lang w:eastAsia="pl-PL"/>
        </w:rPr>
        <w:t>yniki kontroli</w:t>
      </w:r>
    </w:p>
    <w:p w14:paraId="2833F770" w14:textId="180DA9AF" w:rsidR="003F5261" w:rsidRPr="002B2BE2" w:rsidRDefault="003A1D89" w:rsidP="00D96C93">
      <w:pPr>
        <w:spacing w:after="12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 xml:space="preserve">Ad. </w:t>
      </w:r>
      <w:r w:rsidR="00224DCC" w:rsidRPr="002B2BE2">
        <w:rPr>
          <w:rFonts w:eastAsia="Times New Roman" w:cstheme="minorHAnsi"/>
          <w:lang w:eastAsia="pl-PL"/>
        </w:rPr>
        <w:t>1</w:t>
      </w:r>
      <w:r w:rsidRPr="002B2BE2">
        <w:rPr>
          <w:rFonts w:eastAsia="Times New Roman" w:cstheme="minorHAnsi"/>
          <w:lang w:eastAsia="pl-PL"/>
        </w:rPr>
        <w:t xml:space="preserve">. </w:t>
      </w:r>
      <w:r w:rsidR="00224DCC" w:rsidRPr="002B2BE2">
        <w:rPr>
          <w:rFonts w:eastAsia="Times New Roman" w:cstheme="minorHAnsi"/>
          <w:lang w:eastAsia="pl-PL"/>
        </w:rPr>
        <w:t xml:space="preserve"> </w:t>
      </w:r>
    </w:p>
    <w:p w14:paraId="37DC4C59" w14:textId="3D00A273" w:rsidR="00F21B6A" w:rsidRPr="002B2BE2" w:rsidRDefault="00D96C93" w:rsidP="00F21B6A">
      <w:pPr>
        <w:spacing w:after="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Z</w:t>
      </w:r>
      <w:r w:rsidR="00F21B6A" w:rsidRPr="002B2BE2">
        <w:rPr>
          <w:rFonts w:eastAsia="Times New Roman" w:cstheme="minorHAnsi"/>
          <w:lang w:eastAsia="pl-PL"/>
        </w:rPr>
        <w:t>alecenia:</w:t>
      </w:r>
    </w:p>
    <w:p w14:paraId="11BC5266" w14:textId="77777777" w:rsidR="00D96C93" w:rsidRPr="002B2BE2" w:rsidRDefault="00D96C93" w:rsidP="00FA31E9">
      <w:pPr>
        <w:pStyle w:val="Akapitzlist"/>
        <w:numPr>
          <w:ilvl w:val="0"/>
          <w:numId w:val="25"/>
        </w:numPr>
        <w:spacing w:after="0" w:line="300" w:lineRule="auto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Dostosowanie Regulaminu Organizacyjnego ZGN Ochota do aktualnych celów i zadań jednostki albo takie jego sformułowanie aby precyzyjnie wskazywał na możliwość realizacji określonych zadań w przypadku ich zlecenia przez Burmistrza Dzielnicy Ochota.</w:t>
      </w:r>
    </w:p>
    <w:p w14:paraId="00B1CA5B" w14:textId="77777777" w:rsidR="00D96C93" w:rsidRPr="002B2BE2" w:rsidRDefault="00D96C93" w:rsidP="00FA31E9">
      <w:pPr>
        <w:pStyle w:val="Akapitzlist"/>
        <w:numPr>
          <w:ilvl w:val="0"/>
          <w:numId w:val="25"/>
        </w:numPr>
        <w:spacing w:after="0" w:line="300" w:lineRule="auto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Wprowadzenie jednolitej praktyki oznaczenia okresu na jaki zostają zawierane umowy na czas oznaczony do lat 3.</w:t>
      </w:r>
    </w:p>
    <w:p w14:paraId="3FACBA7C" w14:textId="77777777" w:rsidR="00D96C93" w:rsidRPr="002B2BE2" w:rsidRDefault="00D96C93" w:rsidP="00FA31E9">
      <w:pPr>
        <w:pStyle w:val="Akapitzlist"/>
        <w:numPr>
          <w:ilvl w:val="0"/>
          <w:numId w:val="25"/>
        </w:numPr>
        <w:spacing w:after="0" w:line="300" w:lineRule="auto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Dołączanie, w formie załącznika do umowy najmu, protokołu pomiaru powierzchni lokalu wraz  z planem lokalu.</w:t>
      </w:r>
    </w:p>
    <w:p w14:paraId="607AEE14" w14:textId="77777777" w:rsidR="00D96C93" w:rsidRPr="002B2BE2" w:rsidRDefault="00D96C93" w:rsidP="00FA31E9">
      <w:pPr>
        <w:pStyle w:val="Akapitzlist"/>
        <w:numPr>
          <w:ilvl w:val="0"/>
          <w:numId w:val="25"/>
        </w:numPr>
        <w:spacing w:after="120" w:line="300" w:lineRule="auto"/>
        <w:ind w:left="1066" w:hanging="357"/>
        <w:contextualSpacing w:val="0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 xml:space="preserve">Bieżące wprowadzanie danych do systemu informatycznego </w:t>
      </w:r>
      <w:proofErr w:type="spellStart"/>
      <w:r w:rsidRPr="002B2BE2">
        <w:rPr>
          <w:rFonts w:eastAsia="Times New Roman" w:cstheme="minorHAnsi"/>
          <w:lang w:eastAsia="pl-PL"/>
        </w:rPr>
        <w:t>SEiZBiL</w:t>
      </w:r>
      <w:proofErr w:type="spellEnd"/>
      <w:r w:rsidRPr="002B2BE2">
        <w:rPr>
          <w:rFonts w:eastAsia="Times New Roman" w:cstheme="minorHAnsi"/>
          <w:lang w:eastAsia="pl-PL"/>
        </w:rPr>
        <w:t xml:space="preserve"> i ich aktualizowanie, w celu zapewnienia zgodności danych w tym systemie z aktualnym stanem faktycznym i prawnym.</w:t>
      </w:r>
    </w:p>
    <w:p w14:paraId="184EF294" w14:textId="77777777" w:rsidR="005D41CB" w:rsidRPr="002B2BE2" w:rsidRDefault="00FE40C1" w:rsidP="00C772A8">
      <w:pPr>
        <w:spacing w:after="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Ad. 2</w:t>
      </w:r>
      <w:r w:rsidR="003761C4" w:rsidRPr="002B2BE2">
        <w:rPr>
          <w:rFonts w:eastAsia="Times New Roman" w:cstheme="minorHAnsi"/>
          <w:lang w:eastAsia="pl-PL"/>
        </w:rPr>
        <w:t>.</w:t>
      </w:r>
      <w:r w:rsidR="00C772A8" w:rsidRPr="002B2BE2">
        <w:rPr>
          <w:rFonts w:eastAsia="Times New Roman" w:cstheme="minorHAnsi"/>
          <w:lang w:eastAsia="pl-PL"/>
        </w:rPr>
        <w:t xml:space="preserve"> </w:t>
      </w:r>
    </w:p>
    <w:p w14:paraId="7B633AB4" w14:textId="0759BA5B" w:rsidR="001001F0" w:rsidRPr="002B2BE2" w:rsidRDefault="0047112C" w:rsidP="00C772A8">
      <w:pPr>
        <w:spacing w:after="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 xml:space="preserve">Biuro Audytu </w:t>
      </w:r>
      <w:r w:rsidR="00B25880" w:rsidRPr="002B2BE2">
        <w:rPr>
          <w:rFonts w:eastAsia="Times New Roman" w:cstheme="minorHAnsi"/>
          <w:lang w:eastAsia="pl-PL"/>
        </w:rPr>
        <w:t xml:space="preserve">Wewnętrznego </w:t>
      </w:r>
      <w:r w:rsidR="00CF066F" w:rsidRPr="002B2BE2">
        <w:rPr>
          <w:rFonts w:eastAsia="Times New Roman" w:cstheme="minorHAnsi"/>
          <w:lang w:eastAsia="pl-PL"/>
        </w:rPr>
        <w:t>po wykonaniu czynności sprawdzających sporządziło Notatkę informacyjną z wykonania czynności sprawdzających:</w:t>
      </w:r>
    </w:p>
    <w:p w14:paraId="4F8CD3BD" w14:textId="7F8D263B" w:rsidR="005D41CB" w:rsidRPr="002B2BE2" w:rsidRDefault="00CF066F" w:rsidP="005D41CB">
      <w:pPr>
        <w:spacing w:after="12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„</w:t>
      </w:r>
      <w:r w:rsidR="005D41CB" w:rsidRPr="002B2BE2">
        <w:rPr>
          <w:rFonts w:eastAsia="Times New Roman" w:cstheme="minorHAnsi"/>
          <w:lang w:eastAsia="pl-PL"/>
        </w:rPr>
        <w:t>Czynności sprawdzające dotyczyły oceny działań podjętych w celu realizacji zaleceń z przeprowadzonego w Zakładzie Gospodarowania Nieruchomościami w Dzielnicy Ochota m.st. Warszawy (dalej ZGN Ochota) w 2023 r. zadania audytowego pn. ,,Ocena bezpieczeństwa informacji w jednostkach m.st. Warszawy" - numer zadania AW.2023.005.005.</w:t>
      </w:r>
    </w:p>
    <w:p w14:paraId="68A3DD3D" w14:textId="77777777" w:rsidR="005D41CB" w:rsidRPr="002B2BE2" w:rsidRDefault="005D41CB" w:rsidP="005D41CB">
      <w:pPr>
        <w:spacing w:after="12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Analiza przekazanych dokumentów oraz zastosowanych rozwiązań wskazuje na dużą świadomość obowiązków jednostki w obszarze bezpieczeństwa informacji i ochrony danych osobowych. Z przeprowadzonej rozmowy z zastępcą dyrektora jednostki wynika, że jest planowany dalszy rozwój w audytowanym obszarze, w celu zwiększenia poziomu bezpieczeństwa informacji. ZGN Ochota zrealizował wszystkie zalecenia wydane w przedmiotowym  zadaniu audytowym.</w:t>
      </w:r>
    </w:p>
    <w:p w14:paraId="55FCDAE9" w14:textId="27BCD01D" w:rsidR="00C676DC" w:rsidRPr="002B2BE2" w:rsidRDefault="005D41CB" w:rsidP="005D41CB">
      <w:pPr>
        <w:spacing w:after="120" w:line="300" w:lineRule="auto"/>
        <w:ind w:left="709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Jednocześnie pozytywnie oceniono zaangażowanie ZGN Ochota w trakcie realizacji czynności sprawdzających.”</w:t>
      </w:r>
    </w:p>
    <w:p w14:paraId="6CA8488B" w14:textId="77777777" w:rsidR="00143B21" w:rsidRPr="002B2BE2" w:rsidRDefault="00143B21" w:rsidP="004F145B">
      <w:pPr>
        <w:pStyle w:val="Akapitzlist"/>
        <w:numPr>
          <w:ilvl w:val="1"/>
          <w:numId w:val="7"/>
        </w:numPr>
        <w:spacing w:after="0" w:line="240" w:lineRule="auto"/>
        <w:ind w:left="709" w:hanging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Inne działania prowadzone przez jednostkę związane z powierzonymi przez dzielnicę zadaniami</w:t>
      </w:r>
    </w:p>
    <w:p w14:paraId="0EF3F9EE" w14:textId="77777777" w:rsidR="00502DF7" w:rsidRPr="002B2BE2" w:rsidRDefault="00502DF7" w:rsidP="005E0D53">
      <w:pPr>
        <w:pStyle w:val="Akapitzlist"/>
        <w:spacing w:after="0" w:line="240" w:lineRule="auto"/>
        <w:ind w:left="709"/>
        <w:rPr>
          <w:rFonts w:eastAsia="Times New Roman" w:cstheme="minorHAnsi"/>
          <w:b/>
          <w:bCs/>
          <w:lang w:eastAsia="pl-PL"/>
        </w:rPr>
      </w:pPr>
    </w:p>
    <w:p w14:paraId="4D5B8E34" w14:textId="520E922B" w:rsidR="00502DF7" w:rsidRPr="002B2BE2" w:rsidRDefault="00B64BDE" w:rsidP="0042611C">
      <w:pPr>
        <w:pStyle w:val="Akapitzlist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lang w:eastAsia="pl-PL"/>
        </w:rPr>
        <w:t xml:space="preserve">Zarzadzanie targowiskami, </w:t>
      </w:r>
      <w:r w:rsidR="00D60A8C" w:rsidRPr="002B2BE2">
        <w:rPr>
          <w:rFonts w:eastAsia="Times New Roman" w:cstheme="minorHAnsi"/>
          <w:b/>
          <w:lang w:eastAsia="pl-PL"/>
        </w:rPr>
        <w:t>stanowiska handlu obwoźnego</w:t>
      </w:r>
      <w:r w:rsidRPr="002B2BE2">
        <w:rPr>
          <w:rFonts w:eastAsia="Times New Roman" w:cstheme="minorHAnsi"/>
          <w:lang w:eastAsia="pl-PL"/>
        </w:rPr>
        <w:t xml:space="preserve"> </w:t>
      </w:r>
    </w:p>
    <w:p w14:paraId="140A5E4E" w14:textId="6CD09247" w:rsidR="004D7BA9" w:rsidRPr="002B2BE2" w:rsidRDefault="004D7BA9" w:rsidP="004D7BA9">
      <w:pPr>
        <w:pStyle w:val="Akapitzlist"/>
        <w:spacing w:after="0" w:line="240" w:lineRule="auto"/>
        <w:rPr>
          <w:rFonts w:eastAsia="Times New Roman" w:cstheme="minorHAnsi"/>
          <w:i/>
          <w:highlight w:val="yellow"/>
          <w:lang w:eastAsia="pl-PL"/>
        </w:rPr>
      </w:pPr>
    </w:p>
    <w:p w14:paraId="53FEAC52" w14:textId="77777777" w:rsidR="00757273" w:rsidRPr="002B2BE2" w:rsidRDefault="00757273" w:rsidP="00757273">
      <w:pPr>
        <w:spacing w:after="0" w:line="300" w:lineRule="auto"/>
        <w:ind w:left="720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W 2024 r. Zakład Gospodarowania Nieruchomościami w Dzielnicy Ochota zarządzał:</w:t>
      </w:r>
    </w:p>
    <w:p w14:paraId="6C259848" w14:textId="77777777" w:rsidR="00757273" w:rsidRPr="002B2BE2" w:rsidRDefault="00757273" w:rsidP="00757273">
      <w:pPr>
        <w:spacing w:after="0" w:line="300" w:lineRule="auto"/>
        <w:ind w:left="720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- Targowiskiem „Mołdawska”;</w:t>
      </w:r>
    </w:p>
    <w:p w14:paraId="795001D5" w14:textId="77777777" w:rsidR="00757273" w:rsidRPr="002B2BE2" w:rsidRDefault="00757273" w:rsidP="00757273">
      <w:pPr>
        <w:spacing w:after="0" w:line="300" w:lineRule="auto"/>
        <w:ind w:left="720"/>
        <w:contextualSpacing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- Halą „Zieleniak”</w:t>
      </w:r>
    </w:p>
    <w:p w14:paraId="0D633601" w14:textId="77777777" w:rsidR="00757273" w:rsidRPr="002B2BE2" w:rsidRDefault="00757273" w:rsidP="00757273">
      <w:pPr>
        <w:spacing w:after="120" w:line="300" w:lineRule="auto"/>
        <w:ind w:left="720"/>
        <w:rPr>
          <w:rFonts w:ascii="Calibri" w:eastAsia="Times New Roman" w:hAnsi="Calibri" w:cs="Calibri"/>
          <w:iCs/>
          <w:lang w:eastAsia="pl-PL"/>
        </w:rPr>
      </w:pPr>
      <w:r w:rsidRPr="002B2BE2">
        <w:rPr>
          <w:rFonts w:ascii="Calibri" w:eastAsia="Times New Roman" w:hAnsi="Calibri" w:cs="Calibri"/>
          <w:iCs/>
          <w:lang w:eastAsia="pl-PL"/>
        </w:rPr>
        <w:t>- Targowiskiem Zastępczym przy ul. S. Majewskiego 5.</w:t>
      </w:r>
    </w:p>
    <w:p w14:paraId="321B6DF3" w14:textId="77777777" w:rsidR="00757273" w:rsidRPr="002B2BE2" w:rsidRDefault="00757273" w:rsidP="00757273">
      <w:pPr>
        <w:spacing w:after="0" w:line="300" w:lineRule="auto"/>
        <w:ind w:left="720"/>
        <w:contextualSpacing/>
        <w:rPr>
          <w:rFonts w:ascii="Calibri" w:eastAsia="Calibri" w:hAnsi="Calibri" w:cs="Times New Roman"/>
          <w:lang w:eastAsia="pl-PL"/>
        </w:rPr>
      </w:pPr>
      <w:r w:rsidRPr="002B2BE2">
        <w:rPr>
          <w:rFonts w:ascii="Calibri" w:eastAsia="Calibri" w:hAnsi="Calibri" w:cs="Times New Roman"/>
          <w:lang w:eastAsia="pl-PL"/>
        </w:rPr>
        <w:t xml:space="preserve">Zgodnie z Zarządzeniem 1507/2011 Prezydenta m.st. Warszawy, w wyniku przeprowadzanych konkursów, Najemcy z Targowiska Zastępczego byli sukcesywnie, przenoszeni byli do zwalnianych pawilonów w Hali Zieleniak. W 2024 r. zostało </w:t>
      </w:r>
      <w:r w:rsidRPr="002B2BE2">
        <w:rPr>
          <w:rFonts w:ascii="Calibri" w:eastAsia="Calibri" w:hAnsi="Calibri" w:cs="Times New Roman"/>
          <w:lang w:eastAsia="pl-PL"/>
        </w:rPr>
        <w:lastRenderedPageBreak/>
        <w:t>przeniesionych 2 kupców. W okresie świątecznym od 15.12.2024 r. – 24.12.2024 na terenie Targowiska Zastępczego oraz na działce przy ul. Grójeckiej 18/20 zostało łącznie wynajętych 8 stanowisk do sprzedaż choinek oraz ryb. Ponadto od maja do października prowadzony był handel sezonowy owocami miękkimi przy Grójeckiej 18/20.</w:t>
      </w:r>
    </w:p>
    <w:p w14:paraId="370CC326" w14:textId="77777777" w:rsidR="00215305" w:rsidRPr="002B2BE2" w:rsidRDefault="00215305" w:rsidP="00F43FA3">
      <w:pPr>
        <w:pStyle w:val="Akapitzlist"/>
        <w:spacing w:after="0" w:line="240" w:lineRule="auto"/>
        <w:rPr>
          <w:rFonts w:eastAsia="Times New Roman" w:cstheme="minorHAnsi"/>
          <w:b/>
          <w:bCs/>
          <w:highlight w:val="yellow"/>
          <w:lang w:eastAsia="pl-PL"/>
        </w:rPr>
      </w:pPr>
    </w:p>
    <w:p w14:paraId="71BC61F9" w14:textId="77777777" w:rsidR="00D779AD" w:rsidRPr="002B2BE2" w:rsidRDefault="00D779AD" w:rsidP="00D779AD">
      <w:pPr>
        <w:pStyle w:val="Akapitzlist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 xml:space="preserve">Budżet Obywatelski i inicjatywy lokalne </w:t>
      </w:r>
    </w:p>
    <w:p w14:paraId="76A8FADE" w14:textId="77777777" w:rsidR="00D87299" w:rsidRPr="002B2BE2" w:rsidRDefault="00D87299" w:rsidP="00D87299">
      <w:pPr>
        <w:spacing w:after="0" w:line="240" w:lineRule="auto"/>
        <w:rPr>
          <w:rFonts w:eastAsia="Times New Roman" w:cstheme="minorHAnsi"/>
          <w:b/>
          <w:bCs/>
          <w:highlight w:val="yell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2B2BE2" w:rsidRPr="002B2BE2" w14:paraId="77EBB71E" w14:textId="77777777" w:rsidTr="00A6510E">
        <w:tc>
          <w:tcPr>
            <w:tcW w:w="704" w:type="dxa"/>
          </w:tcPr>
          <w:p w14:paraId="4BAD10B5" w14:textId="77777777" w:rsidR="00D87299" w:rsidRPr="002B2BE2" w:rsidRDefault="00D87299" w:rsidP="00A6510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36" w:type="dxa"/>
          </w:tcPr>
          <w:p w14:paraId="4966C58C" w14:textId="77777777" w:rsidR="00D87299" w:rsidRPr="002B2BE2" w:rsidRDefault="00D87299" w:rsidP="00A6510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Zadanie w ramach budżetu obywatelskiego</w:t>
            </w:r>
          </w:p>
        </w:tc>
        <w:tc>
          <w:tcPr>
            <w:tcW w:w="3020" w:type="dxa"/>
          </w:tcPr>
          <w:p w14:paraId="06B564E1" w14:textId="77777777" w:rsidR="00D87299" w:rsidRPr="002B2BE2" w:rsidRDefault="00D87299" w:rsidP="00A6510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</w:tr>
      <w:tr w:rsidR="002B2BE2" w:rsidRPr="002B2BE2" w14:paraId="1CCC8388" w14:textId="77777777" w:rsidTr="00A6510E">
        <w:tc>
          <w:tcPr>
            <w:tcW w:w="704" w:type="dxa"/>
          </w:tcPr>
          <w:p w14:paraId="28DD009F" w14:textId="77777777" w:rsidR="00D87299" w:rsidRPr="002B2BE2" w:rsidRDefault="00D87299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36" w:type="dxa"/>
          </w:tcPr>
          <w:p w14:paraId="416D9E04" w14:textId="5B532831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Parki kieszonkowe dla Warszawy – zielone oazy zamiast betonowych wysp</w:t>
            </w:r>
          </w:p>
        </w:tc>
        <w:tc>
          <w:tcPr>
            <w:tcW w:w="3020" w:type="dxa"/>
          </w:tcPr>
          <w:p w14:paraId="64060F8E" w14:textId="6E466ED6" w:rsidR="00D87299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396 214,72</w:t>
            </w:r>
          </w:p>
          <w:p w14:paraId="2553D985" w14:textId="20EDD109" w:rsidR="002B2BE2" w:rsidRPr="002B2BE2" w:rsidRDefault="002B2BE2" w:rsidP="002B2BE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2" w:rsidRPr="002B2BE2" w14:paraId="14BEDC08" w14:textId="77777777" w:rsidTr="00A6510E">
        <w:tc>
          <w:tcPr>
            <w:tcW w:w="704" w:type="dxa"/>
            <w:tcBorders>
              <w:bottom w:val="single" w:sz="4" w:space="0" w:color="auto"/>
            </w:tcBorders>
          </w:tcPr>
          <w:p w14:paraId="6CDEC56E" w14:textId="77777777" w:rsidR="00D87299" w:rsidRPr="002B2BE2" w:rsidRDefault="00D87299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394902AD" w14:textId="0C04F494" w:rsidR="00D87299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Beton głosami skruszymy i Ochotę w dżunglę zamienimy</w:t>
            </w:r>
            <w:r w:rsidR="00D87299"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40F8681C" w14:textId="195F575B" w:rsidR="00D87299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101 246,50</w:t>
            </w:r>
          </w:p>
        </w:tc>
      </w:tr>
      <w:tr w:rsidR="002B2BE2" w:rsidRPr="002B2BE2" w14:paraId="66869EA1" w14:textId="77777777" w:rsidTr="00A6510E">
        <w:tc>
          <w:tcPr>
            <w:tcW w:w="704" w:type="dxa"/>
          </w:tcPr>
          <w:p w14:paraId="790BDAEC" w14:textId="77777777" w:rsidR="00D87299" w:rsidRPr="002B2BE2" w:rsidRDefault="00D87299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36" w:type="dxa"/>
          </w:tcPr>
          <w:p w14:paraId="56DA7C87" w14:textId="5141F3EB" w:rsidR="00D87299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Stoły do ping-ponga, warcabów i szachów na terenie ochockich szkół i skwerów</w:t>
            </w:r>
            <w:r w:rsidR="00D87299"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20" w:type="dxa"/>
          </w:tcPr>
          <w:p w14:paraId="16E83D5C" w14:textId="2E040BB1" w:rsidR="00D87299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124 964,84</w:t>
            </w:r>
          </w:p>
        </w:tc>
      </w:tr>
      <w:tr w:rsidR="002B2BE2" w:rsidRPr="002B2BE2" w14:paraId="3DCFAEAE" w14:textId="77777777" w:rsidTr="002B2BE2">
        <w:tc>
          <w:tcPr>
            <w:tcW w:w="704" w:type="dxa"/>
          </w:tcPr>
          <w:p w14:paraId="558066C5" w14:textId="77777777" w:rsidR="00D87299" w:rsidRPr="002B2BE2" w:rsidRDefault="00D87299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36" w:type="dxa"/>
          </w:tcPr>
          <w:p w14:paraId="39F37D11" w14:textId="5F054D19" w:rsidR="00D87299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Doświetlone i bezpieczne chodniki</w:t>
            </w:r>
            <w:r w:rsidR="00D87299"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20" w:type="dxa"/>
          </w:tcPr>
          <w:p w14:paraId="4D11C56C" w14:textId="0192E10E" w:rsidR="00D87299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7 000,00</w:t>
            </w:r>
          </w:p>
        </w:tc>
      </w:tr>
      <w:tr w:rsidR="002B2BE2" w:rsidRPr="002B2BE2" w14:paraId="468F0505" w14:textId="77777777" w:rsidTr="002B2BE2">
        <w:tc>
          <w:tcPr>
            <w:tcW w:w="704" w:type="dxa"/>
          </w:tcPr>
          <w:p w14:paraId="213C47B9" w14:textId="45D8FF16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36" w:type="dxa"/>
          </w:tcPr>
          <w:p w14:paraId="209848FE" w14:textId="50C87777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Stojaki rowerowe przy ulicach i na podwórkach</w:t>
            </w:r>
          </w:p>
        </w:tc>
        <w:tc>
          <w:tcPr>
            <w:tcW w:w="3020" w:type="dxa"/>
          </w:tcPr>
          <w:p w14:paraId="0D350860" w14:textId="119EBBF1" w:rsidR="002B2BE2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24 897,00</w:t>
            </w:r>
          </w:p>
        </w:tc>
      </w:tr>
      <w:tr w:rsidR="002B2BE2" w:rsidRPr="002B2BE2" w14:paraId="5D6D5169" w14:textId="77777777" w:rsidTr="002B2BE2">
        <w:tc>
          <w:tcPr>
            <w:tcW w:w="704" w:type="dxa"/>
          </w:tcPr>
          <w:p w14:paraId="7998CBC1" w14:textId="119CCECA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36" w:type="dxa"/>
          </w:tcPr>
          <w:p w14:paraId="75CD9CED" w14:textId="79770BF7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Zadbana zieleń na Ochocie</w:t>
            </w:r>
          </w:p>
        </w:tc>
        <w:tc>
          <w:tcPr>
            <w:tcW w:w="3020" w:type="dxa"/>
          </w:tcPr>
          <w:p w14:paraId="6C0A2D00" w14:textId="2481BCD7" w:rsidR="002B2BE2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151 076,44</w:t>
            </w:r>
          </w:p>
        </w:tc>
      </w:tr>
      <w:tr w:rsidR="002B2BE2" w:rsidRPr="002B2BE2" w14:paraId="5312F0EC" w14:textId="77777777" w:rsidTr="00A6510E">
        <w:tc>
          <w:tcPr>
            <w:tcW w:w="704" w:type="dxa"/>
            <w:tcBorders>
              <w:bottom w:val="single" w:sz="4" w:space="0" w:color="auto"/>
            </w:tcBorders>
          </w:tcPr>
          <w:p w14:paraId="33417582" w14:textId="203654F5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7145C32E" w14:textId="611294C3" w:rsidR="002B2BE2" w:rsidRPr="002B2BE2" w:rsidRDefault="002B2BE2" w:rsidP="00A6510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Zazieleńmy ochockie ulice – ogrody bylinowe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C5DBC71" w14:textId="3E910CCF" w:rsidR="002B2BE2" w:rsidRPr="002B2BE2" w:rsidRDefault="002B2BE2" w:rsidP="00A6510E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2BE2">
              <w:rPr>
                <w:rFonts w:eastAsia="Times New Roman" w:cstheme="minorHAnsi"/>
                <w:sz w:val="20"/>
                <w:szCs w:val="20"/>
                <w:lang w:eastAsia="pl-PL"/>
              </w:rPr>
              <w:t>7 452,00</w:t>
            </w:r>
          </w:p>
        </w:tc>
      </w:tr>
    </w:tbl>
    <w:p w14:paraId="636D1902" w14:textId="230CBD53" w:rsidR="00D87299" w:rsidRPr="002B2BE2" w:rsidRDefault="00D87299" w:rsidP="00D87299">
      <w:pPr>
        <w:spacing w:after="0" w:line="240" w:lineRule="auto"/>
        <w:rPr>
          <w:rFonts w:eastAsia="Times New Roman" w:cstheme="minorHAnsi"/>
          <w:b/>
          <w:bCs/>
          <w:highlight w:val="yellow"/>
          <w:lang w:eastAsia="pl-PL"/>
        </w:rPr>
      </w:pPr>
    </w:p>
    <w:p w14:paraId="3D6A554E" w14:textId="02A16C41" w:rsidR="004D7BA9" w:rsidRPr="002B2BE2" w:rsidRDefault="00FF6A09" w:rsidP="00232E65">
      <w:pPr>
        <w:pStyle w:val="Akapitzlist"/>
        <w:numPr>
          <w:ilvl w:val="2"/>
          <w:numId w:val="7"/>
        </w:numPr>
        <w:spacing w:after="120" w:line="240" w:lineRule="auto"/>
        <w:contextualSpacing w:val="0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Inne</w:t>
      </w:r>
      <w:r w:rsidR="00781B2E" w:rsidRPr="002B2BE2">
        <w:rPr>
          <w:rFonts w:eastAsia="Times New Roman" w:cstheme="minorHAnsi"/>
          <w:b/>
          <w:bCs/>
          <w:lang w:eastAsia="pl-PL"/>
        </w:rPr>
        <w:t xml:space="preserve"> zadania powierzone </w:t>
      </w:r>
    </w:p>
    <w:p w14:paraId="14242AD8" w14:textId="68DAC5B2" w:rsidR="00335F1E" w:rsidRDefault="00335F1E" w:rsidP="00FA31E9">
      <w:pPr>
        <w:pStyle w:val="Akapitzlist"/>
        <w:numPr>
          <w:ilvl w:val="0"/>
          <w:numId w:val="24"/>
        </w:numPr>
        <w:spacing w:after="0" w:line="300" w:lineRule="auto"/>
      </w:pPr>
      <w:bookmarkStart w:id="22" w:name="_Hlk130373948"/>
      <w:r w:rsidRPr="002B2BE2">
        <w:t xml:space="preserve">W roku 2024 </w:t>
      </w:r>
      <w:r w:rsidRPr="002B2BE2">
        <w:rPr>
          <w:rFonts w:eastAsia="Times New Roman" w:cs="Calibri"/>
          <w:iCs/>
          <w:lang w:eastAsia="pl-PL"/>
        </w:rPr>
        <w:t>Zakład Gospodarowania Nieruchomościami w Dzielnicy Ochota</w:t>
      </w:r>
      <w:r w:rsidRPr="002B2BE2">
        <w:t xml:space="preserve"> m.st. Warszawy na podstawie Zarządzenia nr 1959/2021 z dnia 10.12.2021 r. Prezydenta m.st. Warszawy w sprawie przyjęcia Standardu przeglądów i analiz dendrologicznych w m.st. Warszawie </w:t>
      </w:r>
      <w:r w:rsidRPr="00CE13DE">
        <w:rPr>
          <w:b/>
          <w:bCs/>
        </w:rPr>
        <w:t>wykonał zadanie</w:t>
      </w:r>
      <w:r w:rsidRPr="002B2BE2">
        <w:t xml:space="preserve"> </w:t>
      </w:r>
      <w:r w:rsidRPr="009C35C0">
        <w:rPr>
          <w:b/>
          <w:bCs/>
        </w:rPr>
        <w:t>dotyczące inwentaryzacji 5665 drzew</w:t>
      </w:r>
      <w:r w:rsidRPr="002B2BE2">
        <w:t>, której celem było sporządzenie planu wieloletniego związanego z przeglądem wszystkich drzew na terenach będących w zarządzie i administrowaniu ZGN Ochota i wytypowanie drzew będących w bardzo złym stanie zdrowotnym lub stanowiących zagrożenie bezpieczeństwa ludzi i mienia i podjęcie niezwłocznych działań zabezpieczających w formie prześwietlenia drzew lub ich usunięcia po uprzednim uzyskaniu stosownej decyzji od Marszałka Województwa Mazowieckiego lub konserwatora zabytków.</w:t>
      </w:r>
      <w:r w:rsidR="00CE13DE">
        <w:t xml:space="preserve"> Umożliwiło to nam dołączenie naszych danych do miejskiego systemu „MODRZEW” zawierającego ewidencję stanu zieleni wysokiej. Dzięki temu możliwy jest bieżący monitoring kondycji drzewostanu oraz terminowe wykonywanie zaplanowanych działań.</w:t>
      </w:r>
    </w:p>
    <w:p w14:paraId="2E0D628E" w14:textId="0C4F310E" w:rsidR="00CE13DE" w:rsidRPr="00025F4D" w:rsidRDefault="00025F4D" w:rsidP="00025F4D">
      <w:pPr>
        <w:numPr>
          <w:ilvl w:val="0"/>
          <w:numId w:val="24"/>
        </w:numPr>
        <w:spacing w:after="0" w:line="300" w:lineRule="auto"/>
        <w:rPr>
          <w:rFonts w:ascii="Calibri" w:eastAsia="Calibri" w:hAnsi="Calibri" w:cs="Times New Roman"/>
        </w:rPr>
      </w:pPr>
      <w:r w:rsidRPr="00757BB5">
        <w:rPr>
          <w:rFonts w:ascii="Calibri" w:eastAsia="Times New Roman" w:hAnsi="Calibri" w:cs="Calibri"/>
          <w:iCs/>
          <w:lang w:eastAsia="pl-PL"/>
        </w:rPr>
        <w:t>Zakład Gospodarowania Nieruchomościami w Dzielnicy Ochota</w:t>
      </w:r>
      <w:r w:rsidRPr="00757BB5">
        <w:rPr>
          <w:rFonts w:ascii="Calibri" w:eastAsia="Calibri" w:hAnsi="Calibri" w:cs="Times New Roman"/>
        </w:rPr>
        <w:t xml:space="preserve"> m.st. Warszawy </w:t>
      </w:r>
      <w:r>
        <w:rPr>
          <w:rFonts w:ascii="Calibri" w:eastAsia="Calibri" w:hAnsi="Calibri" w:cs="Times New Roman"/>
        </w:rPr>
        <w:t xml:space="preserve">w roku 2024 </w:t>
      </w:r>
      <w:r w:rsidRPr="00757BB5">
        <w:rPr>
          <w:rFonts w:ascii="Calibri" w:eastAsia="Calibri" w:hAnsi="Calibri" w:cs="Times New Roman"/>
        </w:rPr>
        <w:t xml:space="preserve">kontynuował program związany z utworzeniem na terenie Dzielnicy Ochota m.st. Warszawy Stref Mieszkańca. Powierzone zadanie związane było z przyjmowaniem wniosków od mieszkańców, ich weryfikacją, oraz przygotowaniem i wydaniem stosownego identyfikatora. W tym okresie zostało wydanych </w:t>
      </w:r>
      <w:r w:rsidR="009C35C0" w:rsidRPr="009C35C0">
        <w:rPr>
          <w:rFonts w:ascii="Calibri" w:eastAsia="Calibri" w:hAnsi="Calibri" w:cs="Times New Roman"/>
          <w:b/>
          <w:bCs/>
        </w:rPr>
        <w:t>1.250</w:t>
      </w:r>
      <w:r w:rsidRPr="009C35C0">
        <w:rPr>
          <w:rFonts w:ascii="Calibri" w:eastAsia="Calibri" w:hAnsi="Calibri" w:cs="Times New Roman"/>
          <w:b/>
          <w:bCs/>
        </w:rPr>
        <w:t xml:space="preserve"> szt.</w:t>
      </w:r>
      <w:r w:rsidRPr="00757BB5">
        <w:rPr>
          <w:rFonts w:ascii="Calibri" w:eastAsia="Calibri" w:hAnsi="Calibri" w:cs="Times New Roman"/>
        </w:rPr>
        <w:t xml:space="preserve"> identyfikatorów zgodnie z obowiązującą zmianą do uchwały nr 3151/2021 Zarządu Dzielnicy Ochota m.st. Warszawy z dn. 31.08.2022 roku (Uchwała nr 4019/2022). </w:t>
      </w:r>
    </w:p>
    <w:p w14:paraId="7CF5B66C" w14:textId="77777777" w:rsidR="00E27AEA" w:rsidRPr="002B2BE2" w:rsidRDefault="00E27AEA" w:rsidP="00FA31E9">
      <w:pPr>
        <w:numPr>
          <w:ilvl w:val="0"/>
          <w:numId w:val="24"/>
        </w:numPr>
        <w:spacing w:after="0" w:line="300" w:lineRule="auto"/>
        <w:rPr>
          <w:rFonts w:ascii="Calibri" w:eastAsia="Calibri" w:hAnsi="Calibri" w:cs="Times New Roman"/>
        </w:rPr>
      </w:pPr>
      <w:r w:rsidRPr="002B2BE2">
        <w:rPr>
          <w:rFonts w:ascii="Calibri" w:eastAsia="Times New Roman" w:hAnsi="Calibri" w:cs="Calibri"/>
          <w:lang w:eastAsia="pl-PL"/>
        </w:rPr>
        <w:t>W 2024 r. Zakład Gospodarowania Nieruchomościami w Dzielnicy Ochota przyjął w zarząd i administrowanie 1 nieruchomość zabudowaną budynkiem niemieszkalnym przy ul. Częstochowskiej 4A o powierzchni 1632,00 m</w:t>
      </w:r>
      <w:r w:rsidRPr="002B2BE2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2B2BE2">
        <w:rPr>
          <w:rFonts w:ascii="Calibri" w:eastAsia="Times New Roman" w:hAnsi="Calibri" w:cs="Calibri"/>
          <w:lang w:eastAsia="pl-PL"/>
        </w:rPr>
        <w:t xml:space="preserve">.  </w:t>
      </w:r>
    </w:p>
    <w:p w14:paraId="77A6BFC5" w14:textId="321DAF9F" w:rsidR="00035A82" w:rsidRPr="00025F4D" w:rsidRDefault="00E27AEA" w:rsidP="00025F4D">
      <w:pPr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 xml:space="preserve">Ponadto Zakład Gospodarowania Nieruchomościami w Dzielnicy Ochota realizował we własnym zakresie inne zadania związane z przejmowanymi nieruchomościami, które nie były przekazane w administrowanie żadnemu podmiotowi w zakresie: obsługi administracyjno-księgowej, odczyty wodomierzy, rozliczenia mediów, przekazywania </w:t>
      </w:r>
      <w:r w:rsidRPr="002B2BE2">
        <w:rPr>
          <w:rFonts w:ascii="Calibri" w:eastAsia="Times New Roman" w:hAnsi="Calibri" w:cs="Calibri"/>
          <w:lang w:eastAsia="pl-PL"/>
        </w:rPr>
        <w:lastRenderedPageBreak/>
        <w:t xml:space="preserve">korespondencji, prewencyjnego sprzątania, konserwacji oraz zabezpieczania budynków i działek, w tym również nieruchomości w stosunku co do których Wydział Nieruchomości w Dzielnicy Ochota prowadzi procedurę odzyskania od samoistnych posiadaczy. </w:t>
      </w:r>
      <w:bookmarkEnd w:id="22"/>
    </w:p>
    <w:p w14:paraId="79886AB2" w14:textId="77777777" w:rsidR="005D41CB" w:rsidRPr="002B2BE2" w:rsidRDefault="005D41CB" w:rsidP="005E0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3427A35E" w14:textId="47219CB7" w:rsidR="004855C7" w:rsidRPr="002B2BE2" w:rsidRDefault="0065268E" w:rsidP="00E6225A">
      <w:pPr>
        <w:pStyle w:val="Akapitzlist"/>
        <w:numPr>
          <w:ilvl w:val="0"/>
          <w:numId w:val="2"/>
        </w:numPr>
        <w:spacing w:after="120" w:line="240" w:lineRule="auto"/>
        <w:ind w:left="709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2BE2">
        <w:rPr>
          <w:rFonts w:eastAsia="Times New Roman" w:cstheme="minorHAnsi"/>
          <w:b/>
          <w:bCs/>
          <w:sz w:val="24"/>
          <w:szCs w:val="24"/>
          <w:lang w:eastAsia="pl-PL"/>
        </w:rPr>
        <w:t>BUDŻET JEDNOSTKI/SPRAWOZDANIE FINANSOWE</w:t>
      </w:r>
    </w:p>
    <w:p w14:paraId="6FB30AA9" w14:textId="77777777" w:rsidR="001D4697" w:rsidRPr="002B2BE2" w:rsidRDefault="00132548" w:rsidP="00705A9E">
      <w:pPr>
        <w:spacing w:after="0" w:line="240" w:lineRule="auto"/>
        <w:ind w:firstLine="709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Dane dotyczące budżetu jednostki przedstawiono w tabeli nr 2</w:t>
      </w:r>
      <w:r w:rsidR="00CD7FD7" w:rsidRPr="002B2BE2">
        <w:rPr>
          <w:rFonts w:eastAsia="Times New Roman" w:cstheme="minorHAnsi"/>
          <w:bCs/>
          <w:lang w:eastAsia="pl-PL"/>
        </w:rPr>
        <w:t>3</w:t>
      </w:r>
      <w:r w:rsidR="005E0D53" w:rsidRPr="002B2BE2">
        <w:rPr>
          <w:rFonts w:eastAsia="Times New Roman" w:cstheme="minorHAnsi"/>
          <w:bCs/>
          <w:lang w:eastAsia="pl-PL"/>
        </w:rPr>
        <w:t>.</w:t>
      </w:r>
    </w:p>
    <w:tbl>
      <w:tblPr>
        <w:tblW w:w="877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4760"/>
        <w:gridCol w:w="60"/>
        <w:gridCol w:w="3474"/>
        <w:gridCol w:w="425"/>
      </w:tblGrid>
      <w:tr w:rsidR="002B2BE2" w:rsidRPr="002B2BE2" w14:paraId="278ADA37" w14:textId="77777777" w:rsidTr="0077763A">
        <w:trPr>
          <w:gridBefore w:val="1"/>
          <w:gridAfter w:val="1"/>
          <w:wBefore w:w="60" w:type="dxa"/>
          <w:wAfter w:w="425" w:type="dxa"/>
          <w:trHeight w:val="27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2A61" w14:textId="77777777" w:rsidR="000D0F9B" w:rsidRPr="002B2BE2" w:rsidRDefault="000D0F9B" w:rsidP="007E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243E856E" w14:textId="28808F2B" w:rsidR="000D0F9B" w:rsidRPr="002B2BE2" w:rsidRDefault="000D0F9B" w:rsidP="007E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59B" w14:textId="77777777" w:rsidR="007E3D59" w:rsidRPr="002B2BE2" w:rsidRDefault="007E3D59" w:rsidP="007E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B2BE2" w:rsidRPr="002B2BE2" w14:paraId="11052552" w14:textId="77777777" w:rsidTr="0077763A">
        <w:trPr>
          <w:trHeight w:val="345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BBB16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Tabela nr 23</w:t>
            </w:r>
            <w:r w:rsidRPr="002B2BE2">
              <w:rPr>
                <w:rFonts w:ascii="Calibri" w:eastAsia="Times New Roman" w:hAnsi="Calibri" w:cs="Calibri"/>
                <w:lang w:eastAsia="pl-PL"/>
              </w:rPr>
              <w:t>- Budżet jednostki</w:t>
            </w:r>
          </w:p>
        </w:tc>
      </w:tr>
      <w:tr w:rsidR="002B2BE2" w:rsidRPr="002B2BE2" w14:paraId="20B0F85F" w14:textId="77777777" w:rsidTr="0077763A">
        <w:trPr>
          <w:trHeight w:val="64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649A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Pozycje dochodów i wydatków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290E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Stan na 31 grudnia roku sprawozdawczego</w:t>
            </w:r>
          </w:p>
        </w:tc>
      </w:tr>
      <w:tr w:rsidR="002B2BE2" w:rsidRPr="002B2BE2" w14:paraId="4ABD4307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18C6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1.Dochody ogółem(</w:t>
            </w:r>
            <w:proofErr w:type="spellStart"/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zg.z</w:t>
            </w:r>
            <w:proofErr w:type="spellEnd"/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RB-27)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299D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75 240 916,93</w:t>
            </w:r>
          </w:p>
        </w:tc>
      </w:tr>
      <w:tr w:rsidR="002B2BE2" w:rsidRPr="002B2BE2" w14:paraId="44C2B145" w14:textId="77777777" w:rsidTr="0077763A">
        <w:trPr>
          <w:trHeight w:val="64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38F6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a.dochody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z czynszu i odszkodowań za lokale mieszkalne (bez mediów)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11E7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19 820 322,55</w:t>
            </w:r>
          </w:p>
        </w:tc>
      </w:tr>
      <w:tr w:rsidR="002B2BE2" w:rsidRPr="002B2BE2" w14:paraId="49605540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828C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b.dochody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z mediów za lokale mieszkalne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36F0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23 654 046,79</w:t>
            </w:r>
          </w:p>
        </w:tc>
      </w:tr>
      <w:tr w:rsidR="002B2BE2" w:rsidRPr="002B2BE2" w14:paraId="040618FD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5DB5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c.dochody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z lokali użytkowych (bez mediów)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99FB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14 117 373,27</w:t>
            </w:r>
          </w:p>
        </w:tc>
      </w:tr>
      <w:tr w:rsidR="002B2BE2" w:rsidRPr="002B2BE2" w14:paraId="0F345AF3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5D7A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d.dochody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z mediów za lokale użytkowe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FAAC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6 041 022,69</w:t>
            </w:r>
          </w:p>
        </w:tc>
      </w:tr>
      <w:tr w:rsidR="002B2BE2" w:rsidRPr="002B2BE2" w14:paraId="34EB8FF6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D42C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e.pozostałe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dochody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8929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11 608 151,63</w:t>
            </w:r>
          </w:p>
        </w:tc>
      </w:tr>
      <w:tr w:rsidR="002B2BE2" w:rsidRPr="002B2BE2" w14:paraId="4CAA7229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8E55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2.Wydatki ogółem (</w:t>
            </w:r>
            <w:proofErr w:type="spellStart"/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zg.z</w:t>
            </w:r>
            <w:proofErr w:type="spellEnd"/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RB-28)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3508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b/>
                <w:bCs/>
                <w:lang w:eastAsia="pl-PL"/>
              </w:rPr>
              <w:t>73 785 877,15</w:t>
            </w:r>
          </w:p>
        </w:tc>
      </w:tr>
      <w:tr w:rsidR="002B2BE2" w:rsidRPr="002B2BE2" w14:paraId="1BD1A4C5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6B48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a.wydatki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na usługi (media dostarczane do lokali)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8192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34 727 692,46</w:t>
            </w:r>
          </w:p>
        </w:tc>
      </w:tr>
      <w:tr w:rsidR="002B2BE2" w:rsidRPr="002B2BE2" w14:paraId="11A5DDE0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CE2A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b.koszty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bieżącej eksploatacji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0EBB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13 294 668,28</w:t>
            </w:r>
          </w:p>
        </w:tc>
      </w:tr>
      <w:tr w:rsidR="002B2BE2" w:rsidRPr="002B2BE2" w14:paraId="1487C7CA" w14:textId="77777777" w:rsidTr="0077763A">
        <w:trPr>
          <w:trHeight w:val="64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87DC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- w tym wynagrodzenia pracowników na stanowiskach nierobotniczych (§ 4010)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C038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6 519 683,70</w:t>
            </w:r>
          </w:p>
        </w:tc>
      </w:tr>
      <w:tr w:rsidR="002B2BE2" w:rsidRPr="002B2BE2" w14:paraId="55BB774F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40A3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c.koszty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zarządu nieruchomościami wspólnymi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8628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14 598 306,30</w:t>
            </w:r>
          </w:p>
        </w:tc>
      </w:tr>
      <w:tr w:rsidR="002B2BE2" w:rsidRPr="002B2BE2" w14:paraId="21331AB4" w14:textId="77777777" w:rsidTr="0077763A">
        <w:trPr>
          <w:trHeight w:val="64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F62E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d.koszty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remontów oraz modernizacji lokali i budynków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0C71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6 741 469,30</w:t>
            </w:r>
          </w:p>
        </w:tc>
      </w:tr>
      <w:tr w:rsidR="002B2BE2" w:rsidRPr="002B2BE2" w14:paraId="4860787A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2217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 xml:space="preserve">- w tym 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96C3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B2BE2" w:rsidRPr="002B2BE2" w14:paraId="6F38CD81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BEA8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- wydatki na remonty pustostany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00CF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2 749 384,41</w:t>
            </w:r>
          </w:p>
        </w:tc>
      </w:tr>
      <w:tr w:rsidR="002B2BE2" w:rsidRPr="002B2BE2" w14:paraId="3A06176C" w14:textId="77777777" w:rsidTr="0077763A">
        <w:trPr>
          <w:trHeight w:val="645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B290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- wydatki na remonty i techniczne utrzymanie siedzib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434F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3 961 784,89</w:t>
            </w:r>
          </w:p>
        </w:tc>
      </w:tr>
      <w:tr w:rsidR="002B2BE2" w:rsidRPr="002B2BE2" w14:paraId="0666062D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6F77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- wydatki inwestycyjne *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EAEA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30 300,00</w:t>
            </w:r>
          </w:p>
        </w:tc>
      </w:tr>
      <w:tr w:rsidR="002B2BE2" w:rsidRPr="002B2BE2" w14:paraId="4317B244" w14:textId="77777777" w:rsidTr="0077763A">
        <w:trPr>
          <w:trHeight w:val="33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A6DF" w14:textId="77777777" w:rsidR="0077763A" w:rsidRPr="002B2BE2" w:rsidRDefault="0077763A" w:rsidP="0077763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B2BE2">
              <w:rPr>
                <w:rFonts w:ascii="Calibri" w:eastAsia="Times New Roman" w:hAnsi="Calibri" w:cs="Calibri"/>
                <w:lang w:eastAsia="pl-PL"/>
              </w:rPr>
              <w:t>e.pozostałe</w:t>
            </w:r>
            <w:proofErr w:type="spellEnd"/>
            <w:r w:rsidRPr="002B2BE2">
              <w:rPr>
                <w:rFonts w:ascii="Calibri" w:eastAsia="Times New Roman" w:hAnsi="Calibri" w:cs="Calibri"/>
                <w:lang w:eastAsia="pl-PL"/>
              </w:rPr>
              <w:t xml:space="preserve"> wydatki (inne działy niż dział 700)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672B" w14:textId="77777777" w:rsidR="0077763A" w:rsidRPr="002B2BE2" w:rsidRDefault="0077763A" w:rsidP="00777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2BE2">
              <w:rPr>
                <w:rFonts w:ascii="Calibri" w:eastAsia="Times New Roman" w:hAnsi="Calibri" w:cs="Calibri"/>
                <w:lang w:eastAsia="pl-PL"/>
              </w:rPr>
              <w:t>4 423 740,81</w:t>
            </w:r>
          </w:p>
        </w:tc>
      </w:tr>
    </w:tbl>
    <w:p w14:paraId="619B3927" w14:textId="452D69B0" w:rsidR="00BF5DEC" w:rsidRPr="002B2BE2" w:rsidRDefault="00BF5DEC" w:rsidP="00BF5DEC">
      <w:pPr>
        <w:spacing w:after="0" w:line="300" w:lineRule="auto"/>
        <w:rPr>
          <w:rFonts w:eastAsia="Times New Roman" w:cstheme="minorHAnsi"/>
          <w:bCs/>
          <w:lang w:eastAsia="pl-PL"/>
        </w:rPr>
      </w:pPr>
      <w:r w:rsidRPr="002B2BE2">
        <w:rPr>
          <w:rFonts w:eastAsia="Times New Roman" w:cstheme="minorHAnsi"/>
          <w:bCs/>
          <w:lang w:eastAsia="pl-PL"/>
        </w:rPr>
        <w:t>Opis szczegółowy do kwoty wykazanej w punkcie 2 litera e) tabeli 23.</w:t>
      </w:r>
    </w:p>
    <w:p w14:paraId="42B320C4" w14:textId="181F5A9B" w:rsidR="00712DBD" w:rsidRPr="002B2BE2" w:rsidRDefault="005338B6" w:rsidP="005338B6">
      <w:pPr>
        <w:spacing w:after="12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* w pozycji wydatki inwestycyjne są koszty 18 000,00 na "Doposażenie budynków przy ul. Tarczyńskiej 1, ul. Tarczyńskiej 3 i 3A, ul. Dunajeckiej" i koszty 12 300,00 na "Modernizacja podwórek Grójecka 47/51, Pasteura"</w:t>
      </w:r>
    </w:p>
    <w:p w14:paraId="485227A7" w14:textId="77777777" w:rsidR="005338B6" w:rsidRPr="002B2BE2" w:rsidRDefault="005338B6" w:rsidP="005338B6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W budżecie jednostki za 2024 r., w pozostałych wydatkach w dziale 500 i 900 mieszczą się środki wydatkowane na :</w:t>
      </w: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ab/>
      </w:r>
    </w:p>
    <w:p w14:paraId="12C7FE53" w14:textId="77777777" w:rsidR="005338B6" w:rsidRPr="002B2BE2" w:rsidRDefault="005338B6" w:rsidP="005338B6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Gospodarowanie targowiskami i nadzór nad handlem obwoźnym;</w:t>
      </w: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ab/>
        <w:t>4 109 987,81</w:t>
      </w:r>
    </w:p>
    <w:p w14:paraId="1D7462AA" w14:textId="77777777" w:rsidR="005338B6" w:rsidRPr="002B2BE2" w:rsidRDefault="005338B6" w:rsidP="005338B6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C/OCH/II/P5/10 - Budowa zadaszenia na targowisku Zieleniak</w:t>
      </w: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ab/>
        <w:t>220 293,00</w:t>
      </w:r>
    </w:p>
    <w:p w14:paraId="14F9C331" w14:textId="77777777" w:rsidR="005338B6" w:rsidRPr="002B2BE2" w:rsidRDefault="005338B6" w:rsidP="005338B6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C/OCH/II/P5/12 Budowa przyłącza </w:t>
      </w:r>
      <w:proofErr w:type="spellStart"/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wod-kan</w:t>
      </w:r>
      <w:proofErr w:type="spellEnd"/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</w:t>
      </w:r>
      <w:proofErr w:type="spellStart"/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TMołdawska</w:t>
      </w:r>
      <w:proofErr w:type="spellEnd"/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ab/>
        <w:t>51 660,00</w:t>
      </w:r>
    </w:p>
    <w:p w14:paraId="371014D3" w14:textId="02971B4E" w:rsidR="005338B6" w:rsidRPr="002B2BE2" w:rsidRDefault="005338B6" w:rsidP="005338B6">
      <w:pPr>
        <w:spacing w:after="12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Rozbiórka szaletu w Parku </w:t>
      </w:r>
      <w:proofErr w:type="spellStart"/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Szczęśliwickim</w:t>
      </w:r>
      <w:proofErr w:type="spellEnd"/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ab/>
        <w:t>41 800,00</w:t>
      </w:r>
    </w:p>
    <w:p w14:paraId="7D71685D" w14:textId="0612BDF2" w:rsidR="005338B6" w:rsidRDefault="005338B6" w:rsidP="00BF5DEC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>W 2024 r. plan wydatków został zrealizowany przez ZGN  w  96,86 %, natomiast plan dochodów w 100,45%.</w:t>
      </w:r>
      <w:r w:rsidRPr="002B2BE2">
        <w:rPr>
          <w:rFonts w:eastAsia="Times New Roman" w:cstheme="minorHAnsi"/>
          <w:bCs/>
          <w:i/>
          <w:iCs/>
          <w:sz w:val="20"/>
          <w:szCs w:val="20"/>
          <w:lang w:eastAsia="pl-PL"/>
        </w:rPr>
        <w:tab/>
      </w:r>
    </w:p>
    <w:p w14:paraId="4EF65D05" w14:textId="77777777" w:rsidR="00035A82" w:rsidRDefault="00035A82" w:rsidP="00BF5DEC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3946544F" w14:textId="77777777" w:rsidR="00035A82" w:rsidRPr="002B2BE2" w:rsidRDefault="00035A82" w:rsidP="00BF5DEC">
      <w:pPr>
        <w:spacing w:after="0" w:line="300" w:lineRule="auto"/>
        <w:rPr>
          <w:rFonts w:eastAsia="Times New Roman" w:cstheme="minorHAnsi"/>
          <w:bCs/>
          <w:i/>
          <w:iCs/>
          <w:sz w:val="20"/>
          <w:szCs w:val="20"/>
          <w:highlight w:val="yellow"/>
          <w:lang w:eastAsia="pl-PL"/>
        </w:rPr>
      </w:pPr>
    </w:p>
    <w:p w14:paraId="2CD01A18" w14:textId="00E6FDEC" w:rsidR="002D0A5A" w:rsidRPr="002B2BE2" w:rsidRDefault="0065268E" w:rsidP="004F145B">
      <w:pPr>
        <w:pStyle w:val="Akapitzlist"/>
        <w:numPr>
          <w:ilvl w:val="0"/>
          <w:numId w:val="2"/>
        </w:numPr>
        <w:spacing w:after="0" w:line="240" w:lineRule="auto"/>
        <w:ind w:left="709"/>
        <w:rPr>
          <w:rFonts w:eastAsia="Times New Roman" w:cstheme="minorHAnsi"/>
          <w:b/>
          <w:bCs/>
          <w:lang w:eastAsia="pl-PL"/>
        </w:rPr>
      </w:pPr>
      <w:r w:rsidRPr="002B2BE2">
        <w:rPr>
          <w:rFonts w:eastAsia="Times New Roman" w:cstheme="minorHAnsi"/>
          <w:b/>
          <w:bCs/>
          <w:lang w:eastAsia="pl-PL"/>
        </w:rPr>
        <w:t>PODSUMOWANIE</w:t>
      </w:r>
      <w:r w:rsidR="002D0A5A" w:rsidRPr="002B2BE2">
        <w:rPr>
          <w:rFonts w:eastAsia="Times New Roman" w:cstheme="minorHAnsi"/>
          <w:b/>
          <w:bCs/>
          <w:lang w:eastAsia="pl-PL"/>
        </w:rPr>
        <w:t xml:space="preserve"> </w:t>
      </w:r>
    </w:p>
    <w:p w14:paraId="5F031830" w14:textId="77777777" w:rsidR="001A1B07" w:rsidRPr="002B2BE2" w:rsidRDefault="001A1B07" w:rsidP="00456B11">
      <w:pPr>
        <w:spacing w:after="120" w:line="300" w:lineRule="auto"/>
        <w:rPr>
          <w:rFonts w:eastAsia="Times New Roman" w:cstheme="minorHAnsi"/>
          <w:highlight w:val="yellow"/>
          <w:lang w:eastAsia="pl-PL"/>
        </w:rPr>
      </w:pPr>
    </w:p>
    <w:p w14:paraId="1254512B" w14:textId="2EA1E25E" w:rsidR="00EB7495" w:rsidRPr="002B2BE2" w:rsidRDefault="00EB7495" w:rsidP="00456B11">
      <w:pPr>
        <w:pStyle w:val="Akapitzlist"/>
        <w:spacing w:after="120" w:line="300" w:lineRule="auto"/>
        <w:ind w:left="709"/>
        <w:contextualSpacing w:val="0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Rok 202</w:t>
      </w:r>
      <w:r w:rsidR="00456B11" w:rsidRPr="002B2BE2">
        <w:rPr>
          <w:rFonts w:eastAsia="Times New Roman" w:cstheme="minorHAnsi"/>
          <w:lang w:eastAsia="pl-PL"/>
        </w:rPr>
        <w:t>4</w:t>
      </w:r>
      <w:r w:rsidRPr="002B2BE2">
        <w:rPr>
          <w:rFonts w:eastAsia="Times New Roman" w:cstheme="minorHAnsi"/>
          <w:lang w:eastAsia="pl-PL"/>
        </w:rPr>
        <w:t xml:space="preserve"> był </w:t>
      </w:r>
      <w:r w:rsidR="00456B11" w:rsidRPr="002B2BE2">
        <w:rPr>
          <w:rFonts w:eastAsia="Times New Roman" w:cstheme="minorHAnsi"/>
          <w:lang w:eastAsia="pl-PL"/>
        </w:rPr>
        <w:t xml:space="preserve">kolejnym rokiem </w:t>
      </w:r>
      <w:r w:rsidRPr="002B2BE2">
        <w:rPr>
          <w:rFonts w:eastAsia="Times New Roman" w:cstheme="minorHAnsi"/>
          <w:lang w:eastAsia="pl-PL"/>
        </w:rPr>
        <w:t>kontynuacj</w:t>
      </w:r>
      <w:r w:rsidR="00456B11" w:rsidRPr="002B2BE2">
        <w:rPr>
          <w:rFonts w:eastAsia="Times New Roman" w:cstheme="minorHAnsi"/>
          <w:lang w:eastAsia="pl-PL"/>
        </w:rPr>
        <w:t>i i realizacji</w:t>
      </w:r>
      <w:r w:rsidRPr="002B2BE2">
        <w:rPr>
          <w:rFonts w:eastAsia="Times New Roman" w:cstheme="minorHAnsi"/>
          <w:lang w:eastAsia="pl-PL"/>
        </w:rPr>
        <w:t xml:space="preserve"> naszych głównych celów, w tym:</w:t>
      </w:r>
    </w:p>
    <w:p w14:paraId="47BA9BEA" w14:textId="7FA9CABD" w:rsidR="00EB7495" w:rsidRPr="002B2BE2" w:rsidRDefault="00EB7495" w:rsidP="00FA31E9">
      <w:pPr>
        <w:pStyle w:val="Akapitzlist"/>
        <w:numPr>
          <w:ilvl w:val="0"/>
          <w:numId w:val="18"/>
        </w:numPr>
        <w:spacing w:after="120" w:line="300" w:lineRule="auto"/>
        <w:ind w:left="1066" w:hanging="357"/>
        <w:contextualSpacing w:val="0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maksymalizacj</w:t>
      </w:r>
      <w:r w:rsidR="00456B11" w:rsidRPr="002B2BE2">
        <w:rPr>
          <w:rFonts w:eastAsia="Times New Roman" w:cstheme="minorHAnsi"/>
          <w:lang w:eastAsia="pl-PL"/>
        </w:rPr>
        <w:t>i</w:t>
      </w:r>
      <w:r w:rsidRPr="002B2BE2">
        <w:rPr>
          <w:rFonts w:eastAsia="Times New Roman" w:cstheme="minorHAnsi"/>
          <w:lang w:eastAsia="pl-PL"/>
        </w:rPr>
        <w:t xml:space="preserve"> dochodów i minimalizacja kosztów - w 202</w:t>
      </w:r>
      <w:r w:rsidR="00456B11" w:rsidRPr="002B2BE2">
        <w:rPr>
          <w:rFonts w:eastAsia="Times New Roman" w:cstheme="minorHAnsi"/>
          <w:lang w:eastAsia="pl-PL"/>
        </w:rPr>
        <w:t>4</w:t>
      </w:r>
      <w:r w:rsidRPr="002B2BE2">
        <w:rPr>
          <w:rFonts w:eastAsia="Times New Roman" w:cstheme="minorHAnsi"/>
          <w:lang w:eastAsia="pl-PL"/>
        </w:rPr>
        <w:t xml:space="preserve"> r. </w:t>
      </w:r>
      <w:r w:rsidRPr="002B2BE2">
        <w:rPr>
          <w:rFonts w:eastAsia="Times New Roman" w:cstheme="minorHAnsi"/>
          <w:b/>
          <w:bCs/>
          <w:lang w:eastAsia="pl-PL"/>
        </w:rPr>
        <w:t>plan dochodów</w:t>
      </w:r>
      <w:r w:rsidRPr="002B2BE2">
        <w:rPr>
          <w:rFonts w:eastAsia="Times New Roman" w:cstheme="minorHAnsi"/>
          <w:lang w:eastAsia="pl-PL"/>
        </w:rPr>
        <w:t xml:space="preserve"> został zrealizowany przez nas w  </w:t>
      </w:r>
      <w:r w:rsidR="00456B11" w:rsidRPr="002B2BE2">
        <w:rPr>
          <w:rFonts w:eastAsia="Times New Roman" w:cstheme="minorHAnsi"/>
          <w:lang w:eastAsia="pl-PL"/>
        </w:rPr>
        <w:t xml:space="preserve">wysokości </w:t>
      </w:r>
      <w:r w:rsidR="00456B11" w:rsidRPr="002B2BE2">
        <w:rPr>
          <w:rFonts w:eastAsia="Times New Roman" w:cstheme="minorHAnsi"/>
          <w:b/>
          <w:bCs/>
          <w:lang w:eastAsia="pl-PL"/>
        </w:rPr>
        <w:t>100</w:t>
      </w:r>
      <w:r w:rsidR="00104A0A">
        <w:rPr>
          <w:rFonts w:eastAsia="Times New Roman" w:cstheme="minorHAnsi"/>
          <w:b/>
          <w:bCs/>
          <w:lang w:eastAsia="pl-PL"/>
        </w:rPr>
        <w:t>,45</w:t>
      </w:r>
      <w:r w:rsidRPr="002B2BE2">
        <w:rPr>
          <w:rFonts w:eastAsia="Times New Roman" w:cstheme="minorHAnsi"/>
          <w:b/>
          <w:bCs/>
          <w:lang w:eastAsia="pl-PL"/>
        </w:rPr>
        <w:t>%,</w:t>
      </w:r>
      <w:r w:rsidRPr="002B2BE2">
        <w:rPr>
          <w:rFonts w:eastAsia="Times New Roman" w:cstheme="minorHAnsi"/>
          <w:lang w:eastAsia="pl-PL"/>
        </w:rPr>
        <w:t xml:space="preserve"> natomiast </w:t>
      </w:r>
      <w:r w:rsidRPr="002B2BE2">
        <w:rPr>
          <w:rFonts w:eastAsia="Times New Roman" w:cstheme="minorHAnsi"/>
          <w:b/>
          <w:bCs/>
          <w:lang w:eastAsia="pl-PL"/>
        </w:rPr>
        <w:t>plan wydatków</w:t>
      </w:r>
      <w:r w:rsidRPr="002B2BE2">
        <w:rPr>
          <w:rFonts w:eastAsia="Times New Roman" w:cstheme="minorHAnsi"/>
          <w:lang w:eastAsia="pl-PL"/>
        </w:rPr>
        <w:t xml:space="preserve"> w </w:t>
      </w:r>
      <w:r w:rsidR="00456B11" w:rsidRPr="002B2BE2">
        <w:rPr>
          <w:rFonts w:eastAsia="Times New Roman" w:cstheme="minorHAnsi"/>
          <w:b/>
          <w:bCs/>
          <w:lang w:eastAsia="pl-PL"/>
        </w:rPr>
        <w:t>9</w:t>
      </w:r>
      <w:r w:rsidR="00104A0A">
        <w:rPr>
          <w:rFonts w:eastAsia="Times New Roman" w:cstheme="minorHAnsi"/>
          <w:b/>
          <w:bCs/>
          <w:lang w:eastAsia="pl-PL"/>
        </w:rPr>
        <w:t>6,86</w:t>
      </w:r>
      <w:r w:rsidR="00456B11" w:rsidRPr="002B2BE2">
        <w:rPr>
          <w:rFonts w:eastAsia="Times New Roman" w:cstheme="minorHAnsi"/>
          <w:b/>
          <w:bCs/>
          <w:lang w:eastAsia="pl-PL"/>
        </w:rPr>
        <w:t>%</w:t>
      </w:r>
      <w:r w:rsidRPr="002B2BE2">
        <w:rPr>
          <w:rFonts w:eastAsia="Times New Roman" w:cstheme="minorHAnsi"/>
          <w:b/>
          <w:bCs/>
          <w:lang w:eastAsia="pl-PL"/>
        </w:rPr>
        <w:t>;</w:t>
      </w:r>
    </w:p>
    <w:p w14:paraId="5DA9DD54" w14:textId="77777777" w:rsidR="0078083C" w:rsidRPr="002B2BE2" w:rsidRDefault="0078083C" w:rsidP="0078083C">
      <w:pPr>
        <w:tabs>
          <w:tab w:val="left" w:pos="8789"/>
        </w:tabs>
        <w:spacing w:after="0" w:line="360" w:lineRule="auto"/>
        <w:ind w:left="1072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>W poprzednich latach realizacja budżetu kształtowała się następująco:</w:t>
      </w:r>
    </w:p>
    <w:p w14:paraId="10F27C11" w14:textId="3F13A316" w:rsidR="0078083C" w:rsidRPr="002B2BE2" w:rsidRDefault="00456B11" w:rsidP="00FA31E9">
      <w:pPr>
        <w:pStyle w:val="Akapitzlist"/>
        <w:numPr>
          <w:ilvl w:val="0"/>
          <w:numId w:val="26"/>
        </w:numPr>
        <w:tabs>
          <w:tab w:val="left" w:pos="8789"/>
        </w:tabs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 xml:space="preserve">rok 2021 r.: </w:t>
      </w:r>
      <w:bookmarkStart w:id="23" w:name="_Hlk194308777"/>
      <w:r w:rsidR="00104A0A">
        <w:rPr>
          <w:rFonts w:ascii="Calibri" w:eastAsia="Times New Roman" w:hAnsi="Calibri" w:cs="Calibri"/>
          <w:b/>
          <w:bCs/>
          <w:lang w:eastAsia="pl-PL"/>
        </w:rPr>
        <w:t>dochody</w:t>
      </w:r>
      <w:bookmarkEnd w:id="23"/>
      <w:r w:rsidRPr="002B2BE2">
        <w:rPr>
          <w:rFonts w:ascii="Calibri" w:eastAsia="Times New Roman" w:hAnsi="Calibri" w:cs="Calibri"/>
          <w:b/>
          <w:bCs/>
          <w:lang w:eastAsia="pl-PL"/>
        </w:rPr>
        <w:t xml:space="preserve"> zrealizowane w wys. 100%, </w:t>
      </w:r>
      <w:bookmarkStart w:id="24" w:name="_Hlk194308803"/>
      <w:r w:rsidR="00104A0A">
        <w:rPr>
          <w:rFonts w:ascii="Calibri" w:eastAsia="Times New Roman" w:hAnsi="Calibri" w:cs="Calibri"/>
          <w:b/>
          <w:bCs/>
          <w:lang w:eastAsia="pl-PL"/>
        </w:rPr>
        <w:t>wydatki</w:t>
      </w:r>
      <w:r w:rsidRPr="002B2BE2">
        <w:rPr>
          <w:rFonts w:ascii="Calibri" w:eastAsia="Times New Roman" w:hAnsi="Calibri" w:cs="Calibri"/>
          <w:b/>
          <w:bCs/>
          <w:lang w:eastAsia="pl-PL"/>
        </w:rPr>
        <w:t xml:space="preserve"> </w:t>
      </w:r>
      <w:bookmarkEnd w:id="24"/>
      <w:r w:rsidRPr="002B2BE2">
        <w:rPr>
          <w:rFonts w:ascii="Calibri" w:eastAsia="Times New Roman" w:hAnsi="Calibri" w:cs="Calibri"/>
          <w:b/>
          <w:bCs/>
          <w:lang w:eastAsia="pl-PL"/>
        </w:rPr>
        <w:t>w 97%</w:t>
      </w:r>
      <w:r w:rsidR="0078083C" w:rsidRPr="002B2BE2">
        <w:rPr>
          <w:rFonts w:ascii="Calibri" w:eastAsia="Times New Roman" w:hAnsi="Calibri" w:cs="Calibri"/>
          <w:b/>
          <w:bCs/>
          <w:lang w:eastAsia="pl-PL"/>
        </w:rPr>
        <w:t>,</w:t>
      </w:r>
    </w:p>
    <w:p w14:paraId="1F83B8B6" w14:textId="7C8A5859" w:rsidR="0078083C" w:rsidRPr="002B2BE2" w:rsidRDefault="00456B11" w:rsidP="00FA31E9">
      <w:pPr>
        <w:pStyle w:val="Akapitzlist"/>
        <w:numPr>
          <w:ilvl w:val="0"/>
          <w:numId w:val="26"/>
        </w:numPr>
        <w:tabs>
          <w:tab w:val="left" w:pos="8789"/>
        </w:tabs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 xml:space="preserve">rok 2022 r. </w:t>
      </w:r>
      <w:r w:rsidR="00104A0A">
        <w:rPr>
          <w:rFonts w:ascii="Calibri" w:eastAsia="Times New Roman" w:hAnsi="Calibri" w:cs="Calibri"/>
          <w:b/>
          <w:bCs/>
          <w:lang w:eastAsia="pl-PL"/>
        </w:rPr>
        <w:t>dochody</w:t>
      </w:r>
      <w:r w:rsidRPr="002B2BE2">
        <w:rPr>
          <w:rFonts w:ascii="Calibri" w:eastAsia="Times New Roman" w:hAnsi="Calibri" w:cs="Calibri"/>
          <w:b/>
          <w:bCs/>
          <w:lang w:eastAsia="pl-PL"/>
        </w:rPr>
        <w:t xml:space="preserve"> zrealizowane w wys. 99,74%, </w:t>
      </w:r>
      <w:r w:rsidR="00104A0A">
        <w:rPr>
          <w:rFonts w:ascii="Calibri" w:eastAsia="Times New Roman" w:hAnsi="Calibri" w:cs="Calibri"/>
          <w:b/>
          <w:bCs/>
          <w:lang w:eastAsia="pl-PL"/>
        </w:rPr>
        <w:t>wydatki</w:t>
      </w:r>
      <w:r w:rsidRPr="002B2BE2">
        <w:rPr>
          <w:rFonts w:ascii="Calibri" w:eastAsia="Times New Roman" w:hAnsi="Calibri" w:cs="Calibri"/>
          <w:b/>
          <w:bCs/>
          <w:lang w:eastAsia="pl-PL"/>
        </w:rPr>
        <w:t xml:space="preserve"> w 99,66%</w:t>
      </w:r>
      <w:r w:rsidR="0078083C" w:rsidRPr="002B2BE2">
        <w:rPr>
          <w:rFonts w:ascii="Calibri" w:eastAsia="Times New Roman" w:hAnsi="Calibri" w:cs="Calibri"/>
          <w:b/>
          <w:bCs/>
          <w:lang w:eastAsia="pl-PL"/>
        </w:rPr>
        <w:t>,</w:t>
      </w:r>
    </w:p>
    <w:p w14:paraId="234B6CE4" w14:textId="0E2C9425" w:rsidR="0078083C" w:rsidRPr="002B2BE2" w:rsidRDefault="00456B11" w:rsidP="00FA31E9">
      <w:pPr>
        <w:pStyle w:val="Akapitzlist"/>
        <w:numPr>
          <w:ilvl w:val="0"/>
          <w:numId w:val="26"/>
        </w:numPr>
        <w:tabs>
          <w:tab w:val="left" w:pos="8789"/>
        </w:tabs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2B2BE2">
        <w:rPr>
          <w:rFonts w:ascii="Calibri" w:eastAsia="Times New Roman" w:hAnsi="Calibri" w:cs="Calibri"/>
          <w:lang w:eastAsia="pl-PL"/>
        </w:rPr>
        <w:t xml:space="preserve">rok 2023 r. </w:t>
      </w:r>
      <w:r w:rsidR="00104A0A">
        <w:rPr>
          <w:rFonts w:ascii="Calibri" w:eastAsia="Times New Roman" w:hAnsi="Calibri" w:cs="Calibri"/>
          <w:b/>
          <w:bCs/>
          <w:lang w:eastAsia="pl-PL"/>
        </w:rPr>
        <w:t>dochody</w:t>
      </w:r>
      <w:r w:rsidRPr="002B2BE2">
        <w:rPr>
          <w:rFonts w:ascii="Calibri" w:eastAsia="Times New Roman" w:hAnsi="Calibri" w:cs="Calibri"/>
          <w:b/>
          <w:bCs/>
          <w:lang w:eastAsia="pl-PL"/>
        </w:rPr>
        <w:t xml:space="preserve"> zrealizowane w wys. 99,28%, </w:t>
      </w:r>
      <w:r w:rsidR="00104A0A">
        <w:rPr>
          <w:rFonts w:ascii="Calibri" w:eastAsia="Times New Roman" w:hAnsi="Calibri" w:cs="Calibri"/>
          <w:b/>
          <w:bCs/>
          <w:lang w:eastAsia="pl-PL"/>
        </w:rPr>
        <w:t>wydatki</w:t>
      </w:r>
      <w:r w:rsidRPr="002B2BE2">
        <w:rPr>
          <w:rFonts w:ascii="Calibri" w:eastAsia="Times New Roman" w:hAnsi="Calibri" w:cs="Calibri"/>
          <w:b/>
          <w:bCs/>
          <w:lang w:eastAsia="pl-PL"/>
        </w:rPr>
        <w:t xml:space="preserve"> w 96,58%</w:t>
      </w:r>
      <w:r w:rsidR="0078083C" w:rsidRPr="002B2BE2">
        <w:rPr>
          <w:rFonts w:ascii="Calibri" w:eastAsia="Times New Roman" w:hAnsi="Calibri" w:cs="Calibri"/>
          <w:b/>
          <w:bCs/>
          <w:lang w:eastAsia="pl-PL"/>
        </w:rPr>
        <w:t>.</w:t>
      </w:r>
      <w:r w:rsidRPr="002B2BE2">
        <w:rPr>
          <w:rFonts w:ascii="Calibri" w:eastAsia="Times New Roman" w:hAnsi="Calibri" w:cs="Calibri"/>
          <w:lang w:eastAsia="pl-PL"/>
        </w:rPr>
        <w:t xml:space="preserve"> </w:t>
      </w:r>
    </w:p>
    <w:p w14:paraId="109E2FF5" w14:textId="1F11AC78" w:rsidR="0078083C" w:rsidRPr="002B2BE2" w:rsidRDefault="0078083C" w:rsidP="00FA31E9">
      <w:pPr>
        <w:numPr>
          <w:ilvl w:val="0"/>
          <w:numId w:val="18"/>
        </w:numPr>
        <w:tabs>
          <w:tab w:val="left" w:pos="8789"/>
        </w:tabs>
        <w:spacing w:after="120" w:line="300" w:lineRule="auto"/>
        <w:ind w:left="1066" w:hanging="357"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utrzymanie tendencji wzrostowej dochodów – w 2024 r. w porównaniu do 2023 r. dochody wzrosły o 12%</w:t>
      </w:r>
      <w:r w:rsidR="00616ABA" w:rsidRPr="002B2BE2">
        <w:rPr>
          <w:rFonts w:eastAsia="Times New Roman" w:cstheme="minorHAnsi"/>
          <w:lang w:eastAsia="pl-PL"/>
        </w:rPr>
        <w:t xml:space="preserve"> (ponad 8 mln zł) </w:t>
      </w:r>
      <w:r w:rsidRPr="002B2BE2">
        <w:rPr>
          <w:rFonts w:eastAsia="Times New Roman" w:cstheme="minorHAnsi"/>
          <w:lang w:eastAsia="pl-PL"/>
        </w:rPr>
        <w:t>, a w porównaniu do 2021 r. o 48%</w:t>
      </w:r>
      <w:r w:rsidR="00616ABA" w:rsidRPr="002B2BE2">
        <w:rPr>
          <w:rFonts w:eastAsia="Times New Roman" w:cstheme="minorHAnsi"/>
          <w:lang w:eastAsia="pl-PL"/>
        </w:rPr>
        <w:t xml:space="preserve"> (ponad 24.4 mln zł)</w:t>
      </w:r>
      <w:r w:rsidRPr="002B2BE2">
        <w:rPr>
          <w:rFonts w:eastAsia="Times New Roman" w:cstheme="minorHAnsi"/>
          <w:lang w:eastAsia="pl-PL"/>
        </w:rPr>
        <w:t>;</w:t>
      </w:r>
    </w:p>
    <w:p w14:paraId="30D9C4ED" w14:textId="50E74526" w:rsidR="00490E20" w:rsidRPr="002B2BE2" w:rsidRDefault="00490E20" w:rsidP="00FA31E9">
      <w:pPr>
        <w:numPr>
          <w:ilvl w:val="0"/>
          <w:numId w:val="18"/>
        </w:numPr>
        <w:tabs>
          <w:tab w:val="left" w:pos="8789"/>
        </w:tabs>
        <w:spacing w:after="120" w:line="300" w:lineRule="auto"/>
        <w:contextualSpacing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utrzymanie wysokiego poziomu obsługi naszych kontrahentów (najemcy, jednostki m.st. Warszawy, usługodawcy, inne instytucje, itp.) na co wskazuje brak skarg w 2024 r. – ponad</w:t>
      </w:r>
      <w:r w:rsidR="00734BE3" w:rsidRPr="002B2BE2">
        <w:rPr>
          <w:rFonts w:eastAsia="Times New Roman" w:cstheme="minorHAnsi"/>
          <w:lang w:eastAsia="pl-PL"/>
        </w:rPr>
        <w:t>to</w:t>
      </w:r>
      <w:r w:rsidRPr="002B2BE2">
        <w:rPr>
          <w:rFonts w:eastAsia="Times New Roman" w:cstheme="minorHAnsi"/>
          <w:lang w:eastAsia="pl-PL"/>
        </w:rPr>
        <w:t xml:space="preserve"> w tym czasie wpłynęło do ZGN Ochota 17 410 pism, które wymagały podjęcia przez nas stosownych działań.</w:t>
      </w:r>
    </w:p>
    <w:p w14:paraId="234D6F71" w14:textId="77777777" w:rsidR="00616ABA" w:rsidRPr="002B2BE2" w:rsidRDefault="00616ABA" w:rsidP="00616ABA">
      <w:pPr>
        <w:tabs>
          <w:tab w:val="left" w:pos="8789"/>
        </w:tabs>
        <w:spacing w:after="120" w:line="300" w:lineRule="auto"/>
        <w:contextualSpacing/>
        <w:rPr>
          <w:rFonts w:eastAsia="Times New Roman" w:cstheme="minorHAnsi"/>
          <w:lang w:eastAsia="pl-PL"/>
        </w:rPr>
      </w:pPr>
    </w:p>
    <w:p w14:paraId="0F0EE973" w14:textId="6171091D" w:rsidR="00616ABA" w:rsidRPr="002B2BE2" w:rsidRDefault="00734BE3" w:rsidP="00616ABA">
      <w:pPr>
        <w:tabs>
          <w:tab w:val="left" w:pos="8789"/>
        </w:tabs>
        <w:spacing w:after="120" w:line="300" w:lineRule="auto"/>
        <w:ind w:left="709"/>
        <w:contextualSpacing/>
        <w:rPr>
          <w:rFonts w:eastAsia="Times New Roman" w:cstheme="minorHAnsi"/>
          <w:lang w:eastAsia="pl-PL"/>
        </w:rPr>
      </w:pPr>
      <w:r w:rsidRPr="002B2BE2">
        <w:rPr>
          <w:rFonts w:eastAsia="Times New Roman" w:cstheme="minorHAnsi"/>
          <w:lang w:eastAsia="pl-PL"/>
        </w:rPr>
        <w:t>Pod koniec 2024 r. ogłosiliśmy postępowania w ramach zamówień publicznych na dostarczenie nowego zintegrowanego systemu informatycznego. W grudniu został ogłoszony wynik postępowania, w trakcie, którego została wybrana firma SOFTHARD S.A., z którą w styczniu 2025 r. podpisaliśmy umowę.</w:t>
      </w:r>
    </w:p>
    <w:p w14:paraId="58214709" w14:textId="77777777" w:rsidR="00B47748" w:rsidRPr="002B2BE2" w:rsidRDefault="00B47748" w:rsidP="004E6622">
      <w:pPr>
        <w:pStyle w:val="Akapitzlist"/>
        <w:spacing w:after="120" w:line="300" w:lineRule="auto"/>
        <w:ind w:left="1418"/>
        <w:rPr>
          <w:rFonts w:eastAsia="Times New Roman" w:cstheme="minorHAnsi"/>
          <w:lang w:eastAsia="pl-PL"/>
        </w:rPr>
      </w:pPr>
    </w:p>
    <w:sectPr w:rsidR="00B47748" w:rsidRPr="002B2BE2" w:rsidSect="005B0679">
      <w:footerReference w:type="default" r:id="rId3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DC98" w14:textId="77777777" w:rsidR="005B0679" w:rsidRDefault="005B0679">
      <w:pPr>
        <w:spacing w:after="0" w:line="240" w:lineRule="auto"/>
      </w:pPr>
      <w:r>
        <w:separator/>
      </w:r>
    </w:p>
  </w:endnote>
  <w:endnote w:type="continuationSeparator" w:id="0">
    <w:p w14:paraId="190608D5" w14:textId="77777777" w:rsidR="005B0679" w:rsidRDefault="005B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890278"/>
      <w:docPartObj>
        <w:docPartGallery w:val="Page Numbers (Bottom of Page)"/>
        <w:docPartUnique/>
      </w:docPartObj>
    </w:sdtPr>
    <w:sdtEndPr/>
    <w:sdtContent>
      <w:p w14:paraId="56F56EE8" w14:textId="77777777" w:rsidR="00446B32" w:rsidRDefault="00446B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07A">
          <w:rPr>
            <w:noProof/>
          </w:rPr>
          <w:t>1</w:t>
        </w:r>
        <w:r>
          <w:fldChar w:fldCharType="end"/>
        </w:r>
      </w:p>
    </w:sdtContent>
  </w:sdt>
  <w:p w14:paraId="20AC95B2" w14:textId="77777777" w:rsidR="00446B32" w:rsidRDefault="00446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4895" w14:textId="77777777" w:rsidR="005B0679" w:rsidRDefault="005B0679">
      <w:pPr>
        <w:spacing w:after="0" w:line="240" w:lineRule="auto"/>
      </w:pPr>
      <w:r>
        <w:separator/>
      </w:r>
    </w:p>
  </w:footnote>
  <w:footnote w:type="continuationSeparator" w:id="0">
    <w:p w14:paraId="68137B2C" w14:textId="77777777" w:rsidR="005B0679" w:rsidRDefault="005B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A55"/>
    <w:multiLevelType w:val="hybridMultilevel"/>
    <w:tmpl w:val="192647D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24B37"/>
    <w:multiLevelType w:val="hybridMultilevel"/>
    <w:tmpl w:val="B28AFCD0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21612"/>
    <w:multiLevelType w:val="hybridMultilevel"/>
    <w:tmpl w:val="B5367D7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27915"/>
    <w:multiLevelType w:val="multilevel"/>
    <w:tmpl w:val="0DE20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3E5EE4"/>
    <w:multiLevelType w:val="multilevel"/>
    <w:tmpl w:val="555E4CCE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5" w15:restartNumberingAfterBreak="0">
    <w:nsid w:val="102870A4"/>
    <w:multiLevelType w:val="hybridMultilevel"/>
    <w:tmpl w:val="D2BC117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B941B0"/>
    <w:multiLevelType w:val="hybridMultilevel"/>
    <w:tmpl w:val="9594B2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482FD6"/>
    <w:multiLevelType w:val="multilevel"/>
    <w:tmpl w:val="339AE9B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2.%3"/>
      <w:lvlJc w:val="left"/>
      <w:pPr>
        <w:ind w:left="1080" w:hanging="720"/>
      </w:pPr>
      <w:rPr>
        <w:rFonts w:hint="default"/>
        <w:b/>
        <w:color w:val="000000" w:themeColor="text1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423422"/>
    <w:multiLevelType w:val="hybridMultilevel"/>
    <w:tmpl w:val="74A4406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545A95"/>
    <w:multiLevelType w:val="hybridMultilevel"/>
    <w:tmpl w:val="B28AFCD0"/>
    <w:lvl w:ilvl="0" w:tplc="5A5CDC18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8C32FC"/>
    <w:multiLevelType w:val="hybridMultilevel"/>
    <w:tmpl w:val="EC8666D8"/>
    <w:lvl w:ilvl="0" w:tplc="F89C1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0059"/>
    <w:multiLevelType w:val="multilevel"/>
    <w:tmpl w:val="21B0D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1A0AA6"/>
    <w:multiLevelType w:val="hybridMultilevel"/>
    <w:tmpl w:val="4BAC6E00"/>
    <w:lvl w:ilvl="0" w:tplc="2A4E6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4A07"/>
    <w:multiLevelType w:val="multilevel"/>
    <w:tmpl w:val="89AE58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3300434"/>
    <w:multiLevelType w:val="hybridMultilevel"/>
    <w:tmpl w:val="D56044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D54DA"/>
    <w:multiLevelType w:val="hybridMultilevel"/>
    <w:tmpl w:val="7F2AD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2310"/>
    <w:multiLevelType w:val="multilevel"/>
    <w:tmpl w:val="A1BC472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64792"/>
    <w:multiLevelType w:val="hybridMultilevel"/>
    <w:tmpl w:val="CB761B4A"/>
    <w:lvl w:ilvl="0" w:tplc="34506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A7010F"/>
    <w:multiLevelType w:val="hybridMultilevel"/>
    <w:tmpl w:val="7EF631BE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7EF4082"/>
    <w:multiLevelType w:val="multilevel"/>
    <w:tmpl w:val="EDECFDF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5A291E19"/>
    <w:multiLevelType w:val="hybridMultilevel"/>
    <w:tmpl w:val="C0D2B9FE"/>
    <w:lvl w:ilvl="0" w:tplc="34506D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B6030A7"/>
    <w:multiLevelType w:val="hybridMultilevel"/>
    <w:tmpl w:val="8FFEA712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CF56947"/>
    <w:multiLevelType w:val="hybridMultilevel"/>
    <w:tmpl w:val="47BA2172"/>
    <w:lvl w:ilvl="0" w:tplc="2A4E6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327C28"/>
    <w:multiLevelType w:val="multilevel"/>
    <w:tmpl w:val="21B0D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3070BE"/>
    <w:multiLevelType w:val="hybridMultilevel"/>
    <w:tmpl w:val="BDA02F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95753"/>
    <w:multiLevelType w:val="hybridMultilevel"/>
    <w:tmpl w:val="D06E8CBA"/>
    <w:lvl w:ilvl="0" w:tplc="7270A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3F3A83"/>
    <w:multiLevelType w:val="multilevel"/>
    <w:tmpl w:val="024EB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23725639">
    <w:abstractNumId w:val="4"/>
  </w:num>
  <w:num w:numId="2" w16cid:durableId="25720479">
    <w:abstractNumId w:val="7"/>
  </w:num>
  <w:num w:numId="3" w16cid:durableId="91317479">
    <w:abstractNumId w:val="13"/>
  </w:num>
  <w:num w:numId="4" w16cid:durableId="1532916615">
    <w:abstractNumId w:val="11"/>
  </w:num>
  <w:num w:numId="5" w16cid:durableId="663431707">
    <w:abstractNumId w:val="19"/>
  </w:num>
  <w:num w:numId="6" w16cid:durableId="740637333">
    <w:abstractNumId w:val="3"/>
  </w:num>
  <w:num w:numId="7" w16cid:durableId="1521167673">
    <w:abstractNumId w:val="26"/>
  </w:num>
  <w:num w:numId="8" w16cid:durableId="1898277223">
    <w:abstractNumId w:val="16"/>
  </w:num>
  <w:num w:numId="9" w16cid:durableId="1658802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0117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808488">
    <w:abstractNumId w:val="25"/>
  </w:num>
  <w:num w:numId="12" w16cid:durableId="601642295">
    <w:abstractNumId w:val="22"/>
  </w:num>
  <w:num w:numId="13" w16cid:durableId="295568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2457871">
    <w:abstractNumId w:val="12"/>
  </w:num>
  <w:num w:numId="15" w16cid:durableId="1569682691">
    <w:abstractNumId w:val="14"/>
  </w:num>
  <w:num w:numId="16" w16cid:durableId="905804686">
    <w:abstractNumId w:val="1"/>
  </w:num>
  <w:num w:numId="17" w16cid:durableId="523523728">
    <w:abstractNumId w:val="15"/>
  </w:num>
  <w:num w:numId="18" w16cid:durableId="987635360">
    <w:abstractNumId w:val="5"/>
  </w:num>
  <w:num w:numId="19" w16cid:durableId="1247377998">
    <w:abstractNumId w:val="20"/>
  </w:num>
  <w:num w:numId="20" w16cid:durableId="1808007573">
    <w:abstractNumId w:val="18"/>
  </w:num>
  <w:num w:numId="21" w16cid:durableId="1855535578">
    <w:abstractNumId w:val="24"/>
  </w:num>
  <w:num w:numId="22" w16cid:durableId="549808041">
    <w:abstractNumId w:val="6"/>
  </w:num>
  <w:num w:numId="23" w16cid:durableId="1416701823">
    <w:abstractNumId w:val="23"/>
  </w:num>
  <w:num w:numId="24" w16cid:durableId="377317939">
    <w:abstractNumId w:val="2"/>
  </w:num>
  <w:num w:numId="25" w16cid:durableId="1151868653">
    <w:abstractNumId w:val="8"/>
  </w:num>
  <w:num w:numId="26" w16cid:durableId="1892500785">
    <w:abstractNumId w:val="17"/>
  </w:num>
  <w:num w:numId="27" w16cid:durableId="78578101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49"/>
    <w:rsid w:val="00000687"/>
    <w:rsid w:val="000006B0"/>
    <w:rsid w:val="0000773C"/>
    <w:rsid w:val="00007DFA"/>
    <w:rsid w:val="000142AB"/>
    <w:rsid w:val="0001516B"/>
    <w:rsid w:val="000155C2"/>
    <w:rsid w:val="0002095C"/>
    <w:rsid w:val="00024AE6"/>
    <w:rsid w:val="00025F4D"/>
    <w:rsid w:val="00030B02"/>
    <w:rsid w:val="0003108C"/>
    <w:rsid w:val="00031859"/>
    <w:rsid w:val="0003269F"/>
    <w:rsid w:val="000328FB"/>
    <w:rsid w:val="00032D5F"/>
    <w:rsid w:val="00033F3E"/>
    <w:rsid w:val="00035A82"/>
    <w:rsid w:val="00037089"/>
    <w:rsid w:val="000374AE"/>
    <w:rsid w:val="000407D0"/>
    <w:rsid w:val="0004273D"/>
    <w:rsid w:val="00045293"/>
    <w:rsid w:val="0004666A"/>
    <w:rsid w:val="00047BE0"/>
    <w:rsid w:val="00052883"/>
    <w:rsid w:val="000532AB"/>
    <w:rsid w:val="00055489"/>
    <w:rsid w:val="00056D58"/>
    <w:rsid w:val="00057261"/>
    <w:rsid w:val="0006327D"/>
    <w:rsid w:val="000654A3"/>
    <w:rsid w:val="00071598"/>
    <w:rsid w:val="00072E20"/>
    <w:rsid w:val="00075061"/>
    <w:rsid w:val="000808D5"/>
    <w:rsid w:val="00081D28"/>
    <w:rsid w:val="00086874"/>
    <w:rsid w:val="00086EA0"/>
    <w:rsid w:val="000912CB"/>
    <w:rsid w:val="000919EA"/>
    <w:rsid w:val="00092452"/>
    <w:rsid w:val="0009268A"/>
    <w:rsid w:val="00094658"/>
    <w:rsid w:val="00095AF4"/>
    <w:rsid w:val="00095B18"/>
    <w:rsid w:val="000976EC"/>
    <w:rsid w:val="000A003E"/>
    <w:rsid w:val="000A0D97"/>
    <w:rsid w:val="000A29DB"/>
    <w:rsid w:val="000A5AAB"/>
    <w:rsid w:val="000A76CA"/>
    <w:rsid w:val="000B08C6"/>
    <w:rsid w:val="000B09DC"/>
    <w:rsid w:val="000B1CA2"/>
    <w:rsid w:val="000B5C06"/>
    <w:rsid w:val="000C0526"/>
    <w:rsid w:val="000C2D8E"/>
    <w:rsid w:val="000C6756"/>
    <w:rsid w:val="000D0227"/>
    <w:rsid w:val="000D0764"/>
    <w:rsid w:val="000D0AB8"/>
    <w:rsid w:val="000D0F9B"/>
    <w:rsid w:val="000D649C"/>
    <w:rsid w:val="000E2385"/>
    <w:rsid w:val="000E283E"/>
    <w:rsid w:val="000E31D1"/>
    <w:rsid w:val="000E7801"/>
    <w:rsid w:val="000E7B8C"/>
    <w:rsid w:val="000F26F8"/>
    <w:rsid w:val="000F6316"/>
    <w:rsid w:val="001001F0"/>
    <w:rsid w:val="00101727"/>
    <w:rsid w:val="00104A0A"/>
    <w:rsid w:val="001050B2"/>
    <w:rsid w:val="00111663"/>
    <w:rsid w:val="0011288B"/>
    <w:rsid w:val="00115D10"/>
    <w:rsid w:val="00117494"/>
    <w:rsid w:val="00122832"/>
    <w:rsid w:val="001232C4"/>
    <w:rsid w:val="001240A0"/>
    <w:rsid w:val="00130AEA"/>
    <w:rsid w:val="00131CB1"/>
    <w:rsid w:val="00132548"/>
    <w:rsid w:val="001327A9"/>
    <w:rsid w:val="00136048"/>
    <w:rsid w:val="00136920"/>
    <w:rsid w:val="00143B21"/>
    <w:rsid w:val="00147AEC"/>
    <w:rsid w:val="001525C8"/>
    <w:rsid w:val="00152776"/>
    <w:rsid w:val="00152D00"/>
    <w:rsid w:val="00157FF3"/>
    <w:rsid w:val="001623B1"/>
    <w:rsid w:val="001624E5"/>
    <w:rsid w:val="00162A84"/>
    <w:rsid w:val="001641BA"/>
    <w:rsid w:val="00164F18"/>
    <w:rsid w:val="0016656D"/>
    <w:rsid w:val="00171AD0"/>
    <w:rsid w:val="00172CD1"/>
    <w:rsid w:val="001742FC"/>
    <w:rsid w:val="00177B41"/>
    <w:rsid w:val="00181B74"/>
    <w:rsid w:val="00182220"/>
    <w:rsid w:val="00184A9A"/>
    <w:rsid w:val="0018509A"/>
    <w:rsid w:val="001856C2"/>
    <w:rsid w:val="00185E0A"/>
    <w:rsid w:val="001911D6"/>
    <w:rsid w:val="00197189"/>
    <w:rsid w:val="00197ED8"/>
    <w:rsid w:val="001A1B07"/>
    <w:rsid w:val="001A657E"/>
    <w:rsid w:val="001A6F9F"/>
    <w:rsid w:val="001B2729"/>
    <w:rsid w:val="001B7330"/>
    <w:rsid w:val="001C2358"/>
    <w:rsid w:val="001C7089"/>
    <w:rsid w:val="001D2E80"/>
    <w:rsid w:val="001D2FF2"/>
    <w:rsid w:val="001D4697"/>
    <w:rsid w:val="001D5030"/>
    <w:rsid w:val="001D5F8C"/>
    <w:rsid w:val="001D5FBF"/>
    <w:rsid w:val="001D7218"/>
    <w:rsid w:val="001E0D9E"/>
    <w:rsid w:val="001E5610"/>
    <w:rsid w:val="001E5764"/>
    <w:rsid w:val="001E5978"/>
    <w:rsid w:val="001E66B8"/>
    <w:rsid w:val="001F0993"/>
    <w:rsid w:val="001F3114"/>
    <w:rsid w:val="001F4D23"/>
    <w:rsid w:val="001F6274"/>
    <w:rsid w:val="001F7C98"/>
    <w:rsid w:val="00203559"/>
    <w:rsid w:val="002044C2"/>
    <w:rsid w:val="00204FBC"/>
    <w:rsid w:val="0020530A"/>
    <w:rsid w:val="00214B17"/>
    <w:rsid w:val="00215305"/>
    <w:rsid w:val="002170E9"/>
    <w:rsid w:val="00221222"/>
    <w:rsid w:val="0022170C"/>
    <w:rsid w:val="00222C8C"/>
    <w:rsid w:val="00223342"/>
    <w:rsid w:val="00223F08"/>
    <w:rsid w:val="00224DCC"/>
    <w:rsid w:val="002253AF"/>
    <w:rsid w:val="0022568B"/>
    <w:rsid w:val="00226744"/>
    <w:rsid w:val="00226FA0"/>
    <w:rsid w:val="002303A9"/>
    <w:rsid w:val="00230C0A"/>
    <w:rsid w:val="00232E65"/>
    <w:rsid w:val="00234206"/>
    <w:rsid w:val="00236A27"/>
    <w:rsid w:val="0024150B"/>
    <w:rsid w:val="002415CF"/>
    <w:rsid w:val="002428DA"/>
    <w:rsid w:val="00242DB7"/>
    <w:rsid w:val="002473AA"/>
    <w:rsid w:val="0025223B"/>
    <w:rsid w:val="00257DA6"/>
    <w:rsid w:val="002621A1"/>
    <w:rsid w:val="00264745"/>
    <w:rsid w:val="00264AD8"/>
    <w:rsid w:val="00265642"/>
    <w:rsid w:val="00265734"/>
    <w:rsid w:val="00267F15"/>
    <w:rsid w:val="00275B76"/>
    <w:rsid w:val="00276306"/>
    <w:rsid w:val="00277C90"/>
    <w:rsid w:val="002841F5"/>
    <w:rsid w:val="00286D5C"/>
    <w:rsid w:val="0029409F"/>
    <w:rsid w:val="0029677F"/>
    <w:rsid w:val="0029690D"/>
    <w:rsid w:val="002A1909"/>
    <w:rsid w:val="002A273C"/>
    <w:rsid w:val="002A2D45"/>
    <w:rsid w:val="002A4337"/>
    <w:rsid w:val="002A6060"/>
    <w:rsid w:val="002B0FAA"/>
    <w:rsid w:val="002B2BE2"/>
    <w:rsid w:val="002B3566"/>
    <w:rsid w:val="002B7164"/>
    <w:rsid w:val="002C2AC3"/>
    <w:rsid w:val="002C38E5"/>
    <w:rsid w:val="002D0201"/>
    <w:rsid w:val="002D0341"/>
    <w:rsid w:val="002D0585"/>
    <w:rsid w:val="002D0A5A"/>
    <w:rsid w:val="002D21CF"/>
    <w:rsid w:val="002D49B3"/>
    <w:rsid w:val="002D6DFF"/>
    <w:rsid w:val="002D7126"/>
    <w:rsid w:val="002E1118"/>
    <w:rsid w:val="002E15DA"/>
    <w:rsid w:val="002E687A"/>
    <w:rsid w:val="002E6A26"/>
    <w:rsid w:val="002F0A20"/>
    <w:rsid w:val="002F4E8E"/>
    <w:rsid w:val="003011CD"/>
    <w:rsid w:val="003020F3"/>
    <w:rsid w:val="00302995"/>
    <w:rsid w:val="00306E71"/>
    <w:rsid w:val="0031030C"/>
    <w:rsid w:val="003144CB"/>
    <w:rsid w:val="00315963"/>
    <w:rsid w:val="003174A5"/>
    <w:rsid w:val="003213E2"/>
    <w:rsid w:val="00321830"/>
    <w:rsid w:val="003229F9"/>
    <w:rsid w:val="003258B5"/>
    <w:rsid w:val="00327398"/>
    <w:rsid w:val="0033208A"/>
    <w:rsid w:val="00335F1E"/>
    <w:rsid w:val="003401E4"/>
    <w:rsid w:val="00343BC4"/>
    <w:rsid w:val="00344B43"/>
    <w:rsid w:val="00347D1F"/>
    <w:rsid w:val="00350517"/>
    <w:rsid w:val="00351859"/>
    <w:rsid w:val="00354F0A"/>
    <w:rsid w:val="003558C9"/>
    <w:rsid w:val="00355B8F"/>
    <w:rsid w:val="00366D44"/>
    <w:rsid w:val="003714C5"/>
    <w:rsid w:val="00372E17"/>
    <w:rsid w:val="00375005"/>
    <w:rsid w:val="003761C4"/>
    <w:rsid w:val="00381D62"/>
    <w:rsid w:val="00386804"/>
    <w:rsid w:val="0038742E"/>
    <w:rsid w:val="00393221"/>
    <w:rsid w:val="00394249"/>
    <w:rsid w:val="00395572"/>
    <w:rsid w:val="00395BB0"/>
    <w:rsid w:val="003A03FB"/>
    <w:rsid w:val="003A048D"/>
    <w:rsid w:val="003A1D89"/>
    <w:rsid w:val="003A2A66"/>
    <w:rsid w:val="003A33E3"/>
    <w:rsid w:val="003A3507"/>
    <w:rsid w:val="003A4048"/>
    <w:rsid w:val="003A4250"/>
    <w:rsid w:val="003A7DD6"/>
    <w:rsid w:val="003B0090"/>
    <w:rsid w:val="003B0CD0"/>
    <w:rsid w:val="003B30A5"/>
    <w:rsid w:val="003B3605"/>
    <w:rsid w:val="003B719A"/>
    <w:rsid w:val="003C35E6"/>
    <w:rsid w:val="003C56FC"/>
    <w:rsid w:val="003C61C4"/>
    <w:rsid w:val="003C6248"/>
    <w:rsid w:val="003D0DD2"/>
    <w:rsid w:val="003D4780"/>
    <w:rsid w:val="003E2668"/>
    <w:rsid w:val="003E5E8F"/>
    <w:rsid w:val="003E7F47"/>
    <w:rsid w:val="003F5261"/>
    <w:rsid w:val="00402031"/>
    <w:rsid w:val="00402AA6"/>
    <w:rsid w:val="00403709"/>
    <w:rsid w:val="004077A0"/>
    <w:rsid w:val="00411E62"/>
    <w:rsid w:val="00415381"/>
    <w:rsid w:val="00415824"/>
    <w:rsid w:val="00416FAE"/>
    <w:rsid w:val="004205BC"/>
    <w:rsid w:val="0042423C"/>
    <w:rsid w:val="004302FC"/>
    <w:rsid w:val="004358EF"/>
    <w:rsid w:val="00444EB1"/>
    <w:rsid w:val="0044644C"/>
    <w:rsid w:val="00446B32"/>
    <w:rsid w:val="00454221"/>
    <w:rsid w:val="00455172"/>
    <w:rsid w:val="00456B11"/>
    <w:rsid w:val="004629BE"/>
    <w:rsid w:val="00462A2A"/>
    <w:rsid w:val="00464D02"/>
    <w:rsid w:val="00466C44"/>
    <w:rsid w:val="00467267"/>
    <w:rsid w:val="0047112C"/>
    <w:rsid w:val="004726C0"/>
    <w:rsid w:val="004846B0"/>
    <w:rsid w:val="00484DB5"/>
    <w:rsid w:val="004855C7"/>
    <w:rsid w:val="004868FA"/>
    <w:rsid w:val="00490E20"/>
    <w:rsid w:val="0049486B"/>
    <w:rsid w:val="004A1ABC"/>
    <w:rsid w:val="004A2681"/>
    <w:rsid w:val="004A42CD"/>
    <w:rsid w:val="004A4C45"/>
    <w:rsid w:val="004B1331"/>
    <w:rsid w:val="004B35FD"/>
    <w:rsid w:val="004B5733"/>
    <w:rsid w:val="004B59B0"/>
    <w:rsid w:val="004C2F7A"/>
    <w:rsid w:val="004C6BE1"/>
    <w:rsid w:val="004C6F41"/>
    <w:rsid w:val="004C7CC0"/>
    <w:rsid w:val="004D3836"/>
    <w:rsid w:val="004D5DCC"/>
    <w:rsid w:val="004D6DED"/>
    <w:rsid w:val="004D7BA9"/>
    <w:rsid w:val="004E6622"/>
    <w:rsid w:val="004E7333"/>
    <w:rsid w:val="004F0381"/>
    <w:rsid w:val="004F145B"/>
    <w:rsid w:val="004F58BA"/>
    <w:rsid w:val="004F621E"/>
    <w:rsid w:val="004F6B2A"/>
    <w:rsid w:val="00500A26"/>
    <w:rsid w:val="00500E4D"/>
    <w:rsid w:val="0050119A"/>
    <w:rsid w:val="00502DF7"/>
    <w:rsid w:val="005038BB"/>
    <w:rsid w:val="00505941"/>
    <w:rsid w:val="00505D43"/>
    <w:rsid w:val="00507A74"/>
    <w:rsid w:val="005136ED"/>
    <w:rsid w:val="005206DB"/>
    <w:rsid w:val="00520F0F"/>
    <w:rsid w:val="005214A4"/>
    <w:rsid w:val="00521A5A"/>
    <w:rsid w:val="00523C99"/>
    <w:rsid w:val="0053024B"/>
    <w:rsid w:val="0053328C"/>
    <w:rsid w:val="005338B6"/>
    <w:rsid w:val="00534C41"/>
    <w:rsid w:val="00536145"/>
    <w:rsid w:val="00540B14"/>
    <w:rsid w:val="00541E20"/>
    <w:rsid w:val="00542961"/>
    <w:rsid w:val="00545C08"/>
    <w:rsid w:val="00546145"/>
    <w:rsid w:val="0054694B"/>
    <w:rsid w:val="005469E4"/>
    <w:rsid w:val="00550A93"/>
    <w:rsid w:val="0055212F"/>
    <w:rsid w:val="00553736"/>
    <w:rsid w:val="005545D5"/>
    <w:rsid w:val="00555A88"/>
    <w:rsid w:val="005631EC"/>
    <w:rsid w:val="00566AAC"/>
    <w:rsid w:val="00566CA3"/>
    <w:rsid w:val="005673EF"/>
    <w:rsid w:val="00567FA8"/>
    <w:rsid w:val="00570011"/>
    <w:rsid w:val="0057068D"/>
    <w:rsid w:val="0057334A"/>
    <w:rsid w:val="005734C6"/>
    <w:rsid w:val="0058045A"/>
    <w:rsid w:val="00580529"/>
    <w:rsid w:val="005835C6"/>
    <w:rsid w:val="00587C5F"/>
    <w:rsid w:val="00590311"/>
    <w:rsid w:val="00590A74"/>
    <w:rsid w:val="00592B51"/>
    <w:rsid w:val="00592C2A"/>
    <w:rsid w:val="0059616D"/>
    <w:rsid w:val="00596FF1"/>
    <w:rsid w:val="00597421"/>
    <w:rsid w:val="005A1B59"/>
    <w:rsid w:val="005A2A80"/>
    <w:rsid w:val="005A4882"/>
    <w:rsid w:val="005B0679"/>
    <w:rsid w:val="005B0721"/>
    <w:rsid w:val="005B0D5B"/>
    <w:rsid w:val="005B2445"/>
    <w:rsid w:val="005B342F"/>
    <w:rsid w:val="005B6763"/>
    <w:rsid w:val="005C0755"/>
    <w:rsid w:val="005C0C12"/>
    <w:rsid w:val="005C190C"/>
    <w:rsid w:val="005C61D7"/>
    <w:rsid w:val="005C71B8"/>
    <w:rsid w:val="005D41CB"/>
    <w:rsid w:val="005D66FE"/>
    <w:rsid w:val="005D6E68"/>
    <w:rsid w:val="005D707A"/>
    <w:rsid w:val="005D7846"/>
    <w:rsid w:val="005E00CA"/>
    <w:rsid w:val="005E0D53"/>
    <w:rsid w:val="005E21B4"/>
    <w:rsid w:val="005E38AF"/>
    <w:rsid w:val="005E3D50"/>
    <w:rsid w:val="005E3D92"/>
    <w:rsid w:val="005E5A3A"/>
    <w:rsid w:val="005E7742"/>
    <w:rsid w:val="005E79C6"/>
    <w:rsid w:val="005E7D0D"/>
    <w:rsid w:val="005F1542"/>
    <w:rsid w:val="005F2CEA"/>
    <w:rsid w:val="005F3622"/>
    <w:rsid w:val="005F3DA0"/>
    <w:rsid w:val="005F3DBE"/>
    <w:rsid w:val="005F4BE0"/>
    <w:rsid w:val="005F6EA0"/>
    <w:rsid w:val="005F7E27"/>
    <w:rsid w:val="006001E1"/>
    <w:rsid w:val="00601685"/>
    <w:rsid w:val="00601ACA"/>
    <w:rsid w:val="00601C56"/>
    <w:rsid w:val="00602712"/>
    <w:rsid w:val="00604F94"/>
    <w:rsid w:val="00605ADD"/>
    <w:rsid w:val="0060621F"/>
    <w:rsid w:val="006102BB"/>
    <w:rsid w:val="00610638"/>
    <w:rsid w:val="00611587"/>
    <w:rsid w:val="0061164D"/>
    <w:rsid w:val="006139B8"/>
    <w:rsid w:val="00616ABA"/>
    <w:rsid w:val="00616C58"/>
    <w:rsid w:val="00621B0E"/>
    <w:rsid w:val="00622D0C"/>
    <w:rsid w:val="00622E2E"/>
    <w:rsid w:val="00622E58"/>
    <w:rsid w:val="0062329C"/>
    <w:rsid w:val="00623EC7"/>
    <w:rsid w:val="006277C3"/>
    <w:rsid w:val="00631925"/>
    <w:rsid w:val="006321FE"/>
    <w:rsid w:val="00632858"/>
    <w:rsid w:val="00633BE9"/>
    <w:rsid w:val="00637F20"/>
    <w:rsid w:val="00641014"/>
    <w:rsid w:val="00644B83"/>
    <w:rsid w:val="00650B24"/>
    <w:rsid w:val="006517E7"/>
    <w:rsid w:val="00651ED9"/>
    <w:rsid w:val="0065268E"/>
    <w:rsid w:val="00654900"/>
    <w:rsid w:val="00654A07"/>
    <w:rsid w:val="00662F48"/>
    <w:rsid w:val="0066319B"/>
    <w:rsid w:val="006664FE"/>
    <w:rsid w:val="00667707"/>
    <w:rsid w:val="00670E16"/>
    <w:rsid w:val="00672D28"/>
    <w:rsid w:val="00683CE4"/>
    <w:rsid w:val="0068529C"/>
    <w:rsid w:val="006914A7"/>
    <w:rsid w:val="0069629A"/>
    <w:rsid w:val="00696E43"/>
    <w:rsid w:val="006A1237"/>
    <w:rsid w:val="006A1577"/>
    <w:rsid w:val="006B1947"/>
    <w:rsid w:val="006B22C1"/>
    <w:rsid w:val="006B41DB"/>
    <w:rsid w:val="006B6067"/>
    <w:rsid w:val="006C6DCC"/>
    <w:rsid w:val="006D115C"/>
    <w:rsid w:val="006D1D4B"/>
    <w:rsid w:val="006D26C0"/>
    <w:rsid w:val="006D4F8C"/>
    <w:rsid w:val="006E0B81"/>
    <w:rsid w:val="006E0DD4"/>
    <w:rsid w:val="006E32D5"/>
    <w:rsid w:val="006E37C7"/>
    <w:rsid w:val="006E3D09"/>
    <w:rsid w:val="006E419B"/>
    <w:rsid w:val="006E47F4"/>
    <w:rsid w:val="006E4EF2"/>
    <w:rsid w:val="006E6A5F"/>
    <w:rsid w:val="006F01A3"/>
    <w:rsid w:val="006F0A66"/>
    <w:rsid w:val="006F0F20"/>
    <w:rsid w:val="00700121"/>
    <w:rsid w:val="00701110"/>
    <w:rsid w:val="00701769"/>
    <w:rsid w:val="0070314C"/>
    <w:rsid w:val="00705A9E"/>
    <w:rsid w:val="00707C6E"/>
    <w:rsid w:val="00710329"/>
    <w:rsid w:val="00711420"/>
    <w:rsid w:val="00712DBD"/>
    <w:rsid w:val="00714730"/>
    <w:rsid w:val="00715ED3"/>
    <w:rsid w:val="00717EB4"/>
    <w:rsid w:val="00720096"/>
    <w:rsid w:val="00720365"/>
    <w:rsid w:val="00723E7B"/>
    <w:rsid w:val="00731D96"/>
    <w:rsid w:val="00733464"/>
    <w:rsid w:val="0073346F"/>
    <w:rsid w:val="00734077"/>
    <w:rsid w:val="0073457E"/>
    <w:rsid w:val="00734BE3"/>
    <w:rsid w:val="00741661"/>
    <w:rsid w:val="007439EB"/>
    <w:rsid w:val="007452F0"/>
    <w:rsid w:val="00750692"/>
    <w:rsid w:val="00750EE8"/>
    <w:rsid w:val="0075219A"/>
    <w:rsid w:val="00753590"/>
    <w:rsid w:val="00753FB8"/>
    <w:rsid w:val="00755042"/>
    <w:rsid w:val="00757273"/>
    <w:rsid w:val="00757BB5"/>
    <w:rsid w:val="00761237"/>
    <w:rsid w:val="00766C30"/>
    <w:rsid w:val="00772643"/>
    <w:rsid w:val="007727E1"/>
    <w:rsid w:val="007757B0"/>
    <w:rsid w:val="0077763A"/>
    <w:rsid w:val="00777C4E"/>
    <w:rsid w:val="007802A5"/>
    <w:rsid w:val="0078083C"/>
    <w:rsid w:val="0078128C"/>
    <w:rsid w:val="00781B2E"/>
    <w:rsid w:val="0078459E"/>
    <w:rsid w:val="00786636"/>
    <w:rsid w:val="007929CC"/>
    <w:rsid w:val="007951AB"/>
    <w:rsid w:val="007A3B52"/>
    <w:rsid w:val="007A3EA1"/>
    <w:rsid w:val="007A3EC4"/>
    <w:rsid w:val="007A5994"/>
    <w:rsid w:val="007B042C"/>
    <w:rsid w:val="007B3FBA"/>
    <w:rsid w:val="007B4393"/>
    <w:rsid w:val="007B4DDD"/>
    <w:rsid w:val="007B59D8"/>
    <w:rsid w:val="007B64EB"/>
    <w:rsid w:val="007B68E2"/>
    <w:rsid w:val="007C1650"/>
    <w:rsid w:val="007C1659"/>
    <w:rsid w:val="007C1786"/>
    <w:rsid w:val="007D1366"/>
    <w:rsid w:val="007D251D"/>
    <w:rsid w:val="007D6119"/>
    <w:rsid w:val="007E0451"/>
    <w:rsid w:val="007E3D59"/>
    <w:rsid w:val="007E6318"/>
    <w:rsid w:val="007F16F9"/>
    <w:rsid w:val="00804D6E"/>
    <w:rsid w:val="00805FFD"/>
    <w:rsid w:val="00813621"/>
    <w:rsid w:val="00814F37"/>
    <w:rsid w:val="008235BC"/>
    <w:rsid w:val="008246D6"/>
    <w:rsid w:val="00830845"/>
    <w:rsid w:val="008335B0"/>
    <w:rsid w:val="00834D12"/>
    <w:rsid w:val="00836507"/>
    <w:rsid w:val="00836F78"/>
    <w:rsid w:val="00840540"/>
    <w:rsid w:val="00840689"/>
    <w:rsid w:val="00840FD7"/>
    <w:rsid w:val="00841959"/>
    <w:rsid w:val="008422DF"/>
    <w:rsid w:val="0084261E"/>
    <w:rsid w:val="008437C8"/>
    <w:rsid w:val="00845A77"/>
    <w:rsid w:val="00846012"/>
    <w:rsid w:val="0085152C"/>
    <w:rsid w:val="008518B3"/>
    <w:rsid w:val="00851F64"/>
    <w:rsid w:val="00855BD6"/>
    <w:rsid w:val="00857DCC"/>
    <w:rsid w:val="008638DF"/>
    <w:rsid w:val="00863CE1"/>
    <w:rsid w:val="00864361"/>
    <w:rsid w:val="00864AFD"/>
    <w:rsid w:val="00865874"/>
    <w:rsid w:val="00867E6A"/>
    <w:rsid w:val="008747CE"/>
    <w:rsid w:val="00877FC7"/>
    <w:rsid w:val="008800A6"/>
    <w:rsid w:val="00882F5E"/>
    <w:rsid w:val="008849AB"/>
    <w:rsid w:val="00886147"/>
    <w:rsid w:val="00886414"/>
    <w:rsid w:val="00886930"/>
    <w:rsid w:val="00892256"/>
    <w:rsid w:val="00892297"/>
    <w:rsid w:val="008922F3"/>
    <w:rsid w:val="008933A3"/>
    <w:rsid w:val="0089348F"/>
    <w:rsid w:val="00895F3E"/>
    <w:rsid w:val="008976ED"/>
    <w:rsid w:val="008A171B"/>
    <w:rsid w:val="008A1DFB"/>
    <w:rsid w:val="008B296C"/>
    <w:rsid w:val="008B2F05"/>
    <w:rsid w:val="008B2F44"/>
    <w:rsid w:val="008B459F"/>
    <w:rsid w:val="008C19CC"/>
    <w:rsid w:val="008C2D49"/>
    <w:rsid w:val="008C44E9"/>
    <w:rsid w:val="008C50DA"/>
    <w:rsid w:val="008C53AC"/>
    <w:rsid w:val="008C5C4A"/>
    <w:rsid w:val="008C71E1"/>
    <w:rsid w:val="008C7BCD"/>
    <w:rsid w:val="008D3DF9"/>
    <w:rsid w:val="008D4E15"/>
    <w:rsid w:val="008D6718"/>
    <w:rsid w:val="008D7C75"/>
    <w:rsid w:val="008E18EA"/>
    <w:rsid w:val="008E53C8"/>
    <w:rsid w:val="008E614D"/>
    <w:rsid w:val="008F006B"/>
    <w:rsid w:val="008F0FFF"/>
    <w:rsid w:val="008F2DEF"/>
    <w:rsid w:val="008F53B4"/>
    <w:rsid w:val="008F75AD"/>
    <w:rsid w:val="00900063"/>
    <w:rsid w:val="0090095D"/>
    <w:rsid w:val="009012AA"/>
    <w:rsid w:val="00901C54"/>
    <w:rsid w:val="0090235E"/>
    <w:rsid w:val="00912436"/>
    <w:rsid w:val="00912971"/>
    <w:rsid w:val="00915BE1"/>
    <w:rsid w:val="009169A6"/>
    <w:rsid w:val="00916C26"/>
    <w:rsid w:val="00920352"/>
    <w:rsid w:val="00920C80"/>
    <w:rsid w:val="009215D1"/>
    <w:rsid w:val="00922C93"/>
    <w:rsid w:val="009230F0"/>
    <w:rsid w:val="0092331E"/>
    <w:rsid w:val="00926AF4"/>
    <w:rsid w:val="009275C6"/>
    <w:rsid w:val="00927B20"/>
    <w:rsid w:val="00931720"/>
    <w:rsid w:val="00931D09"/>
    <w:rsid w:val="0093528A"/>
    <w:rsid w:val="0093601B"/>
    <w:rsid w:val="0094033C"/>
    <w:rsid w:val="0094133B"/>
    <w:rsid w:val="00941562"/>
    <w:rsid w:val="0094364B"/>
    <w:rsid w:val="00944307"/>
    <w:rsid w:val="009443C0"/>
    <w:rsid w:val="009477EE"/>
    <w:rsid w:val="009518C1"/>
    <w:rsid w:val="0095497D"/>
    <w:rsid w:val="0096065E"/>
    <w:rsid w:val="00961E7B"/>
    <w:rsid w:val="00963A4E"/>
    <w:rsid w:val="00965217"/>
    <w:rsid w:val="00965DA0"/>
    <w:rsid w:val="00970906"/>
    <w:rsid w:val="00972E15"/>
    <w:rsid w:val="009810B8"/>
    <w:rsid w:val="00982C1B"/>
    <w:rsid w:val="00984BE3"/>
    <w:rsid w:val="009850E2"/>
    <w:rsid w:val="009927A9"/>
    <w:rsid w:val="009941BD"/>
    <w:rsid w:val="00995211"/>
    <w:rsid w:val="009A2F33"/>
    <w:rsid w:val="009A513C"/>
    <w:rsid w:val="009A7C82"/>
    <w:rsid w:val="009B51FB"/>
    <w:rsid w:val="009B54AE"/>
    <w:rsid w:val="009B5802"/>
    <w:rsid w:val="009B677E"/>
    <w:rsid w:val="009C0D67"/>
    <w:rsid w:val="009C22B3"/>
    <w:rsid w:val="009C2ED1"/>
    <w:rsid w:val="009C35C0"/>
    <w:rsid w:val="009C5FF8"/>
    <w:rsid w:val="009D0DBA"/>
    <w:rsid w:val="009D14B1"/>
    <w:rsid w:val="009D14B4"/>
    <w:rsid w:val="009D277C"/>
    <w:rsid w:val="009D2862"/>
    <w:rsid w:val="009D33F4"/>
    <w:rsid w:val="009D53F6"/>
    <w:rsid w:val="009D60F4"/>
    <w:rsid w:val="009E207A"/>
    <w:rsid w:val="009F1516"/>
    <w:rsid w:val="009F28C2"/>
    <w:rsid w:val="009F4D55"/>
    <w:rsid w:val="009F63E5"/>
    <w:rsid w:val="009F6542"/>
    <w:rsid w:val="00A05853"/>
    <w:rsid w:val="00A05FA1"/>
    <w:rsid w:val="00A06312"/>
    <w:rsid w:val="00A11099"/>
    <w:rsid w:val="00A1266C"/>
    <w:rsid w:val="00A2123E"/>
    <w:rsid w:val="00A24115"/>
    <w:rsid w:val="00A24CDC"/>
    <w:rsid w:val="00A265C4"/>
    <w:rsid w:val="00A33C91"/>
    <w:rsid w:val="00A373A7"/>
    <w:rsid w:val="00A4504B"/>
    <w:rsid w:val="00A46668"/>
    <w:rsid w:val="00A521B2"/>
    <w:rsid w:val="00A54382"/>
    <w:rsid w:val="00A55FC3"/>
    <w:rsid w:val="00A61F72"/>
    <w:rsid w:val="00A644D4"/>
    <w:rsid w:val="00A6492B"/>
    <w:rsid w:val="00A661A3"/>
    <w:rsid w:val="00A6690C"/>
    <w:rsid w:val="00A6795C"/>
    <w:rsid w:val="00A710CF"/>
    <w:rsid w:val="00A730D2"/>
    <w:rsid w:val="00A74C2C"/>
    <w:rsid w:val="00A834DD"/>
    <w:rsid w:val="00A83C26"/>
    <w:rsid w:val="00A91F85"/>
    <w:rsid w:val="00A922C6"/>
    <w:rsid w:val="00A92754"/>
    <w:rsid w:val="00A95D84"/>
    <w:rsid w:val="00A96751"/>
    <w:rsid w:val="00A97C53"/>
    <w:rsid w:val="00AA2876"/>
    <w:rsid w:val="00AA2D05"/>
    <w:rsid w:val="00AA434F"/>
    <w:rsid w:val="00AB264B"/>
    <w:rsid w:val="00AB44FB"/>
    <w:rsid w:val="00AB50B1"/>
    <w:rsid w:val="00AB6830"/>
    <w:rsid w:val="00AC2271"/>
    <w:rsid w:val="00AC6AE3"/>
    <w:rsid w:val="00AC6B6A"/>
    <w:rsid w:val="00AD6F8E"/>
    <w:rsid w:val="00AD7BDE"/>
    <w:rsid w:val="00AE24CF"/>
    <w:rsid w:val="00AE414B"/>
    <w:rsid w:val="00AE4BC8"/>
    <w:rsid w:val="00AE76CB"/>
    <w:rsid w:val="00AE7C03"/>
    <w:rsid w:val="00AF0CB4"/>
    <w:rsid w:val="00AF7DB5"/>
    <w:rsid w:val="00B0201F"/>
    <w:rsid w:val="00B03CED"/>
    <w:rsid w:val="00B04963"/>
    <w:rsid w:val="00B12DEC"/>
    <w:rsid w:val="00B15B17"/>
    <w:rsid w:val="00B20BF6"/>
    <w:rsid w:val="00B20D10"/>
    <w:rsid w:val="00B25880"/>
    <w:rsid w:val="00B2664B"/>
    <w:rsid w:val="00B27318"/>
    <w:rsid w:val="00B32BE3"/>
    <w:rsid w:val="00B33281"/>
    <w:rsid w:val="00B35E0A"/>
    <w:rsid w:val="00B402AE"/>
    <w:rsid w:val="00B406C5"/>
    <w:rsid w:val="00B443E4"/>
    <w:rsid w:val="00B4451F"/>
    <w:rsid w:val="00B47748"/>
    <w:rsid w:val="00B50409"/>
    <w:rsid w:val="00B50663"/>
    <w:rsid w:val="00B50BFC"/>
    <w:rsid w:val="00B5193A"/>
    <w:rsid w:val="00B541D7"/>
    <w:rsid w:val="00B54AFA"/>
    <w:rsid w:val="00B602DD"/>
    <w:rsid w:val="00B605DE"/>
    <w:rsid w:val="00B61F2B"/>
    <w:rsid w:val="00B62257"/>
    <w:rsid w:val="00B64BDE"/>
    <w:rsid w:val="00B64F50"/>
    <w:rsid w:val="00B651A1"/>
    <w:rsid w:val="00B65EB6"/>
    <w:rsid w:val="00B70E58"/>
    <w:rsid w:val="00B722CC"/>
    <w:rsid w:val="00B7289D"/>
    <w:rsid w:val="00B7788A"/>
    <w:rsid w:val="00B963E3"/>
    <w:rsid w:val="00BA3754"/>
    <w:rsid w:val="00BA413B"/>
    <w:rsid w:val="00BA4D37"/>
    <w:rsid w:val="00BA5971"/>
    <w:rsid w:val="00BD1103"/>
    <w:rsid w:val="00BD5327"/>
    <w:rsid w:val="00BD597F"/>
    <w:rsid w:val="00BD6FD0"/>
    <w:rsid w:val="00BD7967"/>
    <w:rsid w:val="00BE16BA"/>
    <w:rsid w:val="00BE4720"/>
    <w:rsid w:val="00BE67BD"/>
    <w:rsid w:val="00BF16EF"/>
    <w:rsid w:val="00BF2B0C"/>
    <w:rsid w:val="00BF3A00"/>
    <w:rsid w:val="00BF4B67"/>
    <w:rsid w:val="00BF5DEC"/>
    <w:rsid w:val="00C000D8"/>
    <w:rsid w:val="00C000DA"/>
    <w:rsid w:val="00C00589"/>
    <w:rsid w:val="00C051E7"/>
    <w:rsid w:val="00C06F50"/>
    <w:rsid w:val="00C07982"/>
    <w:rsid w:val="00C07AE9"/>
    <w:rsid w:val="00C110B5"/>
    <w:rsid w:val="00C11992"/>
    <w:rsid w:val="00C125D4"/>
    <w:rsid w:val="00C14FF7"/>
    <w:rsid w:val="00C170F1"/>
    <w:rsid w:val="00C17DFA"/>
    <w:rsid w:val="00C24F17"/>
    <w:rsid w:val="00C25838"/>
    <w:rsid w:val="00C312AD"/>
    <w:rsid w:val="00C31E8A"/>
    <w:rsid w:val="00C32EE6"/>
    <w:rsid w:val="00C33163"/>
    <w:rsid w:val="00C34EC6"/>
    <w:rsid w:val="00C4556E"/>
    <w:rsid w:val="00C50924"/>
    <w:rsid w:val="00C60DFB"/>
    <w:rsid w:val="00C628DC"/>
    <w:rsid w:val="00C62C61"/>
    <w:rsid w:val="00C64E1E"/>
    <w:rsid w:val="00C66C2A"/>
    <w:rsid w:val="00C674C6"/>
    <w:rsid w:val="00C676DC"/>
    <w:rsid w:val="00C707C1"/>
    <w:rsid w:val="00C70C4B"/>
    <w:rsid w:val="00C72E2C"/>
    <w:rsid w:val="00C73031"/>
    <w:rsid w:val="00C75827"/>
    <w:rsid w:val="00C75C82"/>
    <w:rsid w:val="00C768FC"/>
    <w:rsid w:val="00C772A8"/>
    <w:rsid w:val="00C81BD0"/>
    <w:rsid w:val="00C86C12"/>
    <w:rsid w:val="00C86D0A"/>
    <w:rsid w:val="00C91AD7"/>
    <w:rsid w:val="00C92C6D"/>
    <w:rsid w:val="00C93B7D"/>
    <w:rsid w:val="00C94AB5"/>
    <w:rsid w:val="00C956BA"/>
    <w:rsid w:val="00C9775F"/>
    <w:rsid w:val="00CA0241"/>
    <w:rsid w:val="00CA1BB3"/>
    <w:rsid w:val="00CA56F8"/>
    <w:rsid w:val="00CA6913"/>
    <w:rsid w:val="00CA7155"/>
    <w:rsid w:val="00CB03D0"/>
    <w:rsid w:val="00CB1755"/>
    <w:rsid w:val="00CB2340"/>
    <w:rsid w:val="00CB2561"/>
    <w:rsid w:val="00CB61FC"/>
    <w:rsid w:val="00CB6B8A"/>
    <w:rsid w:val="00CC2D9C"/>
    <w:rsid w:val="00CC4E42"/>
    <w:rsid w:val="00CD1261"/>
    <w:rsid w:val="00CD1450"/>
    <w:rsid w:val="00CD3B88"/>
    <w:rsid w:val="00CD7572"/>
    <w:rsid w:val="00CD7B65"/>
    <w:rsid w:val="00CD7FD7"/>
    <w:rsid w:val="00CE0895"/>
    <w:rsid w:val="00CE13C3"/>
    <w:rsid w:val="00CE13DE"/>
    <w:rsid w:val="00CE2C87"/>
    <w:rsid w:val="00CE7CBB"/>
    <w:rsid w:val="00CF066F"/>
    <w:rsid w:val="00CF20ED"/>
    <w:rsid w:val="00CF5AF0"/>
    <w:rsid w:val="00CF771F"/>
    <w:rsid w:val="00CF7B12"/>
    <w:rsid w:val="00D03801"/>
    <w:rsid w:val="00D0664C"/>
    <w:rsid w:val="00D06EB9"/>
    <w:rsid w:val="00D078DF"/>
    <w:rsid w:val="00D10850"/>
    <w:rsid w:val="00D11200"/>
    <w:rsid w:val="00D16067"/>
    <w:rsid w:val="00D16C8D"/>
    <w:rsid w:val="00D16FA8"/>
    <w:rsid w:val="00D20C51"/>
    <w:rsid w:val="00D27453"/>
    <w:rsid w:val="00D2794B"/>
    <w:rsid w:val="00D33081"/>
    <w:rsid w:val="00D35B1D"/>
    <w:rsid w:val="00D35F63"/>
    <w:rsid w:val="00D3695A"/>
    <w:rsid w:val="00D409CC"/>
    <w:rsid w:val="00D41947"/>
    <w:rsid w:val="00D44846"/>
    <w:rsid w:val="00D467EE"/>
    <w:rsid w:val="00D55EA3"/>
    <w:rsid w:val="00D604C5"/>
    <w:rsid w:val="00D60725"/>
    <w:rsid w:val="00D60A8C"/>
    <w:rsid w:val="00D62877"/>
    <w:rsid w:val="00D62AA9"/>
    <w:rsid w:val="00D6434F"/>
    <w:rsid w:val="00D671C9"/>
    <w:rsid w:val="00D709E9"/>
    <w:rsid w:val="00D75842"/>
    <w:rsid w:val="00D766C6"/>
    <w:rsid w:val="00D76BCD"/>
    <w:rsid w:val="00D779AD"/>
    <w:rsid w:val="00D837BB"/>
    <w:rsid w:val="00D84789"/>
    <w:rsid w:val="00D84F1F"/>
    <w:rsid w:val="00D85D99"/>
    <w:rsid w:val="00D87299"/>
    <w:rsid w:val="00D96284"/>
    <w:rsid w:val="00D96C93"/>
    <w:rsid w:val="00DA0FCC"/>
    <w:rsid w:val="00DA1C2B"/>
    <w:rsid w:val="00DA27A2"/>
    <w:rsid w:val="00DA5B28"/>
    <w:rsid w:val="00DA6D0C"/>
    <w:rsid w:val="00DB0CAE"/>
    <w:rsid w:val="00DB10D2"/>
    <w:rsid w:val="00DC163B"/>
    <w:rsid w:val="00DC2590"/>
    <w:rsid w:val="00DC3C53"/>
    <w:rsid w:val="00DC52B0"/>
    <w:rsid w:val="00DC5A21"/>
    <w:rsid w:val="00DC61DA"/>
    <w:rsid w:val="00DD234D"/>
    <w:rsid w:val="00DD3410"/>
    <w:rsid w:val="00DD7820"/>
    <w:rsid w:val="00DE35A0"/>
    <w:rsid w:val="00DE3766"/>
    <w:rsid w:val="00DE5675"/>
    <w:rsid w:val="00DE6D6B"/>
    <w:rsid w:val="00DF1836"/>
    <w:rsid w:val="00DF23BB"/>
    <w:rsid w:val="00DF25C5"/>
    <w:rsid w:val="00DF2980"/>
    <w:rsid w:val="00E01DAA"/>
    <w:rsid w:val="00E03705"/>
    <w:rsid w:val="00E03F9F"/>
    <w:rsid w:val="00E050A1"/>
    <w:rsid w:val="00E0528B"/>
    <w:rsid w:val="00E058D0"/>
    <w:rsid w:val="00E06B16"/>
    <w:rsid w:val="00E073A2"/>
    <w:rsid w:val="00E07949"/>
    <w:rsid w:val="00E12117"/>
    <w:rsid w:val="00E1285D"/>
    <w:rsid w:val="00E1286F"/>
    <w:rsid w:val="00E16F10"/>
    <w:rsid w:val="00E17F8B"/>
    <w:rsid w:val="00E20D34"/>
    <w:rsid w:val="00E23C35"/>
    <w:rsid w:val="00E2517E"/>
    <w:rsid w:val="00E27AEA"/>
    <w:rsid w:val="00E27E07"/>
    <w:rsid w:val="00E314E6"/>
    <w:rsid w:val="00E338E1"/>
    <w:rsid w:val="00E345FE"/>
    <w:rsid w:val="00E348C1"/>
    <w:rsid w:val="00E4005B"/>
    <w:rsid w:val="00E42491"/>
    <w:rsid w:val="00E43122"/>
    <w:rsid w:val="00E45C24"/>
    <w:rsid w:val="00E4612A"/>
    <w:rsid w:val="00E46FB4"/>
    <w:rsid w:val="00E54D27"/>
    <w:rsid w:val="00E61E69"/>
    <w:rsid w:val="00E6225A"/>
    <w:rsid w:val="00E646AD"/>
    <w:rsid w:val="00E672D3"/>
    <w:rsid w:val="00E6746E"/>
    <w:rsid w:val="00E67D67"/>
    <w:rsid w:val="00E74934"/>
    <w:rsid w:val="00E76B50"/>
    <w:rsid w:val="00E827D2"/>
    <w:rsid w:val="00E82F82"/>
    <w:rsid w:val="00E871EF"/>
    <w:rsid w:val="00E92CF3"/>
    <w:rsid w:val="00E95B6F"/>
    <w:rsid w:val="00E96857"/>
    <w:rsid w:val="00EA35DD"/>
    <w:rsid w:val="00EA6920"/>
    <w:rsid w:val="00EB7495"/>
    <w:rsid w:val="00EB74F9"/>
    <w:rsid w:val="00EC0A6E"/>
    <w:rsid w:val="00EC7F19"/>
    <w:rsid w:val="00ED1FA8"/>
    <w:rsid w:val="00ED252C"/>
    <w:rsid w:val="00ED5568"/>
    <w:rsid w:val="00ED574B"/>
    <w:rsid w:val="00EE333C"/>
    <w:rsid w:val="00EF0D67"/>
    <w:rsid w:val="00EF1B56"/>
    <w:rsid w:val="00EF67DC"/>
    <w:rsid w:val="00EF6AD6"/>
    <w:rsid w:val="00EF6E95"/>
    <w:rsid w:val="00F03E08"/>
    <w:rsid w:val="00F0669E"/>
    <w:rsid w:val="00F12F76"/>
    <w:rsid w:val="00F20442"/>
    <w:rsid w:val="00F204A1"/>
    <w:rsid w:val="00F2063B"/>
    <w:rsid w:val="00F21B6A"/>
    <w:rsid w:val="00F25017"/>
    <w:rsid w:val="00F265F6"/>
    <w:rsid w:val="00F278F2"/>
    <w:rsid w:val="00F326B1"/>
    <w:rsid w:val="00F32B23"/>
    <w:rsid w:val="00F33F0E"/>
    <w:rsid w:val="00F43FA3"/>
    <w:rsid w:val="00F45243"/>
    <w:rsid w:val="00F53F26"/>
    <w:rsid w:val="00F56200"/>
    <w:rsid w:val="00F565B8"/>
    <w:rsid w:val="00F66017"/>
    <w:rsid w:val="00F666D2"/>
    <w:rsid w:val="00F675A4"/>
    <w:rsid w:val="00F74253"/>
    <w:rsid w:val="00F7577E"/>
    <w:rsid w:val="00F762CA"/>
    <w:rsid w:val="00F76410"/>
    <w:rsid w:val="00F80836"/>
    <w:rsid w:val="00F8129B"/>
    <w:rsid w:val="00F8234B"/>
    <w:rsid w:val="00F84643"/>
    <w:rsid w:val="00F849D6"/>
    <w:rsid w:val="00F8616D"/>
    <w:rsid w:val="00F86541"/>
    <w:rsid w:val="00F8687F"/>
    <w:rsid w:val="00F876EF"/>
    <w:rsid w:val="00F95EF7"/>
    <w:rsid w:val="00F96F99"/>
    <w:rsid w:val="00FA0898"/>
    <w:rsid w:val="00FA0CA2"/>
    <w:rsid w:val="00FA1499"/>
    <w:rsid w:val="00FA1684"/>
    <w:rsid w:val="00FA21E8"/>
    <w:rsid w:val="00FA2379"/>
    <w:rsid w:val="00FA2D54"/>
    <w:rsid w:val="00FA31E9"/>
    <w:rsid w:val="00FA71AF"/>
    <w:rsid w:val="00FB1758"/>
    <w:rsid w:val="00FB37D3"/>
    <w:rsid w:val="00FB3ADE"/>
    <w:rsid w:val="00FB5631"/>
    <w:rsid w:val="00FC0599"/>
    <w:rsid w:val="00FC223F"/>
    <w:rsid w:val="00FC3DFE"/>
    <w:rsid w:val="00FC594A"/>
    <w:rsid w:val="00FC6B8D"/>
    <w:rsid w:val="00FC775D"/>
    <w:rsid w:val="00FD56D2"/>
    <w:rsid w:val="00FD5D81"/>
    <w:rsid w:val="00FD62BF"/>
    <w:rsid w:val="00FD6AC6"/>
    <w:rsid w:val="00FE029B"/>
    <w:rsid w:val="00FE3A81"/>
    <w:rsid w:val="00FE40C1"/>
    <w:rsid w:val="00FE5996"/>
    <w:rsid w:val="00FE61A0"/>
    <w:rsid w:val="00FE7028"/>
    <w:rsid w:val="00FF095F"/>
    <w:rsid w:val="00FF3DE3"/>
    <w:rsid w:val="00FF6A09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335246E9"/>
  <w15:docId w15:val="{3D887D0F-2881-4699-B38F-FBFEC84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9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49"/>
  </w:style>
  <w:style w:type="paragraph" w:styleId="Nagwek">
    <w:name w:val="header"/>
    <w:basedOn w:val="Normalny"/>
    <w:link w:val="NagwekZnak"/>
    <w:uiPriority w:val="99"/>
    <w:unhideWhenUsed/>
    <w:rsid w:val="00E0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949"/>
  </w:style>
  <w:style w:type="paragraph" w:styleId="Tekstdymka">
    <w:name w:val="Balloon Text"/>
    <w:basedOn w:val="Normalny"/>
    <w:link w:val="TekstdymkaZnak"/>
    <w:uiPriority w:val="99"/>
    <w:semiHidden/>
    <w:unhideWhenUsed/>
    <w:rsid w:val="0065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9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1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6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2F7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F67DC"/>
    <w:pPr>
      <w:spacing w:after="0" w:line="240" w:lineRule="auto"/>
    </w:pPr>
  </w:style>
  <w:style w:type="paragraph" w:customStyle="1" w:styleId="Default">
    <w:name w:val="Default"/>
    <w:rsid w:val="00D409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E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63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21" Type="http://schemas.openxmlformats.org/officeDocument/2006/relationships/image" Target="media/image8.emf"/><Relationship Id="rId34" Type="http://schemas.openxmlformats.org/officeDocument/2006/relationships/package" Target="embeddings/Microsoft_Excel_Worksheet12.xlsx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package" Target="embeddings/Microsoft_Excel_Worksheet11.xlsx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Excel_Worksheet9.xlsx"/><Relationship Id="rId36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1.emf"/><Relationship Id="rId30" Type="http://schemas.openxmlformats.org/officeDocument/2006/relationships/package" Target="embeddings/Microsoft_Excel_Worksheet10.xlsx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08A9-C565-49C2-8392-5E00C25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4977</Words>
  <Characters>29864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Kaplon</dc:creator>
  <cp:keywords/>
  <dc:description/>
  <cp:lastModifiedBy>Lankiewicz Agnieszka</cp:lastModifiedBy>
  <cp:revision>4</cp:revision>
  <cp:lastPrinted>2025-04-10T07:14:00Z</cp:lastPrinted>
  <dcterms:created xsi:type="dcterms:W3CDTF">2025-04-10T07:48:00Z</dcterms:created>
  <dcterms:modified xsi:type="dcterms:W3CDTF">2025-04-10T07:49:00Z</dcterms:modified>
</cp:coreProperties>
</file>